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8" w:lineRule="auto"/>
      </w:pPr>
      <w:r>
        <w:rPr>
          <w:rFonts w:ascii="Arial" w:cs="Arial" w:eastAsia="Arial" w:hAnsi="Arial"/>
          <w:b w:val="false"/>
          <w:bCs w:val="false"/>
          <w:i w:val="false"/>
          <w:iCs w:val="false"/>
          <w:sz w:val="24"/>
          <w:szCs w:val="24"/>
        </w:rPr>
        <w:t xml:space="preserve">Healthcheck para Exchange Online (M365)</w:t>
      </w:r>
    </w:p>
    <w:p>
      <w:pPr>
        <w:spacing w:after="160" w:line="278" w:lineRule="auto"/>
      </w:pPr>
      <w:r>
        <w:rPr>
          <w:rFonts w:ascii="Arial" w:cs="Arial" w:eastAsia="Arial" w:hAnsi="Arial"/>
          <w:sz w:val="24"/>
          <w:szCs w:val="24"/>
        </w:rPr>
        <w:t xml:space="preserve"/>
      </w:r>
    </w:p>
    <w:p>
      <w:pPr>
        <w:spacing w:after="160" w:line="278" w:lineRule="auto"/>
      </w:pPr>
      <w:r>
        <w:rPr>
          <w:rFonts w:ascii="Arial" w:cs="Arial" w:eastAsia="Arial" w:hAnsi="Arial"/>
          <w:sz w:val="24"/>
          <w:szCs w:val="24"/>
        </w:rPr>
        <w:t xml:space="preserve">Realizar una comprobación de estado rutinaria en </w:t>
      </w:r>
      <w:r>
        <w:rPr>
          <w:rFonts w:ascii="Arial" w:cs="Arial" w:eastAsia="Arial" w:hAnsi="Arial"/>
          <w:b/>
          <w:bCs/>
          <w:sz w:val="24"/>
          <w:szCs w:val="24"/>
        </w:rPr>
        <w:t xml:space="preserve">Exchange Online (M365)</w:t>
      </w:r>
      <w:r>
        <w:rPr>
          <w:rFonts w:ascii="Arial" w:cs="Arial" w:eastAsia="Arial" w:hAnsi="Arial"/>
          <w:sz w:val="24"/>
          <w:szCs w:val="24"/>
        </w:rPr>
        <w:t xml:space="preserve"> mediante </w:t>
      </w:r>
      <w:r>
        <w:rPr>
          <w:rFonts w:ascii="Arial" w:cs="Arial" w:eastAsia="Arial" w:hAnsi="Arial"/>
          <w:b/>
          <w:bCs/>
          <w:sz w:val="24"/>
          <w:szCs w:val="24"/>
        </w:rPr>
        <w:t xml:space="preserve">PowerShell</w:t>
      </w:r>
      <w:r>
        <w:rPr>
          <w:rFonts w:ascii="Arial" w:cs="Arial" w:eastAsia="Arial" w:hAnsi="Arial"/>
          <w:sz w:val="24"/>
          <w:szCs w:val="24"/>
        </w:rPr>
        <w:t xml:space="preserve"> ayuda a garantizar la estabilidad del inquilino, configuraciones seguras y un flujo de correo óptimo.</w:t>
      </w:r>
    </w:p>
    <w:p>
      <w:pPr>
        <w:spacing w:after="160" w:line="278" w:lineRule="auto"/>
      </w:pPr>
      <w:r>
        <w:rPr>
          <w:rFonts w:ascii="Arial" w:cs="Arial" w:eastAsia="Arial" w:hAnsi="Arial"/>
          <w:sz w:val="24"/>
          <w:szCs w:val="24"/>
        </w:rPr>
        <w:t xml:space="preserve">A diferencia de Exchange local, que utiliza cmdlets que requieren mucha infraestructura (p. ej. </w:t>
      </w:r>
      <w:r>
        <w:rPr>
          <w:rFonts w:ascii="Arial" w:cs="Arial" w:eastAsia="Arial" w:hAnsi="Arial"/>
          <w:b/>
          <w:bCs/>
          <w:sz w:val="24"/>
          <w:szCs w:val="24"/>
        </w:rPr>
        <w:t xml:space="preserve">Get-ServerHealth</w:t>
      </w:r>
      <w:r>
        <w:rPr>
          <w:rFonts w:ascii="Arial" w:cs="Arial" w:eastAsia="Arial" w:hAnsi="Arial"/>
          <w:sz w:val="24"/>
          <w:szCs w:val="24"/>
        </w:rPr>
        <w:t xml:space="preserve">), la comprobación </w:t>
      </w:r>
      <w:r>
        <w:rPr>
          <w:rFonts w:ascii="Arial" w:cs="Arial" w:eastAsia="Arial" w:hAnsi="Arial"/>
          <w:b/>
          <w:bCs/>
          <w:sz w:val="24"/>
          <w:szCs w:val="24"/>
        </w:rPr>
        <w:t xml:space="preserve">del estado de Exchange Online</w:t>
      </w:r>
      <w:r>
        <w:rPr>
          <w:rFonts w:ascii="Arial" w:cs="Arial" w:eastAsia="Arial" w:hAnsi="Arial"/>
          <w:sz w:val="24"/>
          <w:szCs w:val="24"/>
        </w:rPr>
        <w:t xml:space="preserve"> se centra en la disponibilidad del servicio, el enrutamiento del correo, la seguridad, el cumplimiento normativo y la resolución de errores de conexión.</w:t>
      </w:r>
    </w:p>
    <w:p>
      <w:pPr>
        <w:spacing w:after="160" w:line="278" w:lineRule="auto"/>
      </w:pPr>
      <w:r>
        <w:rPr>
          <w:rFonts w:ascii="Arial" w:cs="Arial" w:eastAsia="Arial" w:hAnsi="Arial"/>
          <w:sz w:val="24"/>
          <w:szCs w:val="24"/>
        </w:rPr>
        <w:t xml:space="preserve"/>
      </w:r>
    </w:p>
    <w:p>
      <w:pPr>
        <w:spacing w:after="160" w:before="240" w:line="278" w:lineRule="auto"/>
      </w:pPr>
      <w:r>
        <w:rPr>
          <w:rFonts w:ascii="Arial" w:cs="Arial" w:eastAsia="Arial" w:hAnsi="Arial"/>
          <w:b/>
          <w:bCs/>
          <w:sz w:val="24"/>
          <w:szCs w:val="24"/>
        </w:rPr>
        <w:t xml:space="preserve">Paso 1: Conéctese correctamente a Exchange Online PowerShell</w:t>
      </w:r>
    </w:p>
    <w:p>
      <w:pPr>
        <w:spacing w:after="160" w:line="278" w:lineRule="auto"/>
      </w:pPr>
      <w:r>
        <w:rPr>
          <w:rFonts w:ascii="Arial" w:cs="Arial" w:eastAsia="Arial" w:hAnsi="Arial"/>
          <w:b w:val="false"/>
          <w:bCs w:val="false"/>
          <w:i w:val="false"/>
          <w:iCs w:val="false"/>
          <w:sz w:val="24"/>
          <w:szCs w:val="24"/>
        </w:rPr>
        <w:t xml:space="preserve">Para evitar errores de autenticación y de sesión, ejecute el bloque de conexión en una ventana de PowerShell (se recomienda PowerShell 7+) con privilegios de administrador:</w:t>
      </w:r>
    </w:p>
    <w:p>
      <w:pPr>
        <w:spacing w:after="160" w:line="278" w:lineRule="auto"/>
      </w:pPr>
      <w:r>
        <w:rPr>
          <w:rFonts w:ascii="Arial" w:cs="Arial" w:eastAsia="Arial" w:hAnsi="Arial"/>
          <w:sz w:val="24"/>
          <w:szCs w:val="24"/>
        </w:rPr>
        <w:t xml:space="preserve"/>
      </w:r>
    </w:p>
    <w:p>
      <w:pPr>
        <w:spacing w:after="120" w:line="264" w:lineRule="auto"/>
      </w:pPr>
      <w:r>
        <w:rPr>
          <w:rFonts w:ascii="Consolas" w:cs="Consolas" w:eastAsia="Consolas" w:hAnsi="Consolas"/>
          <w:sz w:val="20"/>
          <w:szCs w:val="20"/>
        </w:rPr>
        <w:t xml:space="preserve"># 1. Install or update the official module</w:t>
      </w:r>
    </w:p>
    <w:p>
      <w:pPr>
        <w:spacing w:after="120" w:line="264" w:lineRule="auto"/>
      </w:pPr>
      <w:r>
        <w:rPr>
          <w:rFonts w:ascii="Consolas" w:cs="Consolas" w:eastAsia="Consolas" w:hAnsi="Consolas"/>
          <w:sz w:val="20"/>
          <w:szCs w:val="20"/>
        </w:rPr>
        <w:t xml:space="preserve">Install-Module -Name ExchangeOnlineManagement -Force -AllowClobber</w:t>
      </w:r>
    </w:p>
    <w:p>
      <w:pPr>
        <w:spacing w:after="160" w:line="278" w:lineRule="auto"/>
      </w:pPr>
      <w:r>
        <w:rPr>
          <w:rFonts w:ascii="Arial" w:cs="Arial" w:eastAsia="Arial" w:hAnsi="Arial"/>
          <w:sz w:val="24"/>
          <w:szCs w:val="24"/>
        </w:rPr>
        <w:t xml:space="preserve"/>
      </w:r>
    </w:p>
    <w:p>
      <w:pPr>
        <w:spacing w:after="120" w:line="264" w:lineRule="auto"/>
      </w:pPr>
      <w:r>
        <w:rPr>
          <w:rFonts w:ascii="Consolas" w:cs="Consolas" w:eastAsia="Consolas" w:hAnsi="Consolas"/>
          <w:sz w:val="20"/>
          <w:szCs w:val="20"/>
        </w:rPr>
        <w:t xml:space="preserve"># 2. Establish connection using Modern Authentication (MFA supported)</w:t>
      </w:r>
    </w:p>
    <w:p>
      <w:pPr>
        <w:spacing w:after="120" w:line="264" w:lineRule="auto"/>
      </w:pPr>
      <w:r>
        <w:rPr>
          <w:rFonts w:ascii="Consolas" w:cs="Consolas" w:eastAsia="Consolas" w:hAnsi="Consolas"/>
          <w:sz w:val="20"/>
          <w:szCs w:val="20"/>
        </w:rPr>
        <w:t xml:space="preserve">Connect-ExchangeOnline -UserPrincipalName admin@yourdomain.com</w:t>
      </w:r>
    </w:p>
    <w:p>
      <w:pPr>
        <w:spacing w:after="160" w:line="278" w:lineRule="auto"/>
      </w:pPr>
      <w:r>
        <w:rPr>
          <w:rFonts w:ascii="Arial" w:cs="Arial" w:eastAsia="Arial" w:hAnsi="Arial"/>
          <w:sz w:val="24"/>
          <w:szCs w:val="24"/>
        </w:rPr>
        <w:t xml:space="preserve"/>
      </w:r>
    </w:p>
    <w:p>
      <w:pPr>
        <w:spacing w:after="160" w:line="278" w:lineRule="auto"/>
      </w:pPr>
      <w:r>
        <w:rPr>
          <w:rFonts w:ascii="Arial" w:cs="Arial" w:eastAsia="Arial" w:hAnsi="Arial"/>
          <w:b/>
          <w:bCs/>
          <w:sz w:val="24"/>
          <w:szCs w:val="24"/>
        </w:rPr>
        <w:t xml:space="preserve">Requisitos previos: </w:t>
      </w:r>
      <w:r>
        <w:rPr>
          <w:rFonts w:ascii="Arial" w:cs="Arial" w:eastAsia="Arial" w:hAnsi="Arial"/>
          <w:sz w:val="24"/>
          <w:szCs w:val="24"/>
        </w:rPr>
        <w:t xml:space="preserve">utilice una cuenta con el rol Exchange Administrator (o Global Reader para actividades de solo lectura), aplicando el principio de mínimo privilegio. Para automatizaciones desatendidas, se recomienda usar autenticación basada en certificado (App-only) en lugar de credenciales de usuario.</w:t>
      </w:r>
    </w:p>
    <w:p>
      <w:pPr>
        <w:spacing w:after="160" w:line="278" w:lineRule="auto"/>
      </w:pPr>
      <w:r>
        <w:rPr>
          <w:rFonts w:ascii="Arial" w:cs="Arial" w:eastAsia="Arial" w:hAnsi="Arial"/>
          <w:sz w:val="24"/>
          <w:szCs w:val="24"/>
        </w:rPr>
        <w:t xml:space="preserve"/>
      </w:r>
    </w:p>
    <w:p>
      <w:pPr>
        <w:spacing w:after="160" w:before="240" w:line="278" w:lineRule="auto"/>
      </w:pPr>
      <w:r>
        <w:rPr>
          <w:rFonts w:ascii="Arial" w:cs="Arial" w:eastAsia="Arial" w:hAnsi="Arial"/>
          <w:b/>
          <w:bCs/>
          <w:sz w:val="24"/>
          <w:szCs w:val="24"/>
        </w:rPr>
        <w:t xml:space="preserve">Paso 2: Lista de verificación paso a paso para el control de salud</w:t>
      </w:r>
    </w:p>
    <w:p>
      <w:pPr>
        <w:spacing w:after="120" w:before="160" w:line="278" w:lineRule="auto"/>
      </w:pPr>
      <w:r>
        <w:rPr>
          <w:rFonts w:ascii="Arial" w:cs="Arial" w:eastAsia="Arial" w:hAnsi="Arial"/>
          <w:b/>
          <w:bCs/>
          <w:sz w:val="24"/>
          <w:szCs w:val="24"/>
        </w:rPr>
        <w:t xml:space="preserve">1. Estado del servicio global y del inquilino</w:t>
      </w:r>
    </w:p>
    <w:p>
      <w:pPr>
        <w:spacing w:after="160" w:line="278" w:lineRule="auto"/>
      </w:pPr>
      <w:r>
        <w:rPr>
          <w:rFonts w:ascii="Arial" w:cs="Arial" w:eastAsia="Arial" w:hAnsi="Arial"/>
          <w:b w:val="false"/>
          <w:bCs w:val="false"/>
          <w:i w:val="false"/>
          <w:iCs w:val="false"/>
          <w:sz w:val="24"/>
          <w:szCs w:val="24"/>
        </w:rPr>
        <w:t xml:space="preserve">Comprueba si Microsoft informa de algún problema de infraestructura interna que afecte a tu cuenta.</w:t>
      </w:r>
    </w:p>
    <w:p>
      <w:pPr>
        <w:pStyle w:val="ListParagraph"/>
        <w:numPr>
          <w:ilvl w:val="0"/>
          <w:numId w:val="2"/>
        </w:numPr>
        <w:spacing w:after="160" w:line="278" w:lineRule="auto"/>
      </w:pPr>
      <w:r>
        <w:rPr>
          <w:rFonts w:ascii="Arial" w:cs="Arial" w:eastAsia="Arial" w:hAnsi="Arial"/>
          <w:b/>
          <w:bCs/>
          <w:sz w:val="24"/>
          <w:szCs w:val="24"/>
        </w:rPr>
        <w:t xml:space="preserve">Acción: </w:t>
      </w:r>
      <w:r>
        <w:rPr>
          <w:rFonts w:ascii="Arial" w:cs="Arial" w:eastAsia="Arial" w:hAnsi="Arial"/>
          <w:sz w:val="24"/>
          <w:szCs w:val="24"/>
        </w:rPr>
        <w:t xml:space="preserve">Compruebe el estado global directamente a través de la consola web del Panel de estado del servicio de Microsoft 365, ya que la consulta directa de interrupciones mediante la API a través de los cmdlets estándar de Exchange está restringida.</w:t>
      </w:r>
    </w:p>
    <w:p>
      <w:pPr>
        <w:pStyle w:val="ListParagraph"/>
        <w:numPr>
          <w:ilvl w:val="0"/>
          <w:numId w:val="2"/>
        </w:numPr>
        <w:spacing w:after="160" w:line="278" w:lineRule="auto"/>
      </w:pPr>
      <w:r>
        <w:rPr>
          <w:rFonts w:ascii="Arial" w:cs="Arial" w:eastAsia="Arial" w:hAnsi="Arial"/>
          <w:b/>
          <w:bCs/>
          <w:sz w:val="24"/>
          <w:szCs w:val="24"/>
        </w:rPr>
        <w:t xml:space="preserve">Verificación de dominio: </w:t>
      </w:r>
      <w:r>
        <w:rPr>
          <w:rFonts w:ascii="Arial" w:cs="Arial" w:eastAsia="Arial" w:hAnsi="Arial"/>
          <w:sz w:val="24"/>
          <w:szCs w:val="24"/>
        </w:rPr>
        <w:t xml:space="preserve">Compruebe que sus dominios aceptados estén autorizados y configurados correctamente:</w:t>
      </w:r>
    </w:p>
    <w:p>
      <w:pPr>
        <w:spacing w:after="120" w:line="264" w:lineRule="auto"/>
      </w:pPr>
      <w:r>
        <w:rPr>
          <w:rFonts w:ascii="Consolas" w:cs="Consolas" w:eastAsia="Consolas" w:hAnsi="Consolas"/>
          <w:sz w:val="20"/>
          <w:szCs w:val="20"/>
        </w:rPr>
        <w:t xml:space="preserve">Get-AcceptedDomain | Format-Table Name, DomainType, IsDefault</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2. Flujo de correo y estado del transporte</w:t>
      </w:r>
    </w:p>
    <w:p>
      <w:pPr>
        <w:spacing w:after="160" w:line="278" w:lineRule="auto"/>
      </w:pPr>
      <w:r>
        <w:rPr>
          <w:rFonts w:ascii="Arial" w:cs="Arial" w:eastAsia="Arial" w:hAnsi="Arial"/>
          <w:b w:val="false"/>
          <w:bCs w:val="false"/>
          <w:i w:val="false"/>
          <w:iCs w:val="false"/>
          <w:sz w:val="24"/>
          <w:szCs w:val="24"/>
        </w:rPr>
        <w:t xml:space="preserve">Busque anomalías en el movimiento del correo y confirme que sus reglas de transporte subyacentes no estén bloqueadas o mal configuradas.</w:t>
      </w:r>
    </w:p>
    <w:p>
      <w:pPr>
        <w:pStyle w:val="ListParagraph"/>
        <w:numPr>
          <w:ilvl w:val="0"/>
          <w:numId w:val="2"/>
        </w:numPr>
        <w:spacing w:after="160" w:line="278" w:lineRule="auto"/>
      </w:pPr>
      <w:r>
        <w:rPr>
          <w:rFonts w:ascii="Arial" w:cs="Arial" w:eastAsia="Arial" w:hAnsi="Arial"/>
          <w:b/>
          <w:bCs/>
          <w:sz w:val="24"/>
          <w:szCs w:val="24"/>
        </w:rPr>
        <w:t xml:space="preserve">Compruebe las reglas activas: </w:t>
      </w:r>
      <w:r>
        <w:rPr>
          <w:rFonts w:ascii="Arial" w:cs="Arial" w:eastAsia="Arial" w:hAnsi="Arial"/>
          <w:sz w:val="24"/>
          <w:szCs w:val="24"/>
        </w:rPr>
        <w:t xml:space="preserve">asegúrese de que ninguna regla de transporte maliciosa o defectuosa esté interceptando el correo electrónico:</w:t>
      </w:r>
    </w:p>
    <w:p>
      <w:pPr>
        <w:spacing w:after="120" w:line="264" w:lineRule="auto"/>
      </w:pPr>
      <w:r>
        <w:rPr>
          <w:rFonts w:ascii="Consolas" w:cs="Consolas" w:eastAsia="Consolas" w:hAnsi="Consolas"/>
          <w:sz w:val="20"/>
          <w:szCs w:val="20"/>
        </w:rPr>
        <w:t xml:space="preserve">Get-TransportRule | Format-Table Name, State, Priority -Auto</w:t>
      </w:r>
    </w:p>
    <w:p>
      <w:pPr>
        <w:spacing w:after="160" w:line="278" w:lineRule="auto"/>
      </w:pPr>
      <w:r>
        <w:rPr>
          <w:rFonts w:ascii="Arial" w:cs="Arial" w:eastAsia="Arial" w:hAnsi="Arial"/>
          <w:b/>
          <w:bCs/>
          <w:sz w:val="24"/>
          <w:szCs w:val="24"/>
        </w:rPr>
        <w:t xml:space="preserve">Prueba del flujo de correo reciente: </w:t>
      </w:r>
      <w:r>
        <w:rPr>
          <w:rFonts w:ascii="Arial" w:cs="Arial" w:eastAsia="Arial" w:hAnsi="Arial"/>
          <w:sz w:val="24"/>
          <w:szCs w:val="24"/>
        </w:rPr>
        <w:t xml:space="preserve">Comprueba si hay rastros de mensajes fallidos o pendientes en las últimas 24 horas:</w:t>
      </w:r>
    </w:p>
    <w:p>
      <w:pPr>
        <w:spacing w:after="120" w:line="264" w:lineRule="auto"/>
      </w:pPr>
      <w:r>
        <w:rPr>
          <w:rFonts w:ascii="Consolas" w:cs="Consolas" w:eastAsia="Consolas" w:hAnsi="Consolas"/>
          <w:sz w:val="20"/>
          <w:szCs w:val="20"/>
        </w:rPr>
        <w:t xml:space="preserve">Get-MessageTrace -StartDate (Get-Date).AddDays(-1) -Status Failed</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3. Aprovisionamiento de buzones y cuotas</w:t>
      </w:r>
    </w:p>
    <w:p>
      <w:pPr>
        <w:spacing w:after="160" w:line="278" w:lineRule="auto"/>
      </w:pPr>
      <w:r>
        <w:rPr>
          <w:rFonts w:ascii="Arial" w:cs="Arial" w:eastAsia="Arial" w:hAnsi="Arial"/>
          <w:b w:val="false"/>
          <w:bCs w:val="false"/>
          <w:i w:val="false"/>
          <w:iCs w:val="false"/>
          <w:sz w:val="24"/>
          <w:szCs w:val="24"/>
        </w:rPr>
        <w:t xml:space="preserve">Asegúrese de que las cuentas se estén aprovisionando sin problemas y de que los usuarios no estén agotando silenciosamente sus asignaciones de almacenamiento.</w:t>
      </w:r>
    </w:p>
    <w:p>
      <w:pPr>
        <w:pStyle w:val="ListParagraph"/>
        <w:numPr>
          <w:ilvl w:val="0"/>
          <w:numId w:val="2"/>
        </w:numPr>
        <w:spacing w:after="160" w:line="278" w:lineRule="auto"/>
      </w:pPr>
      <w:r>
        <w:rPr>
          <w:rFonts w:ascii="Arial" w:cs="Arial" w:eastAsia="Arial" w:hAnsi="Arial"/>
          <w:b/>
          <w:bCs/>
          <w:sz w:val="24"/>
          <w:szCs w:val="24"/>
        </w:rPr>
        <w:t xml:space="preserve">Comprobar el estado de sincronización y aprovisionamiento: </w:t>
      </w:r>
      <w:r>
        <w:rPr>
          <w:rFonts w:ascii="Arial" w:cs="Arial" w:eastAsia="Arial" w:hAnsi="Arial"/>
          <w:sz w:val="24"/>
          <w:szCs w:val="24"/>
        </w:rPr>
        <w:t xml:space="preserve">Buscar errores de validación.</w:t>
      </w:r>
    </w:p>
    <w:p>
      <w:pPr>
        <w:spacing w:after="120" w:line="264" w:lineRule="auto"/>
      </w:pPr>
      <w:r>
        <w:rPr>
          <w:rFonts w:ascii="Consolas" w:cs="Consolas" w:eastAsia="Consolas" w:hAnsi="Consolas"/>
          <w:sz w:val="20"/>
          <w:szCs w:val="20"/>
        </w:rPr>
        <w:t xml:space="preserve">Get-MsolUser -HasErrorsOnly</w:t>
      </w:r>
    </w:p>
    <w:p>
      <w:pPr>
        <w:spacing w:after="120" w:line="264" w:lineRule="auto"/>
      </w:pPr>
      <w:r>
        <w:rPr>
          <w:rFonts w:ascii="Consolas" w:cs="Consolas" w:eastAsia="Consolas" w:hAnsi="Consolas"/>
          <w:sz w:val="20"/>
          <w:szCs w:val="20"/>
        </w:rPr>
        <w:t xml:space="preserve"># Or look for mailboxes with a failed provisioning status</w:t>
      </w:r>
    </w:p>
    <w:p>
      <w:pPr>
        <w:spacing w:after="120" w:line="264" w:lineRule="auto"/>
      </w:pPr>
      <w:r>
        <w:rPr>
          <w:rFonts w:ascii="Consolas" w:cs="Consolas" w:eastAsia="Consolas" w:hAnsi="Consolas"/>
          <w:sz w:val="20"/>
          <w:szCs w:val="20"/>
        </w:rPr>
        <w:t xml:space="preserve">Get-Mailbox -ResultSize Unlimited | Where-Object {$_.RecipientTypeDetails -eq "UserMailbox" -and $_.Status -ne "Ready"}</w:t>
      </w:r>
    </w:p>
    <w:p>
      <w:pPr>
        <w:spacing w:after="160" w:line="278" w:lineRule="auto"/>
      </w:pPr>
      <w:r>
        <w:rPr>
          <w:rFonts w:ascii="Arial" w:cs="Arial" w:eastAsia="Arial" w:hAnsi="Arial"/>
          <w:sz w:val="24"/>
          <w:szCs w:val="24"/>
        </w:rPr>
        <w:t xml:space="preserve"/>
      </w:r>
    </w:p>
    <w:p>
      <w:pPr>
        <w:spacing w:after="160" w:line="278" w:lineRule="auto"/>
      </w:pPr>
      <w:r>
        <w:rPr>
          <w:rFonts w:ascii="Arial" w:cs="Arial" w:eastAsia="Arial" w:hAnsi="Arial"/>
          <w:b/>
          <w:bCs/>
          <w:sz w:val="24"/>
          <w:szCs w:val="24"/>
        </w:rPr>
        <w:t xml:space="preserve">Supervise el estado del almacenamiento del buzón: </w:t>
      </w:r>
      <w:r>
        <w:rPr>
          <w:rFonts w:ascii="Arial" w:cs="Arial" w:eastAsia="Arial" w:hAnsi="Arial"/>
          <w:sz w:val="24"/>
          <w:szCs w:val="24"/>
        </w:rPr>
        <w:t xml:space="preserve">Identifique a los usuarios que se acercan a su límite:</w:t>
      </w:r>
    </w:p>
    <w:p>
      <w:pPr>
        <w:spacing w:after="120" w:line="264" w:lineRule="auto"/>
      </w:pPr>
      <w:r>
        <w:rPr>
          <w:rFonts w:ascii="Consolas" w:cs="Consolas" w:eastAsia="Consolas" w:hAnsi="Consolas"/>
          <w:sz w:val="20"/>
          <w:szCs w:val="20"/>
        </w:rPr>
        <w:t xml:space="preserve">Get-EXOMailboxStatistics -ResultSize Unlimited | Where-Object {$_.StorageLimitStatus -contains "Warning" -or $_.StorageLimitStatus -contains "ProhibitSend"} | Select-Object DisplayName, TotalItemSize, StorageLimitStatus</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4. Auditoría de seguridad y permisos</w:t>
      </w:r>
    </w:p>
    <w:p>
      <w:pPr>
        <w:spacing w:after="160" w:line="278" w:lineRule="auto"/>
      </w:pPr>
      <w:r>
        <w:rPr>
          <w:rFonts w:ascii="Arial" w:cs="Arial" w:eastAsia="Arial" w:hAnsi="Arial"/>
          <w:b w:val="false"/>
          <w:bCs w:val="false"/>
          <w:i w:val="false"/>
          <w:iCs w:val="false"/>
          <w:sz w:val="24"/>
          <w:szCs w:val="24"/>
        </w:rPr>
        <w:t xml:space="preserve">Realizar auditorías de permisos para identificar riesgos críticos de seguridad externos.</w:t>
      </w:r>
    </w:p>
    <w:p>
      <w:pPr>
        <w:pStyle w:val="ListParagraph"/>
        <w:numPr>
          <w:ilvl w:val="0"/>
          <w:numId w:val="2"/>
        </w:numPr>
        <w:spacing w:after="160" w:line="278" w:lineRule="auto"/>
      </w:pPr>
      <w:r>
        <w:rPr>
          <w:rFonts w:ascii="Arial" w:cs="Arial" w:eastAsia="Arial" w:hAnsi="Arial"/>
          <w:b/>
          <w:bCs/>
          <w:sz w:val="24"/>
          <w:szCs w:val="24"/>
        </w:rPr>
        <w:t xml:space="preserve">Auditoría del reenvío externo: </w:t>
      </w:r>
      <w:r>
        <w:rPr>
          <w:rFonts w:ascii="Arial" w:cs="Arial" w:eastAsia="Arial" w:hAnsi="Arial"/>
          <w:sz w:val="24"/>
          <w:szCs w:val="24"/>
        </w:rPr>
        <w:t xml:space="preserve">Asegúrese de que los usuarios no estén reenviando automáticamente correos electrónicos a direcciones externas.</w:t>
      </w:r>
    </w:p>
    <w:p>
      <w:pPr>
        <w:spacing w:after="120" w:line="264" w:lineRule="auto"/>
      </w:pPr>
      <w:r>
        <w:rPr>
          <w:rFonts w:ascii="Consolas" w:cs="Consolas" w:eastAsia="Consolas" w:hAnsi="Consolas"/>
          <w:sz w:val="20"/>
          <w:szCs w:val="20"/>
        </w:rPr>
        <w:t xml:space="preserve">Get-Mailbox -ResultSize Unlimited | Where-Object {$_.ForwardingAddress -ne $null -or $_.ForwardingSmtpAddress -ne $null} | Select-Object UserPrincipalName, ForwardingAddress, ForwardingSmtpAddress</w:t>
      </w:r>
    </w:p>
    <w:p>
      <w:pPr>
        <w:spacing w:after="160" w:line="278" w:lineRule="auto"/>
      </w:pPr>
      <w:r>
        <w:rPr>
          <w:rFonts w:ascii="Arial" w:cs="Arial" w:eastAsia="Arial" w:hAnsi="Arial"/>
          <w:b/>
          <w:bCs/>
          <w:sz w:val="24"/>
          <w:szCs w:val="24"/>
        </w:rPr>
        <w:t xml:space="preserve">Acceso delegado de auditoría: </w:t>
      </w:r>
      <w:r>
        <w:rPr>
          <w:rFonts w:ascii="Arial" w:cs="Arial" w:eastAsia="Arial" w:hAnsi="Arial"/>
          <w:sz w:val="24"/>
          <w:szCs w:val="24"/>
        </w:rPr>
        <w:t xml:space="preserve">Realice un seguimiento de los permisos de buzones de correo de alto riesgo:</w:t>
      </w:r>
    </w:p>
    <w:p>
      <w:pPr>
        <w:spacing w:after="120" w:line="264" w:lineRule="auto"/>
      </w:pPr>
      <w:r>
        <w:rPr>
          <w:rFonts w:ascii="Consolas" w:cs="Consolas" w:eastAsia="Consolas" w:hAnsi="Consolas"/>
          <w:sz w:val="20"/>
          <w:szCs w:val="20"/>
        </w:rPr>
        <w:t xml:space="preserve">Get-EXOMailboxPermission -ResultSize Unlimited | Where-Object {$_.User -notlike "*NT AUTHORITY*" -and $_.AccessRights -contains "FullAccess"}</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5. Autenticación de dominio (SPF, DKIM y DMARC)</w:t>
      </w:r>
    </w:p>
    <w:p>
      <w:pPr>
        <w:spacing w:after="160" w:line="278" w:lineRule="auto"/>
      </w:pPr>
      <w:r>
        <w:rPr>
          <w:rFonts w:ascii="Arial" w:cs="Arial" w:eastAsia="Arial" w:hAnsi="Arial"/>
          <w:b w:val="false"/>
          <w:bCs w:val="false"/>
          <w:i w:val="false"/>
          <w:iCs w:val="false"/>
          <w:sz w:val="24"/>
          <w:szCs w:val="24"/>
        </w:rPr>
        <w:t xml:space="preserve">Verifique que los mecanismos de autenticación de correo estén correctamente configurados para reducir el riesgo de suplantación de identidad (spoofing) y mejorar la entregabilidad.</w:t>
      </w:r>
    </w:p>
    <w:p>
      <w:pPr>
        <w:pStyle w:val="ListParagraph"/>
        <w:numPr>
          <w:ilvl w:val="0"/>
          <w:numId w:val="2"/>
        </w:numPr>
        <w:spacing w:after="160" w:line="278" w:lineRule="auto"/>
      </w:pPr>
      <w:r>
        <w:rPr>
          <w:rFonts w:ascii="Arial" w:cs="Arial" w:eastAsia="Arial" w:hAnsi="Arial"/>
          <w:b/>
          <w:bCs/>
          <w:sz w:val="24"/>
          <w:szCs w:val="24"/>
        </w:rPr>
        <w:t xml:space="preserve">Estado de DKIM: </w:t>
      </w:r>
      <w:r>
        <w:rPr>
          <w:rFonts w:ascii="Arial" w:cs="Arial" w:eastAsia="Arial" w:hAnsi="Arial"/>
          <w:sz w:val="24"/>
          <w:szCs w:val="24"/>
        </w:rPr>
        <w:t xml:space="preserve">Confirme que la firma DKIM esté habilitada para cada dominio aceptado:</w:t>
      </w:r>
    </w:p>
    <w:p>
      <w:pPr>
        <w:spacing w:after="120" w:line="264" w:lineRule="auto"/>
      </w:pPr>
      <w:r>
        <w:rPr>
          <w:rFonts w:ascii="Consolas" w:cs="Consolas" w:eastAsia="Consolas" w:hAnsi="Consolas"/>
          <w:sz w:val="20"/>
          <w:szCs w:val="20"/>
        </w:rPr>
        <w:t xml:space="preserve">Get-DkimSigningConfig | Format-Table Domain, Enabled, Status</w:t>
      </w:r>
    </w:p>
    <w:p>
      <w:pPr>
        <w:spacing w:after="160" w:line="278" w:lineRule="auto"/>
      </w:pPr>
      <w:r>
        <w:rPr>
          <w:rFonts w:ascii="Arial" w:cs="Arial" w:eastAsia="Arial" w:hAnsi="Arial"/>
          <w:b/>
          <w:bCs/>
          <w:sz w:val="24"/>
          <w:szCs w:val="24"/>
        </w:rPr>
        <w:t xml:space="preserve">SPF y DMARC: </w:t>
      </w:r>
      <w:r>
        <w:rPr>
          <w:rFonts w:ascii="Arial" w:cs="Arial" w:eastAsia="Arial" w:hAnsi="Arial"/>
          <w:sz w:val="24"/>
          <w:szCs w:val="24"/>
        </w:rPr>
        <w:t xml:space="preserve">no se administran desde Exchange Online, sino mediante registros TXT en el proveedor de DNS. Verifique manualmente que exista un registro SPF válido (v=spf1 ... include:spf.protection.outlook.com) y un registro DMARC (_dmarc) con una política adecuada (p=quarantine o p=reject).</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6. Políticas de seguridad de correo (antispam, antiphishing y antimalware)</w:t>
      </w:r>
    </w:p>
    <w:p>
      <w:pPr>
        <w:spacing w:after="160" w:line="278" w:lineRule="auto"/>
      </w:pPr>
      <w:r>
        <w:rPr>
          <w:rFonts w:ascii="Arial" w:cs="Arial" w:eastAsia="Arial" w:hAnsi="Arial"/>
          <w:b w:val="false"/>
          <w:bCs w:val="false"/>
          <w:i w:val="false"/>
          <w:iCs w:val="false"/>
          <w:sz w:val="24"/>
          <w:szCs w:val="24"/>
        </w:rPr>
        <w:t xml:space="preserve">Revise las políticas de protección para confirmar que siguen la configuración estándar recomendada (o Preset Security Policies de Microsoft Defender) y que no han sido debilitadas.</w:t>
      </w:r>
    </w:p>
    <w:p>
      <w:pPr>
        <w:pStyle w:val="ListParagraph"/>
        <w:numPr>
          <w:ilvl w:val="0"/>
          <w:numId w:val="2"/>
        </w:numPr>
        <w:spacing w:after="160" w:line="278" w:lineRule="auto"/>
      </w:pPr>
      <w:r>
        <w:rPr>
          <w:rFonts w:ascii="Arial" w:cs="Arial" w:eastAsia="Arial" w:hAnsi="Arial"/>
          <w:b/>
          <w:bCs/>
          <w:sz w:val="24"/>
          <w:szCs w:val="24"/>
        </w:rPr>
        <w:t xml:space="preserve">Filtro de contenido (antispam): </w:t>
      </w:r>
      <w:r>
        <w:rPr>
          <w:rFonts w:ascii="Arial" w:cs="Arial" w:eastAsia="Arial" w:hAnsi="Arial"/>
          <w:sz w:val="24"/>
          <w:szCs w:val="24"/>
        </w:rPr>
        <w:t xml:space="preserve">revise umbrales y acciones configuradas:</w:t>
      </w:r>
    </w:p>
    <w:p>
      <w:pPr>
        <w:spacing w:after="120" w:line="264" w:lineRule="auto"/>
      </w:pPr>
      <w:r>
        <w:rPr>
          <w:rFonts w:ascii="Consolas" w:cs="Consolas" w:eastAsia="Consolas" w:hAnsi="Consolas"/>
          <w:sz w:val="20"/>
          <w:szCs w:val="20"/>
        </w:rPr>
        <w:t xml:space="preserve">Get-HostedContentFilterPolicy | Format-Table Name, SpamAction, HighConfidenceSpamAction</w:t>
      </w:r>
    </w:p>
    <w:p>
      <w:pPr>
        <w:pStyle w:val="ListParagraph"/>
        <w:numPr>
          <w:ilvl w:val="0"/>
          <w:numId w:val="2"/>
        </w:numPr>
        <w:spacing w:after="160" w:line="278" w:lineRule="auto"/>
      </w:pPr>
      <w:r>
        <w:rPr>
          <w:rFonts w:ascii="Arial" w:cs="Arial" w:eastAsia="Arial" w:hAnsi="Arial"/>
          <w:b/>
          <w:bCs/>
          <w:sz w:val="24"/>
          <w:szCs w:val="24"/>
        </w:rPr>
        <w:t xml:space="preserve">Filtro de spam saliente: </w:t>
      </w:r>
      <w:r>
        <w:rPr>
          <w:rFonts w:ascii="Arial" w:cs="Arial" w:eastAsia="Arial" w:hAnsi="Arial"/>
          <w:sz w:val="24"/>
          <w:szCs w:val="24"/>
        </w:rPr>
        <w:t xml:space="preserve">detecta cuentas comprometidas que envían spam:</w:t>
      </w:r>
    </w:p>
    <w:p>
      <w:pPr>
        <w:spacing w:after="120" w:line="264" w:lineRule="auto"/>
      </w:pPr>
      <w:r>
        <w:rPr>
          <w:rFonts w:ascii="Consolas" w:cs="Consolas" w:eastAsia="Consolas" w:hAnsi="Consolas"/>
          <w:sz w:val="20"/>
          <w:szCs w:val="20"/>
        </w:rPr>
        <w:t xml:space="preserve">Get-HostedOutboundSpamFilterPolicy | Format-Table Name, RecipientLimitExternalPerHour, ActionWhenThresholdReached</w:t>
      </w:r>
    </w:p>
    <w:p>
      <w:pPr>
        <w:pStyle w:val="ListParagraph"/>
        <w:numPr>
          <w:ilvl w:val="0"/>
          <w:numId w:val="2"/>
        </w:numPr>
        <w:spacing w:after="160" w:line="278" w:lineRule="auto"/>
      </w:pPr>
      <w:r>
        <w:rPr>
          <w:rFonts w:ascii="Arial" w:cs="Arial" w:eastAsia="Arial" w:hAnsi="Arial"/>
          <w:b/>
          <w:bCs/>
          <w:sz w:val="24"/>
          <w:szCs w:val="24"/>
        </w:rPr>
        <w:t xml:space="preserve">Antiphishing: </w:t>
      </w:r>
      <w:r>
        <w:rPr>
          <w:rFonts w:ascii="Arial" w:cs="Arial" w:eastAsia="Arial" w:hAnsi="Arial"/>
          <w:sz w:val="24"/>
          <w:szCs w:val="24"/>
        </w:rPr>
        <w:t xml:space="preserve">confirme que la protección de suplantación (impersonation) e inteligencia contra buzones esté activa:</w:t>
      </w:r>
    </w:p>
    <w:p>
      <w:pPr>
        <w:spacing w:after="120" w:line="264" w:lineRule="auto"/>
      </w:pPr>
      <w:r>
        <w:rPr>
          <w:rFonts w:ascii="Consolas" w:cs="Consolas" w:eastAsia="Consolas" w:hAnsi="Consolas"/>
          <w:sz w:val="20"/>
          <w:szCs w:val="20"/>
        </w:rPr>
        <w:t xml:space="preserve">Get-AntiPhishPolicy | Format-Table Name, Enabled, EnableMailboxIntelligence</w:t>
      </w:r>
    </w:p>
    <w:p>
      <w:pPr>
        <w:pStyle w:val="ListParagraph"/>
        <w:numPr>
          <w:ilvl w:val="0"/>
          <w:numId w:val="2"/>
        </w:numPr>
        <w:spacing w:after="160" w:line="278" w:lineRule="auto"/>
      </w:pPr>
      <w:r>
        <w:rPr>
          <w:rFonts w:ascii="Arial" w:cs="Arial" w:eastAsia="Arial" w:hAnsi="Arial"/>
          <w:b/>
          <w:bCs/>
          <w:sz w:val="24"/>
          <w:szCs w:val="24"/>
        </w:rPr>
        <w:t xml:space="preserve">Antimalware: </w:t>
      </w:r>
      <w:r>
        <w:rPr>
          <w:rFonts w:ascii="Arial" w:cs="Arial" w:eastAsia="Arial" w:hAnsi="Arial"/>
          <w:sz w:val="24"/>
          <w:szCs w:val="24"/>
        </w:rPr>
        <w:t xml:space="preserve">verifique que el filtro de malware esté habilitado y notifique a los administradores:</w:t>
      </w:r>
    </w:p>
    <w:p>
      <w:pPr>
        <w:spacing w:after="120" w:line="264" w:lineRule="auto"/>
      </w:pPr>
      <w:r>
        <w:rPr>
          <w:rFonts w:ascii="Consolas" w:cs="Consolas" w:eastAsia="Consolas" w:hAnsi="Consolas"/>
          <w:sz w:val="20"/>
          <w:szCs w:val="20"/>
        </w:rPr>
        <w:t xml:space="preserve">Get-MalwareFilterPolicy | Format-Table Name, Action, EnableFileFilter</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7. Conectores de flujo de correo (Connectors)</w:t>
      </w:r>
    </w:p>
    <w:p>
      <w:pPr>
        <w:spacing w:after="160" w:line="278" w:lineRule="auto"/>
      </w:pPr>
      <w:r>
        <w:rPr>
          <w:rFonts w:ascii="Arial" w:cs="Arial" w:eastAsia="Arial" w:hAnsi="Arial"/>
          <w:b w:val="false"/>
          <w:bCs w:val="false"/>
          <w:i w:val="false"/>
          <w:iCs w:val="false"/>
          <w:sz w:val="24"/>
          <w:szCs w:val="24"/>
        </w:rPr>
        <w:t xml:space="preserve">Los conectores mal configurados o con certificados vencidos son una causa común de fallas de entrega, especialmente en entornos híbridos o con filtrado de correo de terceros.</w:t>
      </w:r>
    </w:p>
    <w:p>
      <w:pPr>
        <w:pStyle w:val="ListParagraph"/>
        <w:numPr>
          <w:ilvl w:val="0"/>
          <w:numId w:val="2"/>
        </w:numPr>
        <w:spacing w:after="160" w:line="278" w:lineRule="auto"/>
      </w:pPr>
      <w:r>
        <w:rPr>
          <w:rFonts w:ascii="Arial" w:cs="Arial" w:eastAsia="Arial" w:hAnsi="Arial"/>
          <w:b/>
          <w:bCs/>
          <w:sz w:val="24"/>
          <w:szCs w:val="24"/>
        </w:rPr>
        <w:t xml:space="preserve">Conectores entrantes: </w:t>
      </w:r>
      <w:r>
        <w:rPr>
          <w:rFonts w:ascii="Arial" w:cs="Arial" w:eastAsia="Arial" w:hAnsi="Arial"/>
          <w:sz w:val="24"/>
          <w:szCs w:val="24"/>
        </w:rPr>
        <w:t xml:space="preserve">revise el origen y la validación TLS:</w:t>
      </w:r>
    </w:p>
    <w:p>
      <w:pPr>
        <w:spacing w:after="120" w:line="264" w:lineRule="auto"/>
      </w:pPr>
      <w:r>
        <w:rPr>
          <w:rFonts w:ascii="Consolas" w:cs="Consolas" w:eastAsia="Consolas" w:hAnsi="Consolas"/>
          <w:sz w:val="20"/>
          <w:szCs w:val="20"/>
        </w:rPr>
        <w:t xml:space="preserve">Get-InboundConnector | Format-Table Name, Enabled, SenderDomains, RequireTls</w:t>
      </w:r>
    </w:p>
    <w:p>
      <w:pPr>
        <w:pStyle w:val="ListParagraph"/>
        <w:numPr>
          <w:ilvl w:val="0"/>
          <w:numId w:val="2"/>
        </w:numPr>
        <w:spacing w:after="160" w:line="278" w:lineRule="auto"/>
      </w:pPr>
      <w:r>
        <w:rPr>
          <w:rFonts w:ascii="Arial" w:cs="Arial" w:eastAsia="Arial" w:hAnsi="Arial"/>
          <w:b/>
          <w:bCs/>
          <w:sz w:val="24"/>
          <w:szCs w:val="24"/>
        </w:rPr>
        <w:t xml:space="preserve">Conectores salientes: </w:t>
      </w:r>
      <w:r>
        <w:rPr>
          <w:rFonts w:ascii="Arial" w:cs="Arial" w:eastAsia="Arial" w:hAnsi="Arial"/>
          <w:sz w:val="24"/>
          <w:szCs w:val="24"/>
        </w:rPr>
        <w:t xml:space="preserve">confirme el dominio de enrutamiento (smart host) y el uso de TLS forzado:</w:t>
      </w:r>
    </w:p>
    <w:p>
      <w:pPr>
        <w:spacing w:after="120" w:line="264" w:lineRule="auto"/>
      </w:pPr>
      <w:r>
        <w:rPr>
          <w:rFonts w:ascii="Consolas" w:cs="Consolas" w:eastAsia="Consolas" w:hAnsi="Consolas"/>
          <w:sz w:val="20"/>
          <w:szCs w:val="20"/>
        </w:rPr>
        <w:t xml:space="preserve">Get-OutboundConnector | Format-Table Name, Enabled, SmartHosts, TlsSettings</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8. Autenticación moderna y bloqueo de protocolos heredados</w:t>
      </w:r>
    </w:p>
    <w:p>
      <w:pPr>
        <w:spacing w:after="160" w:line="278" w:lineRule="auto"/>
      </w:pPr>
      <w:r>
        <w:rPr>
          <w:rFonts w:ascii="Arial" w:cs="Arial" w:eastAsia="Arial" w:hAnsi="Arial"/>
          <w:b w:val="false"/>
          <w:bCs w:val="false"/>
          <w:i w:val="false"/>
          <w:iCs w:val="false"/>
          <w:sz w:val="24"/>
          <w:szCs w:val="24"/>
        </w:rPr>
        <w:t xml:space="preserve">La autenticación heredada (Basic Auth) sigue siendo uno de los vectores de ataque más comunes contra buzones de Exchange Online, ya que no admite MFA.</w:t>
      </w:r>
    </w:p>
    <w:p>
      <w:pPr>
        <w:pStyle w:val="ListParagraph"/>
        <w:numPr>
          <w:ilvl w:val="0"/>
          <w:numId w:val="2"/>
        </w:numPr>
        <w:spacing w:after="160" w:line="278" w:lineRule="auto"/>
      </w:pPr>
      <w:r>
        <w:rPr>
          <w:rFonts w:ascii="Arial" w:cs="Arial" w:eastAsia="Arial" w:hAnsi="Arial"/>
          <w:b/>
          <w:bCs/>
          <w:sz w:val="24"/>
          <w:szCs w:val="24"/>
        </w:rPr>
        <w:t xml:space="preserve">Autenticación moderna a nivel de organización: </w:t>
      </w:r>
      <w:r>
        <w:rPr>
          <w:rFonts w:ascii="Arial" w:cs="Arial" w:eastAsia="Arial" w:hAnsi="Arial"/>
          <w:sz w:val="24"/>
          <w:szCs w:val="24"/>
        </w:rPr>
        <w:t xml:space="preserve">verifique que OAuth esté habilitado:</w:t>
      </w:r>
    </w:p>
    <w:p>
      <w:pPr>
        <w:spacing w:after="120" w:line="264" w:lineRule="auto"/>
      </w:pPr>
      <w:r>
        <w:rPr>
          <w:rFonts w:ascii="Consolas" w:cs="Consolas" w:eastAsia="Consolas" w:hAnsi="Consolas"/>
          <w:sz w:val="20"/>
          <w:szCs w:val="20"/>
        </w:rPr>
        <w:t xml:space="preserve">Get-OrganizationConfig | Select-Object Name, OAuth2ClientProfileEnabled</w:t>
      </w:r>
    </w:p>
    <w:p>
      <w:pPr>
        <w:pStyle w:val="ListParagraph"/>
        <w:numPr>
          <w:ilvl w:val="0"/>
          <w:numId w:val="2"/>
        </w:numPr>
        <w:spacing w:after="160" w:line="278" w:lineRule="auto"/>
      </w:pPr>
      <w:r>
        <w:rPr>
          <w:rFonts w:ascii="Arial" w:cs="Arial" w:eastAsia="Arial" w:hAnsi="Arial"/>
          <w:b/>
          <w:bCs/>
          <w:sz w:val="24"/>
          <w:szCs w:val="24"/>
        </w:rPr>
        <w:t xml:space="preserve">Políticas de autenticación: </w:t>
      </w:r>
      <w:r>
        <w:rPr>
          <w:rFonts w:ascii="Arial" w:cs="Arial" w:eastAsia="Arial" w:hAnsi="Arial"/>
          <w:sz w:val="24"/>
          <w:szCs w:val="24"/>
        </w:rPr>
        <w:t xml:space="preserve">confirme que los protocolos heredados (POP, IMAP, Autodiscover heredado) estén bloqueados a nivel de política o de acceso condicional:</w:t>
      </w:r>
    </w:p>
    <w:p>
      <w:pPr>
        <w:spacing w:after="120" w:line="264" w:lineRule="auto"/>
      </w:pPr>
      <w:r>
        <w:rPr>
          <w:rFonts w:ascii="Consolas" w:cs="Consolas" w:eastAsia="Consolas" w:hAnsi="Consolas"/>
          <w:sz w:val="20"/>
          <w:szCs w:val="20"/>
        </w:rPr>
        <w:t xml:space="preserve">Get-AuthenticationPolicy | Format-Table Name, AllowBasicAuth*</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9. Buzones compartidos, de sala y de recursos</w:t>
      </w:r>
    </w:p>
    <w:p>
      <w:pPr>
        <w:spacing w:after="160" w:line="278" w:lineRule="auto"/>
      </w:pPr>
      <w:r>
        <w:rPr>
          <w:rFonts w:ascii="Arial" w:cs="Arial" w:eastAsia="Arial" w:hAnsi="Arial"/>
          <w:b w:val="false"/>
          <w:bCs w:val="false"/>
          <w:i w:val="false"/>
          <w:iCs w:val="false"/>
          <w:sz w:val="24"/>
          <w:szCs w:val="24"/>
        </w:rPr>
        <w:t xml:space="preserve">Es común que estos buzones acumulen licencias innecesarias, credenciales activas sin uso, o queden fuera del control de tamaño y de seguridad del resto del tenant.</w:t>
      </w:r>
    </w:p>
    <w:p>
      <w:pPr>
        <w:pStyle w:val="ListParagraph"/>
        <w:numPr>
          <w:ilvl w:val="0"/>
          <w:numId w:val="2"/>
        </w:numPr>
        <w:spacing w:after="160" w:line="278" w:lineRule="auto"/>
      </w:pPr>
      <w:r>
        <w:rPr>
          <w:rFonts w:ascii="Arial" w:cs="Arial" w:eastAsia="Arial" w:hAnsi="Arial"/>
          <w:b/>
          <w:bCs/>
          <w:sz w:val="24"/>
          <w:szCs w:val="24"/>
        </w:rPr>
        <w:t xml:space="preserve">Inventario: </w:t>
      </w:r>
      <w:r>
        <w:rPr>
          <w:rFonts w:ascii="Arial" w:cs="Arial" w:eastAsia="Arial" w:hAnsi="Arial"/>
          <w:sz w:val="24"/>
          <w:szCs w:val="24"/>
        </w:rPr>
        <w:t xml:space="preserve">liste todos los buzones no estándar y revise si tienen una cuenta de usuario habilitada innecesariamente (riesgo de acceso directo):</w:t>
      </w:r>
    </w:p>
    <w:p>
      <w:pPr>
        <w:spacing w:after="120" w:line="264" w:lineRule="auto"/>
      </w:pPr>
      <w:r>
        <w:rPr>
          <w:rFonts w:ascii="Consolas" w:cs="Consolas" w:eastAsia="Consolas" w:hAnsi="Consolas"/>
          <w:sz w:val="20"/>
          <w:szCs w:val="20"/>
        </w:rPr>
        <w:t xml:space="preserve">Get-Mailbox -RecipientTypeDetails SharedMailbox,RoomMailbox,EquipmentMailbox | Select-Object DisplayName, ResourceType, AccountDisabled</w:t>
      </w:r>
    </w:p>
    <w:p>
      <w:pPr>
        <w:pStyle w:val="ListParagraph"/>
        <w:numPr>
          <w:ilvl w:val="0"/>
          <w:numId w:val="2"/>
        </w:numPr>
        <w:spacing w:after="160" w:line="278" w:lineRule="auto"/>
      </w:pPr>
      <w:r>
        <w:rPr>
          <w:rFonts w:ascii="Arial" w:cs="Arial" w:eastAsia="Arial" w:hAnsi="Arial"/>
          <w:b/>
          <w:bCs/>
          <w:sz w:val="24"/>
          <w:szCs w:val="24"/>
        </w:rPr>
        <w:t xml:space="preserve">Licenciamiento: </w:t>
      </w:r>
      <w:r>
        <w:rPr>
          <w:rFonts w:ascii="Arial" w:cs="Arial" w:eastAsia="Arial" w:hAnsi="Arial"/>
          <w:sz w:val="24"/>
          <w:szCs w:val="24"/>
        </w:rPr>
        <w:t xml:space="preserve">confirme que los buzones compartidos no consuman licencias pagadas de forma innecesaria (el límite gratuito estándar es 50 GB).</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10. Grupos de distribución y grupos de seguridad habilitados para correo</w:t>
      </w:r>
    </w:p>
    <w:p>
      <w:pPr>
        <w:spacing w:after="160" w:line="278" w:lineRule="auto"/>
      </w:pPr>
      <w:r>
        <w:rPr>
          <w:rFonts w:ascii="Arial" w:cs="Arial" w:eastAsia="Arial" w:hAnsi="Arial"/>
          <w:b w:val="false"/>
          <w:bCs w:val="false"/>
          <w:i w:val="false"/>
          <w:iCs w:val="false"/>
          <w:sz w:val="24"/>
          <w:szCs w:val="24"/>
        </w:rPr>
        <w:t xml:space="preserve">Grupos mal configurados pueden permitir el envío desde remitentes externos no autorizados o quedar sin propietario activo.</w:t>
      </w:r>
    </w:p>
    <w:p>
      <w:pPr>
        <w:pStyle w:val="ListParagraph"/>
        <w:numPr>
          <w:ilvl w:val="0"/>
          <w:numId w:val="2"/>
        </w:numPr>
        <w:spacing w:after="160" w:line="278" w:lineRule="auto"/>
      </w:pPr>
      <w:r>
        <w:rPr>
          <w:rFonts w:ascii="Arial" w:cs="Arial" w:eastAsia="Arial" w:hAnsi="Arial"/>
          <w:b/>
          <w:bCs/>
          <w:sz w:val="24"/>
          <w:szCs w:val="24"/>
        </w:rPr>
        <w:t xml:space="preserve">Grupos que aceptan remitentes externos: </w:t>
      </w:r>
      <w:r>
        <w:rPr>
          <w:rFonts w:ascii="Arial" w:cs="Arial" w:eastAsia="Arial" w:hAnsi="Arial"/>
          <w:sz w:val="24"/>
          <w:szCs w:val="24"/>
        </w:rPr>
        <w:t xml:space="preserve">identifique grupos que no requieren autenticación del remitente, un vector común de suplantación interna:</w:t>
      </w:r>
    </w:p>
    <w:p>
      <w:pPr>
        <w:spacing w:after="120" w:line="264" w:lineRule="auto"/>
      </w:pPr>
      <w:r>
        <w:rPr>
          <w:rFonts w:ascii="Consolas" w:cs="Consolas" w:eastAsia="Consolas" w:hAnsi="Consolas"/>
          <w:sz w:val="20"/>
          <w:szCs w:val="20"/>
        </w:rPr>
        <w:t xml:space="preserve">Get-DistributionGroup -ResultSize Unlimited | Where-Object {$_.RequireSenderAuthenticationEnabled -eq $false} | Select-Object Name, PrimarySmtpAddress</w:t>
      </w:r>
    </w:p>
    <w:p>
      <w:pPr>
        <w:pStyle w:val="ListParagraph"/>
        <w:numPr>
          <w:ilvl w:val="0"/>
          <w:numId w:val="2"/>
        </w:numPr>
        <w:spacing w:after="160" w:line="278" w:lineRule="auto"/>
      </w:pPr>
      <w:r>
        <w:rPr>
          <w:rFonts w:ascii="Arial" w:cs="Arial" w:eastAsia="Arial" w:hAnsi="Arial"/>
          <w:b/>
          <w:bCs/>
          <w:sz w:val="24"/>
          <w:szCs w:val="24"/>
        </w:rPr>
        <w:t xml:space="preserve">Grupos sin propietario: </w:t>
      </w:r>
      <w:r>
        <w:rPr>
          <w:rFonts w:ascii="Arial" w:cs="Arial" w:eastAsia="Arial" w:hAnsi="Arial"/>
          <w:sz w:val="24"/>
          <w:szCs w:val="24"/>
        </w:rPr>
        <w:t xml:space="preserve">revise grupos huérfanos que deberían reasignarse o depurarse:</w:t>
      </w:r>
    </w:p>
    <w:p>
      <w:pPr>
        <w:spacing w:after="120" w:line="264" w:lineRule="auto"/>
      </w:pPr>
      <w:r>
        <w:rPr>
          <w:rFonts w:ascii="Consolas" w:cs="Consolas" w:eastAsia="Consolas" w:hAnsi="Consolas"/>
          <w:sz w:val="20"/>
          <w:szCs w:val="20"/>
        </w:rPr>
        <w:t xml:space="preserve">Get-DistributionGroup -ResultSize Unlimited | Where-Object {$_.ManagedBy.Count -eq 0} | Select-Object Name</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11. Retención, Litigation Hold y cumplimiento</w:t>
      </w:r>
    </w:p>
    <w:p>
      <w:pPr>
        <w:spacing w:after="160" w:line="278" w:lineRule="auto"/>
      </w:pPr>
      <w:r>
        <w:rPr>
          <w:rFonts w:ascii="Arial" w:cs="Arial" w:eastAsia="Arial" w:hAnsi="Arial"/>
          <w:b w:val="false"/>
          <w:bCs w:val="false"/>
          <w:i w:val="false"/>
          <w:iCs w:val="false"/>
          <w:sz w:val="24"/>
          <w:szCs w:val="24"/>
        </w:rPr>
        <w:t xml:space="preserve">Confirme que las políticas de retención y las medidas de cumplimiento normativo (legal hold) estén alineadas con los requisitos de la organización.</w:t>
      </w:r>
    </w:p>
    <w:p>
      <w:pPr>
        <w:pStyle w:val="ListParagraph"/>
        <w:numPr>
          <w:ilvl w:val="0"/>
          <w:numId w:val="2"/>
        </w:numPr>
        <w:spacing w:after="160" w:line="278" w:lineRule="auto"/>
      </w:pPr>
      <w:r>
        <w:rPr>
          <w:rFonts w:ascii="Arial" w:cs="Arial" w:eastAsia="Arial" w:hAnsi="Arial"/>
          <w:b/>
          <w:bCs/>
          <w:sz w:val="24"/>
          <w:szCs w:val="24"/>
        </w:rPr>
        <w:t xml:space="preserve">Litigation Hold: </w:t>
      </w:r>
      <w:r>
        <w:rPr>
          <w:rFonts w:ascii="Arial" w:cs="Arial" w:eastAsia="Arial" w:hAnsi="Arial"/>
          <w:sz w:val="24"/>
          <w:szCs w:val="24"/>
        </w:rPr>
        <w:t xml:space="preserve">identifique buzones con retención legal activa y valide que sea intencional:</w:t>
      </w:r>
    </w:p>
    <w:p>
      <w:pPr>
        <w:spacing w:after="120" w:line="264" w:lineRule="auto"/>
      </w:pPr>
      <w:r>
        <w:rPr>
          <w:rFonts w:ascii="Consolas" w:cs="Consolas" w:eastAsia="Consolas" w:hAnsi="Consolas"/>
          <w:sz w:val="20"/>
          <w:szCs w:val="20"/>
        </w:rPr>
        <w:t xml:space="preserve">Get-Mailbox -ResultSize Unlimited | Where-Object {$_.LitigationHoldEnabled -eq $true} | Select-Object DisplayName, LitigationHoldDuration</w:t>
      </w:r>
    </w:p>
    <w:p>
      <w:pPr>
        <w:pStyle w:val="ListParagraph"/>
        <w:numPr>
          <w:ilvl w:val="0"/>
          <w:numId w:val="2"/>
        </w:numPr>
        <w:spacing w:after="160" w:line="278" w:lineRule="auto"/>
      </w:pPr>
      <w:r>
        <w:rPr>
          <w:rFonts w:ascii="Arial" w:cs="Arial" w:eastAsia="Arial" w:hAnsi="Arial"/>
          <w:b/>
          <w:bCs/>
          <w:sz w:val="24"/>
          <w:szCs w:val="24"/>
        </w:rPr>
        <w:t xml:space="preserve">Políticas de retención: </w:t>
      </w:r>
      <w:r>
        <w:rPr>
          <w:rFonts w:ascii="Arial" w:cs="Arial" w:eastAsia="Arial" w:hAnsi="Arial"/>
          <w:sz w:val="24"/>
          <w:szCs w:val="24"/>
        </w:rPr>
        <w:t xml:space="preserve">revise las políticas y etiquetas de retención publicadas:</w:t>
      </w:r>
    </w:p>
    <w:p>
      <w:pPr>
        <w:spacing w:after="120" w:line="264" w:lineRule="auto"/>
      </w:pPr>
      <w:r>
        <w:rPr>
          <w:rFonts w:ascii="Consolas" w:cs="Consolas" w:eastAsia="Consolas" w:hAnsi="Consolas"/>
          <w:sz w:val="20"/>
          <w:szCs w:val="20"/>
        </w:rPr>
        <w:t xml:space="preserve">Get-RetentionPolicy | Format-Table Name, RetentionPolicyTagLinks</w:t>
      </w:r>
    </w:p>
    <w:p>
      <w:pPr>
        <w:pStyle w:val="ListParagraph"/>
        <w:numPr>
          <w:ilvl w:val="0"/>
          <w:numId w:val="2"/>
        </w:numPr>
        <w:spacing w:after="160" w:line="278" w:lineRule="auto"/>
      </w:pPr>
      <w:r>
        <w:rPr>
          <w:rFonts w:ascii="Arial" w:cs="Arial" w:eastAsia="Arial" w:hAnsi="Arial"/>
          <w:b/>
          <w:bCs/>
          <w:sz w:val="24"/>
          <w:szCs w:val="24"/>
        </w:rPr>
        <w:t xml:space="preserve">Registro de auditoría unificado: </w:t>
      </w:r>
      <w:r>
        <w:rPr>
          <w:rFonts w:ascii="Arial" w:cs="Arial" w:eastAsia="Arial" w:hAnsi="Arial"/>
          <w:sz w:val="24"/>
          <w:szCs w:val="24"/>
        </w:rPr>
        <w:t xml:space="preserve">confirme que la ingesta de auditoría esté habilitada (requisito para investigaciones y cumplimiento):</w:t>
      </w:r>
    </w:p>
    <w:p>
      <w:pPr>
        <w:spacing w:after="120" w:line="264" w:lineRule="auto"/>
      </w:pPr>
      <w:r>
        <w:rPr>
          <w:rFonts w:ascii="Consolas" w:cs="Consolas" w:eastAsia="Consolas" w:hAnsi="Consolas"/>
          <w:sz w:val="20"/>
          <w:szCs w:val="20"/>
        </w:rPr>
        <w:t xml:space="preserve">Get-AdminAuditLogConfig | Select-Object UnifiedAuditLogIngestionEnabled</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12. Límites de tamaño de mensajes y organización</w:t>
      </w:r>
    </w:p>
    <w:p>
      <w:pPr>
        <w:spacing w:after="160" w:line="278" w:lineRule="auto"/>
      </w:pPr>
      <w:r>
        <w:rPr>
          <w:rFonts w:ascii="Arial" w:cs="Arial" w:eastAsia="Arial" w:hAnsi="Arial"/>
          <w:b w:val="false"/>
          <w:bCs w:val="false"/>
          <w:i w:val="false"/>
          <w:iCs w:val="false"/>
          <w:sz w:val="24"/>
          <w:szCs w:val="24"/>
        </w:rPr>
        <w:t xml:space="preserve">Confirme que los límites globales de envío/recepción sean consistentes con las necesidades del negocio y no estén generando rebotes silenciosos.</w:t>
      </w:r>
    </w:p>
    <w:p>
      <w:pPr>
        <w:spacing w:after="120" w:line="264" w:lineRule="auto"/>
      </w:pPr>
      <w:r>
        <w:rPr>
          <w:rFonts w:ascii="Consolas" w:cs="Consolas" w:eastAsia="Consolas" w:hAnsi="Consolas"/>
          <w:sz w:val="20"/>
          <w:szCs w:val="20"/>
        </w:rPr>
        <w:t xml:space="preserve">Get-TransportConfig | Select-Object MaxReceiveSize, MaxSendSize</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13. Cuarentena de correo</w:t>
      </w:r>
    </w:p>
    <w:p>
      <w:pPr>
        <w:spacing w:after="160" w:line="278" w:lineRule="auto"/>
      </w:pPr>
      <w:r>
        <w:rPr>
          <w:rFonts w:ascii="Arial" w:cs="Arial" w:eastAsia="Arial" w:hAnsi="Arial"/>
          <w:b w:val="false"/>
          <w:bCs w:val="false"/>
          <w:i w:val="false"/>
          <w:iCs w:val="false"/>
          <w:sz w:val="24"/>
          <w:szCs w:val="24"/>
        </w:rPr>
        <w:t xml:space="preserve">Revise periódicamente los mensajes retenidos para detectar falsos positivos recurrentes o, por el contrario, amenazas reales pendientes de liberar.</w:t>
      </w:r>
    </w:p>
    <w:p>
      <w:pPr>
        <w:spacing w:after="120" w:line="264" w:lineRule="auto"/>
      </w:pPr>
      <w:r>
        <w:rPr>
          <w:rFonts w:ascii="Consolas" w:cs="Consolas" w:eastAsia="Consolas" w:hAnsi="Consolas"/>
          <w:sz w:val="20"/>
          <w:szCs w:val="20"/>
        </w:rPr>
        <w:t xml:space="preserve">Get-QuarantineMessage -StartReceivedDate (Get-Date).AddDays(-7) -EndReceivedDate (Get-Date) | Select-Object SenderAddress, Subject, ReceivedTime, Type</w:t>
      </w:r>
    </w:p>
    <w:p>
      <w:pPr>
        <w:spacing w:after="160" w:line="278" w:lineRule="auto"/>
      </w:pPr>
      <w:r>
        <w:rPr>
          <w:rFonts w:ascii="Arial" w:cs="Arial" w:eastAsia="Arial" w:hAnsi="Arial"/>
          <w:sz w:val="24"/>
          <w:szCs w:val="24"/>
        </w:rPr>
        <w:t xml:space="preserve"/>
      </w:r>
    </w:p>
    <w:p>
      <w:pPr>
        <w:spacing w:after="120" w:before="160" w:line="278" w:lineRule="auto"/>
      </w:pPr>
      <w:r>
        <w:rPr>
          <w:rFonts w:ascii="Arial" w:cs="Arial" w:eastAsia="Arial" w:hAnsi="Arial"/>
          <w:b/>
          <w:bCs/>
          <w:sz w:val="24"/>
          <w:szCs w:val="24"/>
        </w:rPr>
        <w:t xml:space="preserve">14. Dispositivos móviles (Exchange ActiveSync)</w:t>
      </w:r>
    </w:p>
    <w:p>
      <w:pPr>
        <w:spacing w:after="160" w:line="278" w:lineRule="auto"/>
      </w:pPr>
      <w:r>
        <w:rPr>
          <w:rFonts w:ascii="Arial" w:cs="Arial" w:eastAsia="Arial" w:hAnsi="Arial"/>
          <w:b w:val="false"/>
          <w:bCs w:val="false"/>
          <w:i w:val="false"/>
          <w:iCs w:val="false"/>
          <w:sz w:val="24"/>
          <w:szCs w:val="24"/>
        </w:rPr>
        <w:t xml:space="preserve">Valide que las políticas de seguridad para dispositivos móviles estén activas y que no existan dispositivos inactivos o no compatibles con acceso persistente.</w:t>
      </w:r>
    </w:p>
    <w:p>
      <w:pPr>
        <w:pStyle w:val="ListParagraph"/>
        <w:numPr>
          <w:ilvl w:val="0"/>
          <w:numId w:val="2"/>
        </w:numPr>
        <w:spacing w:after="160" w:line="278" w:lineRule="auto"/>
      </w:pPr>
      <w:r>
        <w:rPr>
          <w:rFonts w:ascii="Arial" w:cs="Arial" w:eastAsia="Arial" w:hAnsi="Arial"/>
          <w:b/>
          <w:bCs/>
          <w:sz w:val="24"/>
          <w:szCs w:val="24"/>
        </w:rPr>
        <w:t xml:space="preserve">Políticas activas: </w:t>
      </w:r>
      <w:r>
        <w:rPr>
          <w:rFonts w:ascii="Arial" w:cs="Arial" w:eastAsia="Arial" w:hAnsi="Arial"/>
          <w:sz w:val="24"/>
          <w:szCs w:val="24"/>
        </w:rPr>
        <w:t xml:space="preserve">revise el cifrado y el bloqueo por PIN exigidos:</w:t>
      </w:r>
    </w:p>
    <w:p>
      <w:pPr>
        <w:spacing w:after="120" w:line="264" w:lineRule="auto"/>
      </w:pPr>
      <w:r>
        <w:rPr>
          <w:rFonts w:ascii="Consolas" w:cs="Consolas" w:eastAsia="Consolas" w:hAnsi="Consolas"/>
          <w:sz w:val="20"/>
          <w:szCs w:val="20"/>
        </w:rPr>
        <w:t xml:space="preserve">Get-MobileDeviceMailboxPolicy | Format-Table Name, PasswordEnabled, RequireDeviceEncryption</w:t>
      </w:r>
    </w:p>
    <w:p>
      <w:pPr>
        <w:pStyle w:val="ListParagraph"/>
        <w:numPr>
          <w:ilvl w:val="0"/>
          <w:numId w:val="2"/>
        </w:numPr>
        <w:spacing w:after="160" w:line="278" w:lineRule="auto"/>
      </w:pPr>
      <w:r>
        <w:rPr>
          <w:rFonts w:ascii="Arial" w:cs="Arial" w:eastAsia="Arial" w:hAnsi="Arial"/>
          <w:b/>
          <w:bCs/>
          <w:sz w:val="24"/>
          <w:szCs w:val="24"/>
        </w:rPr>
        <w:t xml:space="preserve">Dispositivos inactivos: </w:t>
      </w:r>
      <w:r>
        <w:rPr>
          <w:rFonts w:ascii="Arial" w:cs="Arial" w:eastAsia="Arial" w:hAnsi="Arial"/>
          <w:sz w:val="24"/>
          <w:szCs w:val="24"/>
        </w:rPr>
        <w:t xml:space="preserve">identifique dispositivos que no sincronizan hace más de 90 días para su revocación:</w:t>
      </w:r>
    </w:p>
    <w:p>
      <w:pPr>
        <w:spacing w:after="120" w:line="264" w:lineRule="auto"/>
      </w:pPr>
      <w:r>
        <w:rPr>
          <w:rFonts w:ascii="Consolas" w:cs="Consolas" w:eastAsia="Consolas" w:hAnsi="Consolas"/>
          <w:sz w:val="20"/>
          <w:szCs w:val="20"/>
        </w:rPr>
        <w:t xml:space="preserve">Get-MobileDeviceStatistics -Mailbox &lt;usuario&gt; | Where-Object {$_.LastSuccessSync -lt (Get-Date).AddDays(-90)}</w:t>
      </w:r>
    </w:p>
    <w:p>
      <w:pPr>
        <w:spacing w:after="160" w:line="278" w:lineRule="auto"/>
      </w:pPr>
      <w:r>
        <w:rPr>
          <w:rFonts w:ascii="Arial" w:cs="Arial" w:eastAsia="Arial" w:hAnsi="Arial"/>
          <w:sz w:val="24"/>
          <w:szCs w:val="24"/>
        </w:rPr>
        <w:t xml:space="preserve"/>
      </w:r>
    </w:p>
    <w:p>
      <w:pPr>
        <w:spacing w:after="160" w:before="240" w:line="278" w:lineRule="auto"/>
      </w:pPr>
      <w:r>
        <w:rPr>
          <w:rFonts w:ascii="Arial" w:cs="Arial" w:eastAsia="Arial" w:hAnsi="Arial"/>
          <w:b/>
          <w:bCs/>
          <w:sz w:val="24"/>
          <w:szCs w:val="24"/>
        </w:rPr>
        <w:t xml:space="preserve">Script básico para exportar el estado de los buzones a CSV</w:t>
      </w:r>
    </w:p>
    <w:p>
      <w:pPr>
        <w:spacing w:after="160" w:line="278" w:lineRule="auto"/>
      </w:pPr>
      <w:r>
        <w:rPr>
          <w:rFonts w:ascii="Arial" w:cs="Arial" w:eastAsia="Arial" w:hAnsi="Arial"/>
          <w:b w:val="false"/>
          <w:bCs w:val="false"/>
          <w:i w:val="false"/>
          <w:iCs w:val="false"/>
          <w:sz w:val="24"/>
          <w:szCs w:val="24"/>
        </w:rPr>
        <w:t xml:space="preserve">Ejecuta los siguientes comandos en tu consola de PowerShell con permisos de administrador:</w:t>
      </w:r>
    </w:p>
    <w:p>
      <w:pPr>
        <w:spacing w:after="120" w:line="264" w:lineRule="auto"/>
      </w:pPr>
      <w:r>
        <w:rPr>
          <w:rFonts w:ascii="Consolas" w:cs="Consolas" w:eastAsia="Consolas" w:hAnsi="Consolas"/>
          <w:sz w:val="20"/>
          <w:szCs w:val="20"/>
        </w:rPr>
        <w:t xml:space="preserve"># 1. Instalar el módulo si no lo tienes (ejecutar una vez)</w:t>
      </w:r>
    </w:p>
    <w:p>
      <w:pPr>
        <w:spacing w:after="120" w:line="264" w:lineRule="auto"/>
      </w:pPr>
      <w:r>
        <w:rPr>
          <w:rFonts w:ascii="Consolas" w:cs="Consolas" w:eastAsia="Consolas" w:hAnsi="Consolas"/>
          <w:sz w:val="20"/>
          <w:szCs w:val="20"/>
        </w:rPr>
        <w:t xml:space="preserve">Install-Module -Name ExchangeOnlineManagement -Force</w:t>
      </w:r>
    </w:p>
    <w:p>
      <w:pPr>
        <w:spacing w:after="160" w:line="278" w:lineRule="auto"/>
      </w:pPr>
      <w:r>
        <w:rPr>
          <w:rFonts w:ascii="Arial" w:cs="Arial" w:eastAsia="Arial" w:hAnsi="Arial"/>
          <w:sz w:val="24"/>
          <w:szCs w:val="24"/>
        </w:rPr>
        <w:t xml:space="preserve"/>
      </w:r>
    </w:p>
    <w:p>
      <w:pPr>
        <w:spacing w:after="120" w:line="264" w:lineRule="auto"/>
      </w:pPr>
      <w:r>
        <w:rPr>
          <w:rFonts w:ascii="Consolas" w:cs="Consolas" w:eastAsia="Consolas" w:hAnsi="Consolas"/>
          <w:sz w:val="20"/>
          <w:szCs w:val="20"/>
        </w:rPr>
        <w:t xml:space="preserve"># 2. Conectarse a Exchange Online (reemplaza con tu usuario administrador)</w:t>
      </w:r>
    </w:p>
    <w:p>
      <w:pPr>
        <w:spacing w:after="120" w:line="264" w:lineRule="auto"/>
      </w:pPr>
      <w:r>
        <w:rPr>
          <w:rFonts w:ascii="Consolas" w:cs="Consolas" w:eastAsia="Consolas" w:hAnsi="Consolas"/>
          <w:sz w:val="20"/>
          <w:szCs w:val="20"/>
        </w:rPr>
        <w:t xml:space="preserve">Connect-ExchangeOnline -UserPrincipalName tu-admin@tudominio.com</w:t>
      </w:r>
    </w:p>
    <w:p>
      <w:pPr>
        <w:spacing w:after="160" w:line="278" w:lineRule="auto"/>
      </w:pPr>
      <w:r>
        <w:rPr>
          <w:rFonts w:ascii="Arial" w:cs="Arial" w:eastAsia="Arial" w:hAnsi="Arial"/>
          <w:sz w:val="24"/>
          <w:szCs w:val="24"/>
        </w:rPr>
        <w:t xml:space="preserve"/>
      </w:r>
    </w:p>
    <w:p>
      <w:pPr>
        <w:spacing w:after="120" w:line="264" w:lineRule="auto"/>
      </w:pPr>
      <w:r>
        <w:rPr>
          <w:rFonts w:ascii="Consolas" w:cs="Consolas" w:eastAsia="Consolas" w:hAnsi="Consolas"/>
          <w:sz w:val="20"/>
          <w:szCs w:val="20"/>
        </w:rPr>
        <w:t xml:space="preserve"># 3. Recopilar y exportar el informe de buzones</w:t>
      </w:r>
    </w:p>
    <w:p>
      <w:pPr>
        <w:spacing w:after="120" w:line="264" w:lineRule="auto"/>
      </w:pPr>
      <w:r>
        <w:rPr>
          <w:rFonts w:ascii="Consolas" w:cs="Consolas" w:eastAsia="Consolas" w:hAnsi="Consolas"/>
          <w:sz w:val="20"/>
          <w:szCs w:val="20"/>
        </w:rPr>
        <w:t xml:space="preserve">Get-Mailbox -ResultSize Unlimited | Get-MailboxStatistics | Select-Object DisplayName, TotalItemSize, ItemCount, LastLogonTime | Export-Csv -Path "C:\temp\InformeEstadoExchange.csv" -NoTypeInformation -Encoding UTF8</w:t>
      </w:r>
    </w:p>
    <w:p>
      <w:pPr>
        <w:spacing w:after="160" w:line="278" w:lineRule="auto"/>
      </w:pPr>
      <w:r>
        <w:rPr>
          <w:rFonts w:ascii="Arial" w:cs="Arial" w:eastAsia="Arial" w:hAnsi="Arial"/>
          <w:sz w:val="24"/>
          <w:szCs w:val="24"/>
        </w:rPr>
        <w:t xml:space="preserve"/>
      </w:r>
    </w:p>
    <w:p>
      <w:pPr>
        <w:spacing w:after="120" w:line="264" w:lineRule="auto"/>
      </w:pPr>
      <w:r>
        <w:rPr>
          <w:rFonts w:ascii="Consolas" w:cs="Consolas" w:eastAsia="Consolas" w:hAnsi="Consolas"/>
          <w:sz w:val="20"/>
          <w:szCs w:val="20"/>
        </w:rPr>
        <w:t xml:space="preserve"># 4. Desconectar la sesión al terminar</w:t>
      </w:r>
    </w:p>
    <w:p>
      <w:pPr>
        <w:spacing w:after="120" w:line="264" w:lineRule="auto"/>
      </w:pPr>
      <w:r>
        <w:rPr>
          <w:rFonts w:ascii="Consolas" w:cs="Consolas" w:eastAsia="Consolas" w:hAnsi="Consolas"/>
          <w:sz w:val="20"/>
          <w:szCs w:val="20"/>
        </w:rPr>
        <w:t xml:space="preserve">Disconnect-ExchangeOnline -Confirm:$false</w:t>
      </w:r>
    </w:p>
    <w:p>
      <w:pPr>
        <w:spacing w:after="160" w:line="278" w:lineRule="auto"/>
      </w:pPr>
      <w:r>
        <w:rPr>
          <w:rFonts w:ascii="Arial" w:cs="Arial" w:eastAsia="Arial" w:hAnsi="Arial"/>
          <w:sz w:val="24"/>
          <w:szCs w:val="24"/>
        </w:rPr>
        <w:t xml:space="preserve"/>
      </w:r>
    </w:p>
    <w:p>
      <w:pPr>
        <w:spacing w:after="160" w:before="240" w:line="278" w:lineRule="auto"/>
      </w:pPr>
      <w:r>
        <w:rPr>
          <w:rFonts w:ascii="Arial" w:cs="Arial" w:eastAsia="Arial" w:hAnsi="Arial"/>
          <w:b/>
          <w:bCs/>
          <w:sz w:val="24"/>
          <w:szCs w:val="24"/>
        </w:rPr>
        <w:t xml:space="preserve">Recomendaciones finales</w:t>
      </w:r>
    </w:p>
    <w:p>
      <w:pPr>
        <w:pStyle w:val="ListParagraph"/>
        <w:numPr>
          <w:ilvl w:val="0"/>
          <w:numId w:val="2"/>
        </w:numPr>
        <w:spacing w:after="160" w:line="278" w:lineRule="auto"/>
      </w:pPr>
      <w:r>
        <w:rPr>
          <w:rFonts w:ascii="Arial" w:cs="Arial" w:eastAsia="Arial" w:hAnsi="Arial"/>
          <w:b/>
          <w:bCs/>
          <w:sz w:val="24"/>
          <w:szCs w:val="24"/>
        </w:rPr>
        <w:t xml:space="preserve">Periodicidad: </w:t>
      </w:r>
      <w:r>
        <w:rPr>
          <w:rFonts w:ascii="Arial" w:cs="Arial" w:eastAsia="Arial" w:hAnsi="Arial"/>
          <w:sz w:val="24"/>
          <w:szCs w:val="24"/>
        </w:rPr>
        <w:t xml:space="preserve">ejecute este healthcheck de forma mensual, y de forma inmediata tras cambios importantes (migraciones, incidentes de seguridad, cambios de conectores o de política de transporte).</w:t>
      </w:r>
    </w:p>
    <w:p>
      <w:pPr>
        <w:pStyle w:val="ListParagraph"/>
        <w:numPr>
          <w:ilvl w:val="0"/>
          <w:numId w:val="2"/>
        </w:numPr>
        <w:spacing w:after="160" w:line="278" w:lineRule="auto"/>
      </w:pPr>
      <w:r>
        <w:rPr>
          <w:rFonts w:ascii="Arial" w:cs="Arial" w:eastAsia="Arial" w:hAnsi="Arial"/>
          <w:b/>
          <w:bCs/>
          <w:sz w:val="24"/>
          <w:szCs w:val="24"/>
        </w:rPr>
        <w:t xml:space="preserve">Documentación: </w:t>
      </w:r>
      <w:r>
        <w:rPr>
          <w:rFonts w:ascii="Arial" w:cs="Arial" w:eastAsia="Arial" w:hAnsi="Arial"/>
          <w:sz w:val="24"/>
          <w:szCs w:val="24"/>
        </w:rPr>
        <w:t xml:space="preserve">conserve un histórico de los resultados (CSV/Excel) para poder comparar tendencias entre ejecuciones, por ejemplo crecimiento de buzones, aparición de nuevas reglas de reenvío o nuevos dispositivos móviles.</w:t>
      </w:r>
    </w:p>
    <w:p>
      <w:pPr>
        <w:pStyle w:val="ListParagraph"/>
        <w:numPr>
          <w:ilvl w:val="0"/>
          <w:numId w:val="2"/>
        </w:numPr>
        <w:spacing w:after="160" w:line="278" w:lineRule="auto"/>
      </w:pPr>
      <w:r>
        <w:rPr>
          <w:rFonts w:ascii="Arial" w:cs="Arial" w:eastAsia="Arial" w:hAnsi="Arial"/>
          <w:b/>
          <w:bCs/>
          <w:sz w:val="24"/>
          <w:szCs w:val="24"/>
        </w:rPr>
        <w:t xml:space="preserve">Automatización: </w:t>
      </w:r>
      <w:r>
        <w:rPr>
          <w:rFonts w:ascii="Arial" w:cs="Arial" w:eastAsia="Arial" w:hAnsi="Arial"/>
          <w:sz w:val="24"/>
          <w:szCs w:val="24"/>
        </w:rPr>
        <w:t xml:space="preserve">considere convertir esta checklist en un script único que recopile todos los resultados y genere un reporte consolidado (HTML o Excel) para facilitar su revisión periódica.</w:t>
      </w:r>
    </w:p>
    <w:p>
      <w:pPr>
        <w:pStyle w:val="ListParagraph"/>
        <w:numPr>
          <w:ilvl w:val="0"/>
          <w:numId w:val="2"/>
        </w:numPr>
        <w:spacing w:after="160" w:line="278" w:lineRule="auto"/>
      </w:pPr>
      <w:r>
        <w:rPr>
          <w:rFonts w:ascii="Arial" w:cs="Arial" w:eastAsia="Arial" w:hAnsi="Arial"/>
          <w:b/>
          <w:bCs/>
          <w:sz w:val="24"/>
          <w:szCs w:val="24"/>
        </w:rPr>
        <w:t xml:space="preserve">Alcance ampliado: </w:t>
      </w:r>
      <w:r>
        <w:rPr>
          <w:rFonts w:ascii="Arial" w:cs="Arial" w:eastAsia="Arial" w:hAnsi="Arial"/>
          <w:sz w:val="24"/>
          <w:szCs w:val="24"/>
        </w:rPr>
        <w:t xml:space="preserve">si el tenant es híbrido, agregue validación de la Conectividad híbrida (Hybrid Configuration Wizard), el estado de Azure AD Connect/Entra Connect y la expiración de certificados usados en los conectores de envío/recepción.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2026-09-15T05:07:21.787Z</dcterms:created>
  <dcterms:modified xsi:type="dcterms:W3CDTF">2026-09-15T05:07:21.797Z</dcterms:modified>
</cp:coreProperties>
</file>

<file path=docProps/custom.xml><?xml version="1.0" encoding="utf-8"?>
<Properties xmlns="http://schemas.openxmlformats.org/officeDocument/2006/custom-properties" xmlns:vt="http://schemas.openxmlformats.org/officeDocument/2006/docPropsVTypes"/>
</file>