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jc w:val="center"/>
      </w:pPr>
      <w:r>
        <w:rPr>
          <w:rFonts w:ascii="Calibri" w:cs="Calibri" w:eastAsia="Calibri" w:hAnsi="Calibri"/>
          <w:b/>
          <w:bCs/>
          <w:color w:val="0078D4"/>
          <w:sz w:val="32"/>
          <w:szCs w:val="32"/>
        </w:rPr>
        <w:t xml:space="preserve">PROPUESTA TÉCNICA</w:t>
      </w:r>
    </w:p>
    <w:p>
      <w:pPr>
        <w:spacing w:after="200" w:before="200"/>
        <w:jc w:val="center"/>
      </w:pPr>
      <w:r>
        <w:rPr>
          <w:rFonts w:ascii="Calibri" w:cs="Calibri" w:eastAsia="Calibri" w:hAnsi="Calibri"/>
          <w:b/>
          <w:bCs/>
          <w:color w:val="1F4E79"/>
          <w:sz w:val="52"/>
          <w:szCs w:val="52"/>
        </w:rPr>
        <w:t xml:space="preserve">Migración de Infraestructura a Microsoft Azure</w:t>
      </w:r>
    </w:p>
    <w:p>
      <w:pPr>
        <w:spacing w:after="700"/>
        <w:jc w:val="center"/>
      </w:pPr>
      <w:r>
        <w:rPr>
          <w:rFonts w:ascii="Calibri" w:cs="Calibri" w:eastAsia="Calibri" w:hAnsi="Calibri"/>
          <w:i/>
          <w:iCs/>
          <w:color w:val="3B3B3B"/>
          <w:sz w:val="24"/>
          <w:szCs w:val="24"/>
        </w:rPr>
        <w:t xml:space="preserve">Assessment, arquitectura, conectividad, respaldo y monitoreo</w:t>
      </w:r>
    </w:p>
    <w:p>
      <w:pPr>
        <w:spacing w:before="900"/>
        <w:jc w:val="center"/>
      </w:pPr>
      <w:r>
        <w:rPr>
          <w:rFonts w:ascii="Calibri" w:cs="Calibri" w:eastAsia="Calibri" w:hAnsi="Calibri"/>
          <w:color w:val="222222"/>
          <w:sz w:val="22"/>
          <w:szCs w:val="22"/>
        </w:rPr>
        <w:t xml:space="preserve">Preparado para: [Nombre del Cliente]</w:t>
      </w:r>
    </w:p>
    <w:p>
      <w:pPr>
        <w:spacing w:before="100"/>
        <w:jc w:val="center"/>
      </w:pPr>
      <w:r>
        <w:rPr>
          <w:rFonts w:ascii="Calibri" w:cs="Calibri" w:eastAsia="Calibri" w:hAnsi="Calibri"/>
          <w:color w:val="222222"/>
          <w:sz w:val="22"/>
          <w:szCs w:val="22"/>
        </w:rPr>
        <w:t xml:space="preserve">Preparado por: [Nombre del Consultor / Empresa]</w:t>
      </w:r>
    </w:p>
    <w:p>
      <w:pPr>
        <w:spacing w:before="100"/>
        <w:jc w:val="center"/>
      </w:pPr>
      <w:r>
        <w:rPr>
          <w:rFonts w:ascii="Calibri" w:cs="Calibri" w:eastAsia="Calibri" w:hAnsi="Calibri"/>
          <w:color w:val="222222"/>
          <w:sz w:val="22"/>
          <w:szCs w:val="22"/>
        </w:rPr>
        <w:t xml:space="preserve">14 de septiembre de 2026</w:t>
      </w:r>
    </w:p>
    <w:p>
      <w:pPr>
        <w:spacing w:before="1400"/>
        <w:jc w:val="center"/>
      </w:pPr>
      <w:r>
        <w:rPr>
          <w:rFonts w:ascii="Calibri" w:cs="Calibri" w:eastAsia="Calibri" w:hAnsi="Calibri"/>
          <w:i/>
          <w:iCs/>
          <w:color w:val="888888"/>
          <w:sz w:val="16"/>
          <w:szCs w:val="16"/>
        </w:rPr>
        <w:t xml:space="preserve">Documento confidencial — uso interno y del cliente destinatario</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078D4" w:sz="8" w:space="4"/>
        </w:pBdr>
        <w:spacing w:after="160" w:before="360"/>
      </w:pPr>
      <w:r>
        <w:rPr>
          <w:rFonts w:ascii="Calibri" w:cs="Calibri" w:eastAsia="Calibri" w:hAnsi="Calibri"/>
          <w:b/>
          <w:bCs/>
          <w:color w:val="1F4E79"/>
          <w:sz w:val="30"/>
          <w:szCs w:val="30"/>
        </w:rPr>
        <w:t xml:space="preserve">1. Situación Actual</w:t>
      </w:r>
    </w:p>
    <w:p>
      <w:pPr>
        <w:spacing w:after="160" w:line="276"/>
      </w:pPr>
      <w:r>
        <w:rPr>
          <w:rFonts w:ascii="Calibri" w:cs="Calibri" w:eastAsia="Calibri" w:hAnsi="Calibri"/>
          <w:color w:val="3B3B3B"/>
          <w:sz w:val="21"/>
          <w:szCs w:val="21"/>
        </w:rPr>
        <w:t xml:space="preserve">El cliente opera actualmente un entorno de infraestructura on-premises compuesto por siete (7) servidores virtualizados, que alojan servicios de Directorio Activo, un servidor de Terminal/Escritorio Remoto, el sistema de control de asistencia Bio-time, el ERP SAP Business One y un sistema de inventario sobre Linux. El inventario relevado es el siguiente:</w:t>
      </w:r>
    </w:p>
    <w:tbl>
      <w:tblPr>
        <w:tblW w:type="dxa" w:w="9300"/>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2000"/>
        <w:gridCol w:w="900"/>
        <w:gridCol w:w="900"/>
        <w:gridCol w:w="1600"/>
        <w:gridCol w:w="2400"/>
      </w:tblGrid>
      <w:tr>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Servidor</w:t>
            </w:r>
          </w:p>
        </w:tc>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Sistema Operativo</w:t>
            </w:r>
          </w:p>
        </w:tc>
        <w:tc>
          <w:tcPr>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vCPU</w:t>
            </w:r>
          </w:p>
        </w:tc>
        <w:tc>
          <w:tcPr>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RAM</w:t>
            </w:r>
          </w:p>
        </w:tc>
        <w:tc>
          <w:tcPr>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Almacenamiento</w:t>
            </w:r>
          </w:p>
        </w:tc>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 / Observación</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ADCapital3</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Windows Server 2016 (64 bits)</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 GB</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200 GB</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Directorio Activo (probable réplica/DC)</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ADCapital2</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Windows Server 2016 (64 bits)</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 GB</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200 GB</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Directorio Activo (probable réplica/DC)</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Terminal</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Windows Server 2016 (64 bits) — VBS no habilitado</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10</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32 GB</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300 + 120 GB (420 GB)</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Servidor de Terminal / Escritorio Remoto (RDS) — mayor consumo de cómputo</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Bio-time 72K Corp</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Windows Server 2012 (64 bits)</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 GB</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120 GB</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B00000"/>
                <w:sz w:val="19"/>
                <w:szCs w:val="19"/>
              </w:rPr>
              <w:t xml:space="preserve">Control de asistencia/biométrico — SO fuera de soporte extendido (EOL)</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Inventario_Ubuntu2</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Ubuntu Linux 22</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 GB</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34 GB</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Sistema de inventario</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SAPB_1corp</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Windows Server 2016 — VBS habilitado</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16</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40 GB</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280 + 900 + 400 + 300 GB (1,880 GB)</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ERP SAP Business One — servidor más crítico y de mayor tamaño</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ADCapital.Corp2</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Windows Server 2016 (64 bits) — VBS no habilitado</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 GB</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124 GB</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Directorio Activo (probable réplica/DC)</w:t>
            </w:r>
          </w:p>
        </w:tc>
      </w:tr>
    </w:tbl>
    <w:p>
      <w:pPr>
        <w:spacing w:after="160"/>
      </w:pPr>
    </w:p>
    <w:p>
      <w:pPr>
        <w:pStyle w:val="Heading2"/>
        <w:spacing w:after="120" w:before="260"/>
      </w:pPr>
      <w:r>
        <w:rPr>
          <w:rFonts w:ascii="Calibri" w:cs="Calibri" w:eastAsia="Calibri" w:hAnsi="Calibri"/>
          <w:b/>
          <w:bCs/>
          <w:color w:val="0078D4"/>
          <w:sz w:val="24"/>
          <w:szCs w:val="24"/>
        </w:rPr>
        <w:t xml:space="preserve">1.1 Hallazgos relevantes</w:t>
      </w:r>
    </w:p>
    <w:p>
      <w:pPr>
        <w:pStyle w:val="ListParagraph"/>
        <w:numPr>
          <w:ilvl w:val="0"/>
          <w:numId w:val="2"/>
        </w:numPr>
        <w:spacing w:after="90" w:line="276"/>
      </w:pPr>
      <w:r>
        <w:rPr>
          <w:rFonts w:ascii="Calibri" w:cs="Calibri" w:eastAsia="Calibri" w:hAnsi="Calibri"/>
          <w:color w:val="3B3B3B"/>
          <w:sz w:val="21"/>
          <w:szCs w:val="21"/>
        </w:rPr>
        <w:t xml:space="preserve">El servidor Bio-time 72K Corp opera sobre Windows Server 2012, sistema operativo fuera de soporte extendido de Microsoft, lo que representa un riesgo de seguridad y de continuidad que debe atenderse durante o inmediatamente después de la migración.</w:t>
      </w:r>
    </w:p>
    <w:p>
      <w:pPr>
        <w:pStyle w:val="ListParagraph"/>
        <w:numPr>
          <w:ilvl w:val="0"/>
          <w:numId w:val="2"/>
        </w:numPr>
        <w:spacing w:after="90" w:line="276"/>
      </w:pPr>
      <w:r>
        <w:rPr>
          <w:rFonts w:ascii="Calibri" w:cs="Calibri" w:eastAsia="Calibri" w:hAnsi="Calibri"/>
          <w:color w:val="3B3B3B"/>
          <w:sz w:val="21"/>
          <w:szCs w:val="21"/>
        </w:rPr>
        <w:t xml:space="preserve">La configuración de VBS (Virtualization-based Security) es inconsistente entre servidores (habilitada solo en SAPB_1corp), lo que sugiere ausencia de un estándar de hardening unificado.</w:t>
      </w:r>
    </w:p>
    <w:p>
      <w:pPr>
        <w:pStyle w:val="ListParagraph"/>
        <w:numPr>
          <w:ilvl w:val="0"/>
          <w:numId w:val="2"/>
        </w:numPr>
        <w:spacing w:after="90" w:line="276"/>
      </w:pPr>
      <w:r>
        <w:rPr>
          <w:rFonts w:ascii="Calibri" w:cs="Calibri" w:eastAsia="Calibri" w:hAnsi="Calibri"/>
          <w:color w:val="3B3B3B"/>
          <w:sz w:val="21"/>
          <w:szCs w:val="21"/>
        </w:rPr>
        <w:t xml:space="preserve">Existen tres instancias de Directorio Activo (ADCapital2, ADCapital3, ADCapital.Corp2) cuya relación (réplicas, roles FSMO, sitios de AD) no está documentada en el inventario recibido y deberá confirmarse durante el descubrimiento.</w:t>
      </w:r>
    </w:p>
    <w:p>
      <w:pPr>
        <w:pStyle w:val="ListParagraph"/>
        <w:numPr>
          <w:ilvl w:val="0"/>
          <w:numId w:val="2"/>
        </w:numPr>
        <w:spacing w:after="90" w:line="276"/>
      </w:pPr>
      <w:r>
        <w:rPr>
          <w:rFonts w:ascii="Calibri" w:cs="Calibri" w:eastAsia="Calibri" w:hAnsi="Calibri"/>
          <w:color w:val="3B3B3B"/>
          <w:sz w:val="21"/>
          <w:szCs w:val="21"/>
        </w:rPr>
        <w:t xml:space="preserve">Los servidores "Terminal" y "SAPB_1corp" concentran la mayor asignación de cómputo (10 y 16 vCPU respectivamente) y de almacenamiento (SAPB_1corp con ~1.88 TB), por lo que son las cargas más sensibles al rendimiento y a la ventana de corte (cutover).</w:t>
      </w:r>
    </w:p>
    <w:p>
      <w:pPr>
        <w:pStyle w:val="ListParagraph"/>
        <w:numPr>
          <w:ilvl w:val="0"/>
          <w:numId w:val="2"/>
        </w:numPr>
        <w:spacing w:after="90" w:line="276"/>
      </w:pPr>
      <w:r>
        <w:rPr>
          <w:rFonts w:ascii="Calibri" w:cs="Calibri" w:eastAsia="Calibri" w:hAnsi="Calibri"/>
          <w:color w:val="3B3B3B"/>
          <w:sz w:val="21"/>
          <w:szCs w:val="21"/>
        </w:rPr>
        <w:t xml:space="preserve">El inventario provisto refleja capacidad asignada, no utilización real; se recomienda un levantamiento de métricas de uso (CPU, RAM, IOPS, red) de al menos 2 a 4 semanas antes de dimensionar de forma definitiva en Azure.</w:t>
      </w:r>
    </w:p>
    <w:p>
      <w:pPr>
        <w:pStyle w:val="ListParagraph"/>
        <w:numPr>
          <w:ilvl w:val="0"/>
          <w:numId w:val="2"/>
        </w:numPr>
        <w:spacing w:after="90" w:line="276"/>
      </w:pPr>
      <w:r>
        <w:rPr>
          <w:rFonts w:ascii="Calibri" w:cs="Calibri" w:eastAsia="Calibri" w:hAnsi="Calibri"/>
          <w:color w:val="3B3B3B"/>
          <w:sz w:val="21"/>
          <w:szCs w:val="21"/>
        </w:rPr>
        <w:t xml:space="preserve">No se cuenta aún con información sobre el ancho de banda de internet disponible ni sobre el dispositivo de borde (firewall/router) que se usaría para el túnel VPN hacia Azure; esto se levantará en la fase de descubrimiento.</w:t>
      </w:r>
    </w:p>
    <w:p>
      <w:pPr>
        <w:pStyle w:val="Heading1"/>
        <w:pBdr>
          <w:bottom w:val="single" w:color="0078D4" w:sz="8" w:space="4"/>
        </w:pBdr>
        <w:spacing w:after="160" w:before="360"/>
      </w:pPr>
      <w:r>
        <w:rPr>
          <w:rFonts w:ascii="Calibri" w:cs="Calibri" w:eastAsia="Calibri" w:hAnsi="Calibri"/>
          <w:b/>
          <w:bCs/>
          <w:color w:val="1F4E79"/>
          <w:sz w:val="30"/>
          <w:szCs w:val="30"/>
        </w:rPr>
        <w:t xml:space="preserve">2. Objetivo</w:t>
      </w:r>
    </w:p>
    <w:p>
      <w:pPr>
        <w:spacing w:after="160" w:line="276"/>
      </w:pPr>
      <w:r>
        <w:rPr>
          <w:rFonts w:ascii="Calibri" w:cs="Calibri" w:eastAsia="Calibri" w:hAnsi="Calibri"/>
          <w:color w:val="3B3B3B"/>
          <w:sz w:val="21"/>
          <w:szCs w:val="21"/>
        </w:rPr>
        <w:t xml:space="preserve">Diseñar y ejecutar la migración de las cargas de trabajo actuales del cliente hacia Microsoft Azure, preservando la continuidad operativa del negocio, modernizando los sistemas operativos que se encuentran fuera de soporte, y estableciendo los servicios habilitadores necesarios (conectividad híbrida, respaldo y monitoreo) para que la plataforma resultante sea segura, resiliente y operable en el tiempo. De forma específica, se busca:</w:t>
      </w:r>
    </w:p>
    <w:p>
      <w:pPr>
        <w:pStyle w:val="ListParagraph"/>
        <w:numPr>
          <w:ilvl w:val="0"/>
          <w:numId w:val="2"/>
        </w:numPr>
        <w:spacing w:after="90" w:line="276"/>
      </w:pPr>
      <w:r>
        <w:rPr>
          <w:rFonts w:ascii="Calibri" w:cs="Calibri" w:eastAsia="Calibri" w:hAnsi="Calibri"/>
          <w:color w:val="3B3B3B"/>
          <w:sz w:val="21"/>
          <w:szCs w:val="21"/>
        </w:rPr>
        <w:t xml:space="preserve">Migrar las 7 cargas de trabajo identificadas a máquinas virtuales de Azure (IaaS), con un dimensionamiento adecuado a su uso real.</w:t>
      </w:r>
    </w:p>
    <w:p>
      <w:pPr>
        <w:pStyle w:val="ListParagraph"/>
        <w:numPr>
          <w:ilvl w:val="0"/>
          <w:numId w:val="2"/>
        </w:numPr>
        <w:spacing w:after="90" w:line="276"/>
      </w:pPr>
      <w:r>
        <w:rPr>
          <w:rFonts w:ascii="Calibri" w:cs="Calibri" w:eastAsia="Calibri" w:hAnsi="Calibri"/>
          <w:color w:val="3B3B3B"/>
          <w:sz w:val="21"/>
          <w:szCs w:val="21"/>
        </w:rPr>
        <w:t xml:space="preserve">Establecer conectividad híbrida segura entre el sitio del cliente y Azure mediante una VPN Site-to-Site.</w:t>
      </w:r>
    </w:p>
    <w:p>
      <w:pPr>
        <w:pStyle w:val="ListParagraph"/>
        <w:numPr>
          <w:ilvl w:val="0"/>
          <w:numId w:val="2"/>
        </w:numPr>
        <w:spacing w:after="90" w:line="276"/>
      </w:pPr>
      <w:r>
        <w:rPr>
          <w:rFonts w:ascii="Calibri" w:cs="Calibri" w:eastAsia="Calibri" w:hAnsi="Calibri"/>
          <w:color w:val="3B3B3B"/>
          <w:sz w:val="21"/>
          <w:szCs w:val="21"/>
        </w:rPr>
        <w:t xml:space="preserve">Implementar una estrategia de respaldo (backup) centralizada en Azure para todas las cargas migradas.</w:t>
      </w:r>
    </w:p>
    <w:p>
      <w:pPr>
        <w:pStyle w:val="ListParagraph"/>
        <w:numPr>
          <w:ilvl w:val="0"/>
          <w:numId w:val="2"/>
        </w:numPr>
        <w:spacing w:after="90" w:line="276"/>
      </w:pPr>
      <w:r>
        <w:rPr>
          <w:rFonts w:ascii="Calibri" w:cs="Calibri" w:eastAsia="Calibri" w:hAnsi="Calibri"/>
          <w:color w:val="3B3B3B"/>
          <w:sz w:val="21"/>
          <w:szCs w:val="21"/>
        </w:rPr>
        <w:t xml:space="preserve">Habilitar monitoreo proactivo de la infraestructura (disponibilidad, rendimiento y seguridad) con alertamiento.</w:t>
      </w:r>
    </w:p>
    <w:p>
      <w:pPr>
        <w:pStyle w:val="ListParagraph"/>
        <w:numPr>
          <w:ilvl w:val="0"/>
          <w:numId w:val="2"/>
        </w:numPr>
        <w:spacing w:after="90" w:line="276"/>
      </w:pPr>
      <w:r>
        <w:rPr>
          <w:rFonts w:ascii="Calibri" w:cs="Calibri" w:eastAsia="Calibri" w:hAnsi="Calibri"/>
          <w:color w:val="3B3B3B"/>
          <w:sz w:val="21"/>
          <w:szCs w:val="21"/>
        </w:rPr>
        <w:t xml:space="preserve">Sentar las bases de una arquitectura de aterrizaje (landing zone) ordenada, segmentada y con controles de seguridad y acceso administrativo (Azure Bastion, NSGs, RBAC).</w:t>
      </w:r>
    </w:p>
    <w:p>
      <w:pPr>
        <w:pStyle w:val="ListParagraph"/>
        <w:numPr>
          <w:ilvl w:val="0"/>
          <w:numId w:val="2"/>
        </w:numPr>
        <w:spacing w:after="90" w:line="276"/>
      </w:pPr>
      <w:r>
        <w:rPr>
          <w:rFonts w:ascii="Calibri" w:cs="Calibri" w:eastAsia="Calibri" w:hAnsi="Calibri"/>
          <w:color w:val="3B3B3B"/>
          <w:sz w:val="21"/>
          <w:szCs w:val="21"/>
        </w:rPr>
        <w:t xml:space="preserve">Minimizar el tiempo de indisponibilidad de los sistemas críticos, en particular SAP Business One, durante el proceso de corte.</w:t>
      </w:r>
    </w:p>
    <w:p>
      <w:pPr>
        <w:pStyle w:val="Heading1"/>
        <w:pBdr>
          <w:bottom w:val="single" w:color="0078D4" w:sz="8" w:space="4"/>
        </w:pBdr>
        <w:spacing w:after="160" w:before="360"/>
      </w:pPr>
      <w:r>
        <w:rPr>
          <w:rFonts w:ascii="Calibri" w:cs="Calibri" w:eastAsia="Calibri" w:hAnsi="Calibri"/>
          <w:b/>
          <w:bCs/>
          <w:color w:val="1F4E79"/>
          <w:sz w:val="30"/>
          <w:szCs w:val="30"/>
        </w:rPr>
        <w:t xml:space="preserve">3. Arquitectura</w:t>
      </w:r>
    </w:p>
    <w:p>
      <w:pPr>
        <w:spacing w:after="160" w:line="276"/>
      </w:pPr>
      <w:r>
        <w:rPr>
          <w:rFonts w:ascii="Calibri" w:cs="Calibri" w:eastAsia="Calibri" w:hAnsi="Calibri"/>
          <w:color w:val="3B3B3B"/>
          <w:sz w:val="21"/>
          <w:szCs w:val="21"/>
        </w:rPr>
        <w:t xml:space="preserve">La arquitectura propuesta contempla una Landing Zone base sobre una suscripción de Azure, con una Red Virtual (VNet) segmentada en subredes de propósito específico, conectividad híbrida vía VPN Gateway, acceso administrativo seguro mediante Azure Bastion (evitando exponer RDP/SSH directamente a internet), y servicios transversales de respaldo y monitoreo. El siguiente diagrama resume los componentes principales:</w:t>
      </w:r>
    </w:p>
    <w:p>
      <w:pPr>
        <w:spacing w:after="120" w:before="120"/>
        <w:jc w:val="center"/>
      </w:pPr>
      <w:r>
        <w:drawing>
          <wp:inline distT="0" distB="0" distL="0" distR="0">
            <wp:extent cx="5715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76600"/>
                    </a:xfrm>
                    <a:prstGeom prst="rect">
                      <a:avLst/>
                    </a:prstGeom>
                  </pic:spPr>
                </pic:pic>
              </a:graphicData>
            </a:graphic>
          </wp:inline>
        </w:drawing>
      </w:r>
    </w:p>
    <w:p>
      <w:pPr>
        <w:pStyle w:val="Heading2"/>
        <w:spacing w:after="120" w:before="260"/>
      </w:pPr>
      <w:r>
        <w:rPr>
          <w:rFonts w:ascii="Calibri" w:cs="Calibri" w:eastAsia="Calibri" w:hAnsi="Calibri"/>
          <w:b/>
          <w:bCs/>
          <w:color w:val="0078D4"/>
          <w:sz w:val="24"/>
          <w:szCs w:val="24"/>
        </w:rPr>
        <w:t xml:space="preserve">3.1 Componentes clave</w:t>
      </w:r>
    </w:p>
    <w:p>
      <w:pPr>
        <w:pStyle w:val="ListParagraph"/>
        <w:numPr>
          <w:ilvl w:val="0"/>
          <w:numId w:val="2"/>
        </w:numPr>
        <w:spacing w:after="90" w:line="276"/>
      </w:pPr>
      <w:r>
        <w:rPr>
          <w:rFonts w:ascii="Calibri" w:cs="Calibri" w:eastAsia="Calibri" w:hAnsi="Calibri"/>
          <w:color w:val="3B3B3B"/>
          <w:sz w:val="21"/>
          <w:szCs w:val="21"/>
        </w:rPr>
        <w:t xml:space="preserve">Red Virtual (VNet) segmentada: subred de gateway (GatewaySubnet), subred de administración y subred de cargas de trabajo, cada una con su propio Network Security Group (NSG).</w:t>
      </w:r>
    </w:p>
    <w:p>
      <w:pPr>
        <w:pStyle w:val="ListParagraph"/>
        <w:numPr>
          <w:ilvl w:val="0"/>
          <w:numId w:val="2"/>
        </w:numPr>
        <w:spacing w:after="90" w:line="276"/>
      </w:pPr>
      <w:r>
        <w:rPr>
          <w:rFonts w:ascii="Calibri" w:cs="Calibri" w:eastAsia="Calibri" w:hAnsi="Calibri"/>
          <w:color w:val="3B3B3B"/>
          <w:sz w:val="21"/>
          <w:szCs w:val="21"/>
        </w:rPr>
        <w:t xml:space="preserve">VPN Gateway (Site-to-Site): túnel IPsec/IKEv2 permanente entre el dispositivo de borde del cliente y Azure, para administración, replicación y tráfico híbrido (p. ej. autenticación contra AD).</w:t>
      </w:r>
    </w:p>
    <w:p>
      <w:pPr>
        <w:pStyle w:val="ListParagraph"/>
        <w:numPr>
          <w:ilvl w:val="0"/>
          <w:numId w:val="2"/>
        </w:numPr>
        <w:spacing w:after="90" w:line="276"/>
      </w:pPr>
      <w:r>
        <w:rPr>
          <w:rFonts w:ascii="Calibri" w:cs="Calibri" w:eastAsia="Calibri" w:hAnsi="Calibri"/>
          <w:color w:val="3B3B3B"/>
          <w:sz w:val="21"/>
          <w:szCs w:val="21"/>
        </w:rPr>
        <w:t xml:space="preserve">Azure Bastion: acceso administrativo remoto (RDP/SSH) sin exponer IPs públicas en las VMs, reduciendo la superficie de ataque.</w:t>
      </w:r>
    </w:p>
    <w:p>
      <w:pPr>
        <w:pStyle w:val="ListParagraph"/>
        <w:numPr>
          <w:ilvl w:val="0"/>
          <w:numId w:val="2"/>
        </w:numPr>
        <w:spacing w:after="90" w:line="276"/>
      </w:pPr>
      <w:r>
        <w:rPr>
          <w:rFonts w:ascii="Calibri" w:cs="Calibri" w:eastAsia="Calibri" w:hAnsi="Calibri"/>
          <w:color w:val="3B3B3B"/>
          <w:sz w:val="21"/>
          <w:szCs w:val="21"/>
        </w:rPr>
        <w:t xml:space="preserve">Recovery Services Vault (Azure Backup): respaldo centralizado y políticas de retención para las 7 VMs migradas.</w:t>
      </w:r>
    </w:p>
    <w:p>
      <w:pPr>
        <w:pStyle w:val="ListParagraph"/>
        <w:numPr>
          <w:ilvl w:val="0"/>
          <w:numId w:val="2"/>
        </w:numPr>
        <w:spacing w:after="90" w:line="276"/>
      </w:pPr>
      <w:r>
        <w:rPr>
          <w:rFonts w:ascii="Calibri" w:cs="Calibri" w:eastAsia="Calibri" w:hAnsi="Calibri"/>
          <w:color w:val="3B3B3B"/>
          <w:sz w:val="21"/>
          <w:szCs w:val="21"/>
        </w:rPr>
        <w:t xml:space="preserve">Azure Monitor + Log Analytics: recolección de métricas y logs, dashboards y reglas de alertamiento (disponibilidad, CPU, memoria, disco, intentos de acceso).</w:t>
      </w:r>
    </w:p>
    <w:p>
      <w:pPr>
        <w:pStyle w:val="ListParagraph"/>
        <w:numPr>
          <w:ilvl w:val="0"/>
          <w:numId w:val="2"/>
        </w:numPr>
        <w:spacing w:after="90" w:line="276"/>
      </w:pPr>
      <w:r>
        <w:rPr>
          <w:rFonts w:ascii="Calibri" w:cs="Calibri" w:eastAsia="Calibri" w:hAnsi="Calibri"/>
          <w:color w:val="3B3B3B"/>
          <w:sz w:val="21"/>
          <w:szCs w:val="21"/>
        </w:rPr>
        <w:t xml:space="preserve">Microsoft Defender for Cloud: postura de seguridad y detección de amenazas a nivel de VM y red.</w:t>
      </w:r>
    </w:p>
    <w:p>
      <w:pPr>
        <w:pStyle w:val="ListParagraph"/>
        <w:numPr>
          <w:ilvl w:val="0"/>
          <w:numId w:val="2"/>
        </w:numPr>
        <w:spacing w:after="90" w:line="276"/>
      </w:pPr>
      <w:r>
        <w:rPr>
          <w:rFonts w:ascii="Calibri" w:cs="Calibri" w:eastAsia="Calibri" w:hAnsi="Calibri"/>
          <w:color w:val="3B3B3B"/>
          <w:sz w:val="21"/>
          <w:szCs w:val="21"/>
        </w:rPr>
        <w:t xml:space="preserve">Microsoft Entra ID (Azure AD) y Azure RBAC: control de acceso administrativo a los recursos de la suscripción, independiente del Directorio Activo migrado (que continúa operando como AD tradicional en las VMs).</w:t>
      </w:r>
    </w:p>
    <w:p>
      <w:pPr>
        <w:pStyle w:val="ListParagraph"/>
        <w:numPr>
          <w:ilvl w:val="0"/>
          <w:numId w:val="2"/>
        </w:numPr>
        <w:spacing w:after="90" w:line="276"/>
      </w:pPr>
      <w:r>
        <w:rPr>
          <w:rFonts w:ascii="Calibri" w:cs="Calibri" w:eastAsia="Calibri" w:hAnsi="Calibri"/>
          <w:color w:val="3B3B3B"/>
          <w:sz w:val="21"/>
          <w:szCs w:val="21"/>
        </w:rPr>
        <w:t xml:space="preserve">Discos administrados (Managed Disks): Premium SSD para cargas críticas de I/O (SAP Business One) y Standard SSD para el resto de las cargas.</w:t>
      </w:r>
    </w:p>
    <w:p>
      <w:pPr>
        <w:pBdr>
          <w:left w:val="single" w:color="CA5010" w:sz="16" w:space="8"/>
        </w:pBdr>
        <w:shd w:fill="FFF4E5" w:val="clear"/>
        <w:spacing w:after="220" w:before="120"/>
      </w:pPr>
      <w:r>
        <w:rPr>
          <w:rFonts w:ascii="Calibri" w:cs="Calibri" w:eastAsia="Calibri" w:hAnsi="Calibri"/>
          <w:i/>
          <w:iCs/>
          <w:color w:val="7A4A17"/>
          <w:sz w:val="19"/>
          <w:szCs w:val="19"/>
        </w:rPr>
        <w:t xml:space="preserve">Nota: el diagrama representa la arquitectura objetivo de referencia. El diseño detallado (rangos de direccionamiento IP, número de VNets, topología hub-spoke si aplica) se definirá en la fase de diseño de la Landing Zone, en conjunto con el equipo de TI del cliente.</w:t>
      </w:r>
    </w:p>
    <w:p>
      <w:pPr>
        <w:pStyle w:val="Heading1"/>
        <w:pBdr>
          <w:bottom w:val="single" w:color="0078D4" w:sz="8" w:space="4"/>
        </w:pBdr>
        <w:spacing w:after="160" w:before="360"/>
      </w:pPr>
      <w:r>
        <w:rPr>
          <w:rFonts w:ascii="Calibri" w:cs="Calibri" w:eastAsia="Calibri" w:hAnsi="Calibri"/>
          <w:b/>
          <w:bCs/>
          <w:color w:val="1F4E79"/>
          <w:sz w:val="30"/>
          <w:szCs w:val="30"/>
        </w:rPr>
        <w:t xml:space="preserve">4. Estrategia</w:t>
      </w:r>
    </w:p>
    <w:p>
      <w:pPr>
        <w:spacing w:after="160" w:line="276"/>
      </w:pPr>
      <w:r>
        <w:rPr>
          <w:rFonts w:ascii="Calibri" w:cs="Calibri" w:eastAsia="Calibri" w:hAnsi="Calibri"/>
          <w:color w:val="3B3B3B"/>
          <w:sz w:val="21"/>
          <w:szCs w:val="21"/>
        </w:rPr>
        <w:t xml:space="preserve">Se propone una estrategia de migración "rehost" (lift-and-shift) para las 7 cargas de trabajo, dado que son servidores de infraestructura y aplicaciones ya estables (Directorio Activo, Terminal Server, ERP, control de asistencia e inventario). Esta estrategia minimiza el riesgo y el tiempo de proyecto frente a un re-diseño o refactorización de aplicaciones, que quedaría como una fase posterior y opcional. La ejecución se organiza en cuatro etapas y tres oleadas de migración:</w:t>
      </w:r>
    </w:p>
    <w:p>
      <w:pPr>
        <w:pStyle w:val="Heading2"/>
        <w:spacing w:after="120" w:before="260"/>
      </w:pPr>
      <w:r>
        <w:rPr>
          <w:rFonts w:ascii="Calibri" w:cs="Calibri" w:eastAsia="Calibri" w:hAnsi="Calibri"/>
          <w:b/>
          <w:bCs/>
          <w:color w:val="0078D4"/>
          <w:sz w:val="24"/>
          <w:szCs w:val="24"/>
        </w:rPr>
        <w:t xml:space="preserve">4.1 Etapas</w:t>
      </w:r>
    </w:p>
    <w:p>
      <w:pPr>
        <w:pStyle w:val="ListParagraph"/>
        <w:numPr>
          <w:ilvl w:val="0"/>
          <w:numId w:val="2"/>
        </w:numPr>
        <w:spacing w:after="90" w:line="276"/>
      </w:pPr>
      <w:r>
        <w:rPr>
          <w:rFonts w:ascii="Calibri" w:cs="Calibri" w:eastAsia="Calibri" w:hAnsi="Calibri"/>
          <w:color w:val="3B3B3B"/>
          <w:sz w:val="21"/>
          <w:szCs w:val="21"/>
        </w:rPr>
        <w:t xml:space="preserve">Descubrimiento y evaluación: instalación del agente de Azure Migrate (o herramienta equivalente) sobre el entorno actual para recolectar métricas reales de utilización, mapear dependencias entre servidores y validar compatibilidad de migración.</w:t>
      </w:r>
    </w:p>
    <w:p>
      <w:pPr>
        <w:pStyle w:val="ListParagraph"/>
        <w:numPr>
          <w:ilvl w:val="0"/>
          <w:numId w:val="2"/>
        </w:numPr>
        <w:spacing w:after="90" w:line="276"/>
      </w:pPr>
      <w:r>
        <w:rPr>
          <w:rFonts w:ascii="Calibri" w:cs="Calibri" w:eastAsia="Calibri" w:hAnsi="Calibri"/>
          <w:color w:val="3B3B3B"/>
          <w:sz w:val="21"/>
          <w:szCs w:val="21"/>
        </w:rPr>
        <w:t xml:space="preserve">Diseño de la Landing Zone: definición de la suscripción, VNet, subredes, NSGs, VPN Gateway, políticas de nomenclatura, RBAC y estructura de Resource Groups.</w:t>
      </w:r>
    </w:p>
    <w:p>
      <w:pPr>
        <w:pStyle w:val="ListParagraph"/>
        <w:numPr>
          <w:ilvl w:val="0"/>
          <w:numId w:val="2"/>
        </w:numPr>
        <w:spacing w:after="90" w:line="276"/>
      </w:pPr>
      <w:r>
        <w:rPr>
          <w:rFonts w:ascii="Calibri" w:cs="Calibri" w:eastAsia="Calibri" w:hAnsi="Calibri"/>
          <w:color w:val="3B3B3B"/>
          <w:sz w:val="21"/>
          <w:szCs w:val="21"/>
        </w:rPr>
        <w:t xml:space="preserve">Migración por oleadas: replicación y corte (cutover) de las cargas de trabajo, agrupadas por criticidad y dependencia.</w:t>
      </w:r>
    </w:p>
    <w:p>
      <w:pPr>
        <w:pStyle w:val="ListParagraph"/>
        <w:numPr>
          <w:ilvl w:val="0"/>
          <w:numId w:val="2"/>
        </w:numPr>
        <w:spacing w:after="90" w:line="276"/>
      </w:pPr>
      <w:r>
        <w:rPr>
          <w:rFonts w:ascii="Calibri" w:cs="Calibri" w:eastAsia="Calibri" w:hAnsi="Calibri"/>
          <w:color w:val="3B3B3B"/>
          <w:sz w:val="21"/>
          <w:szCs w:val="21"/>
        </w:rPr>
        <w:t xml:space="preserve">Optimización y estabilización: ajuste de tamaño (right-sizing) de las VMs con base en el consumo real observado en Azure, aplicación de Azure Hybrid Benefit y/o instancias reservadas, y cierre del periodo de hypercare.</w:t>
      </w:r>
    </w:p>
    <w:p>
      <w:pPr>
        <w:pStyle w:val="Heading2"/>
        <w:spacing w:after="120" w:before="260"/>
      </w:pPr>
      <w:r>
        <w:rPr>
          <w:rFonts w:ascii="Calibri" w:cs="Calibri" w:eastAsia="Calibri" w:hAnsi="Calibri"/>
          <w:b/>
          <w:bCs/>
          <w:color w:val="0078D4"/>
          <w:sz w:val="24"/>
          <w:szCs w:val="24"/>
        </w:rPr>
        <w:t xml:space="preserve">4.2 Oleadas de migración propuestas</w:t>
      </w:r>
    </w:p>
    <w:p>
      <w:pPr>
        <w:pStyle w:val="ListParagraph"/>
        <w:numPr>
          <w:ilvl w:val="0"/>
          <w:numId w:val="2"/>
        </w:numPr>
        <w:spacing w:after="90" w:line="276"/>
      </w:pPr>
      <w:r>
        <w:rPr>
          <w:rFonts w:ascii="Calibri" w:cs="Calibri" w:eastAsia="Calibri" w:hAnsi="Calibri"/>
          <w:color w:val="3B3B3B"/>
          <w:sz w:val="21"/>
          <w:szCs w:val="21"/>
        </w:rPr>
        <w:t xml:space="preserve">Oleada 1 (bajo riesgo): Inventario_Ubuntu2 y uno de los controladores de dominio (ADCapital3), para validar el proceso de migración y la conectividad de extremo a extremo.</w:t>
      </w:r>
    </w:p>
    <w:p>
      <w:pPr>
        <w:pStyle w:val="ListParagraph"/>
        <w:numPr>
          <w:ilvl w:val="0"/>
          <w:numId w:val="2"/>
        </w:numPr>
        <w:spacing w:after="90" w:line="276"/>
      </w:pPr>
      <w:r>
        <w:rPr>
          <w:rFonts w:ascii="Calibri" w:cs="Calibri" w:eastAsia="Calibri" w:hAnsi="Calibri"/>
          <w:color w:val="3B3B3B"/>
          <w:sz w:val="21"/>
          <w:szCs w:val="21"/>
        </w:rPr>
        <w:t xml:space="preserve">Oleada 2 (riesgo medio): ADCapital2, ADCapital.Corp2, Terminal y Bio-time 72K Corp.</w:t>
      </w:r>
    </w:p>
    <w:p>
      <w:pPr>
        <w:pStyle w:val="ListParagraph"/>
        <w:numPr>
          <w:ilvl w:val="0"/>
          <w:numId w:val="2"/>
        </w:numPr>
        <w:spacing w:after="90" w:line="276"/>
      </w:pPr>
      <w:r>
        <w:rPr>
          <w:rFonts w:ascii="Calibri" w:cs="Calibri" w:eastAsia="Calibri" w:hAnsi="Calibri"/>
          <w:color w:val="3B3B3B"/>
          <w:sz w:val="21"/>
          <w:szCs w:val="21"/>
        </w:rPr>
        <w:t xml:space="preserve">Oleada 3 (crítico): SAPB_1corp (SAP Business One), migrado al final, con ventana de mantenimiento coordinada, pruebas funcionales exhaustivas y plan de retorno a operación previa (rollback) definido antes del corte.</w:t>
      </w:r>
    </w:p>
    <w:p>
      <w:pPr>
        <w:pBdr>
          <w:left w:val="single" w:color="CA5010" w:sz="16" w:space="8"/>
        </w:pBdr>
        <w:shd w:fill="FFF4E5" w:val="clear"/>
        <w:spacing w:after="220" w:before="120"/>
      </w:pPr>
      <w:r>
        <w:rPr>
          <w:rFonts w:ascii="Calibri" w:cs="Calibri" w:eastAsia="Calibri" w:hAnsi="Calibri"/>
          <w:i/>
          <w:iCs/>
          <w:color w:val="7A4A17"/>
          <w:sz w:val="19"/>
          <w:szCs w:val="19"/>
        </w:rPr>
        <w:t xml:space="preserve">Nota: el orden y agrupación de oleadas es una recomendación inicial; se ajustará con base en los hallazgos del descubrimiento (dependencias reales entre AD, Terminal y SAP).</w:t>
      </w:r>
    </w:p>
    <w:p>
      <w:pPr>
        <w:pStyle w:val="Heading1"/>
        <w:pBdr>
          <w:bottom w:val="single" w:color="0078D4" w:sz="8" w:space="4"/>
        </w:pBdr>
        <w:spacing w:after="160" w:before="360"/>
      </w:pPr>
      <w:r>
        <w:rPr>
          <w:rFonts w:ascii="Calibri" w:cs="Calibri" w:eastAsia="Calibri" w:hAnsi="Calibri"/>
          <w:b/>
          <w:bCs/>
          <w:color w:val="1F4E79"/>
          <w:sz w:val="30"/>
          <w:szCs w:val="30"/>
        </w:rPr>
        <w:t xml:space="preserve">5. Alcances</w:t>
      </w:r>
    </w:p>
    <w:p>
      <w:pPr>
        <w:pStyle w:val="ListParagraph"/>
        <w:numPr>
          <w:ilvl w:val="0"/>
          <w:numId w:val="2"/>
        </w:numPr>
        <w:spacing w:after="90" w:line="276"/>
      </w:pPr>
      <w:r>
        <w:rPr>
          <w:rFonts w:ascii="Calibri" w:cs="Calibri" w:eastAsia="Calibri" w:hAnsi="Calibri"/>
          <w:color w:val="3B3B3B"/>
          <w:sz w:val="21"/>
          <w:szCs w:val="21"/>
        </w:rPr>
        <w:t xml:space="preserve">Levantamiento y assessment de las 7 VMs actuales mediante Azure Migrate (o herramienta equivalente).</w:t>
      </w:r>
    </w:p>
    <w:p>
      <w:pPr>
        <w:pStyle w:val="ListParagraph"/>
        <w:numPr>
          <w:ilvl w:val="0"/>
          <w:numId w:val="2"/>
        </w:numPr>
        <w:spacing w:after="90" w:line="276"/>
      </w:pPr>
      <w:r>
        <w:rPr>
          <w:rFonts w:ascii="Calibri" w:cs="Calibri" w:eastAsia="Calibri" w:hAnsi="Calibri"/>
          <w:color w:val="3B3B3B"/>
          <w:sz w:val="21"/>
          <w:szCs w:val="21"/>
        </w:rPr>
        <w:t xml:space="preserve">Diseño de la arquitectura de Landing Zone (VNet, subredes, NSGs, nomenclatura, estructura de Resource Groups).</w:t>
      </w:r>
    </w:p>
    <w:p>
      <w:pPr>
        <w:pStyle w:val="ListParagraph"/>
        <w:numPr>
          <w:ilvl w:val="0"/>
          <w:numId w:val="2"/>
        </w:numPr>
        <w:spacing w:after="90" w:line="276"/>
      </w:pPr>
      <w:r>
        <w:rPr>
          <w:rFonts w:ascii="Calibri" w:cs="Calibri" w:eastAsia="Calibri" w:hAnsi="Calibri"/>
          <w:color w:val="3B3B3B"/>
          <w:sz w:val="21"/>
          <w:szCs w:val="21"/>
        </w:rPr>
        <w:t xml:space="preserve">Migración lift-and-shift de las 7 cargas de trabajo a máquinas virtuales de Azure.</w:t>
      </w:r>
    </w:p>
    <w:p>
      <w:pPr>
        <w:pStyle w:val="ListParagraph"/>
        <w:numPr>
          <w:ilvl w:val="0"/>
          <w:numId w:val="2"/>
        </w:numPr>
        <w:spacing w:after="90" w:line="276"/>
      </w:pPr>
      <w:r>
        <w:rPr>
          <w:rFonts w:ascii="Calibri" w:cs="Calibri" w:eastAsia="Calibri" w:hAnsi="Calibri"/>
          <w:color w:val="3B3B3B"/>
          <w:sz w:val="21"/>
          <w:szCs w:val="21"/>
        </w:rPr>
        <w:t xml:space="preserve">Configuración de conectividad híbrida mediante VPN Site-to-Site entre el sitio del cliente y Azure.</w:t>
      </w:r>
    </w:p>
    <w:p>
      <w:pPr>
        <w:pStyle w:val="ListParagraph"/>
        <w:numPr>
          <w:ilvl w:val="0"/>
          <w:numId w:val="2"/>
        </w:numPr>
        <w:spacing w:after="90" w:line="276"/>
      </w:pPr>
      <w:r>
        <w:rPr>
          <w:rFonts w:ascii="Calibri" w:cs="Calibri" w:eastAsia="Calibri" w:hAnsi="Calibri"/>
          <w:color w:val="3B3B3B"/>
          <w:sz w:val="21"/>
          <w:szCs w:val="21"/>
        </w:rPr>
        <w:t xml:space="preserve">Configuración de Azure Bastion para acceso administrativo remoto seguro.</w:t>
      </w:r>
    </w:p>
    <w:p>
      <w:pPr>
        <w:pStyle w:val="ListParagraph"/>
        <w:numPr>
          <w:ilvl w:val="0"/>
          <w:numId w:val="2"/>
        </w:numPr>
        <w:spacing w:after="90" w:line="276"/>
      </w:pPr>
      <w:r>
        <w:rPr>
          <w:rFonts w:ascii="Calibri" w:cs="Calibri" w:eastAsia="Calibri" w:hAnsi="Calibri"/>
          <w:color w:val="3B3B3B"/>
          <w:sz w:val="21"/>
          <w:szCs w:val="21"/>
        </w:rPr>
        <w:t xml:space="preserve">Configuración de Azure Backup (Recovery Services Vault) con políticas de retención para las 7 VMs.</w:t>
      </w:r>
    </w:p>
    <w:p>
      <w:pPr>
        <w:pStyle w:val="ListParagraph"/>
        <w:numPr>
          <w:ilvl w:val="0"/>
          <w:numId w:val="2"/>
        </w:numPr>
        <w:spacing w:after="90" w:line="276"/>
      </w:pPr>
      <w:r>
        <w:rPr>
          <w:rFonts w:ascii="Calibri" w:cs="Calibri" w:eastAsia="Calibri" w:hAnsi="Calibri"/>
          <w:color w:val="3B3B3B"/>
          <w:sz w:val="21"/>
          <w:szCs w:val="21"/>
        </w:rPr>
        <w:t xml:space="preserve">Configuración de monitoreo con Azure Monitor / Log Analytics y alertas básicas de disponibilidad y capacidad.</w:t>
      </w:r>
    </w:p>
    <w:p>
      <w:pPr>
        <w:pStyle w:val="ListParagraph"/>
        <w:numPr>
          <w:ilvl w:val="0"/>
          <w:numId w:val="2"/>
        </w:numPr>
        <w:spacing w:after="90" w:line="276"/>
      </w:pPr>
      <w:r>
        <w:rPr>
          <w:rFonts w:ascii="Calibri" w:cs="Calibri" w:eastAsia="Calibri" w:hAnsi="Calibri"/>
          <w:color w:val="3B3B3B"/>
          <w:sz w:val="21"/>
          <w:szCs w:val="21"/>
        </w:rPr>
        <w:t xml:space="preserve">Configuración base de seguridad: NSGs, Microsoft Defender for Cloud (plan básico) y RBAC de la suscripción.</w:t>
      </w:r>
    </w:p>
    <w:p>
      <w:pPr>
        <w:pStyle w:val="ListParagraph"/>
        <w:numPr>
          <w:ilvl w:val="0"/>
          <w:numId w:val="2"/>
        </w:numPr>
        <w:spacing w:after="90" w:line="276"/>
      </w:pPr>
      <w:r>
        <w:rPr>
          <w:rFonts w:ascii="Calibri" w:cs="Calibri" w:eastAsia="Calibri" w:hAnsi="Calibri"/>
          <w:color w:val="3B3B3B"/>
          <w:sz w:val="21"/>
          <w:szCs w:val="21"/>
        </w:rPr>
        <w:t xml:space="preserve">Pruebas de validación funcional post-migración por cada oleada, con acompañamiento durante el corte de SAP Business One.</w:t>
      </w:r>
    </w:p>
    <w:p>
      <w:pPr>
        <w:pStyle w:val="ListParagraph"/>
        <w:numPr>
          <w:ilvl w:val="0"/>
          <w:numId w:val="2"/>
        </w:numPr>
        <w:spacing w:after="90" w:line="276"/>
      </w:pPr>
      <w:r>
        <w:rPr>
          <w:rFonts w:ascii="Calibri" w:cs="Calibri" w:eastAsia="Calibri" w:hAnsi="Calibri"/>
          <w:color w:val="3B3B3B"/>
          <w:sz w:val="21"/>
          <w:szCs w:val="21"/>
        </w:rPr>
        <w:t xml:space="preserve">Periodo de hypercare (acompañamiento post-migración) de dos semanas.</w:t>
      </w:r>
    </w:p>
    <w:p>
      <w:pPr>
        <w:pStyle w:val="ListParagraph"/>
        <w:numPr>
          <w:ilvl w:val="0"/>
          <w:numId w:val="2"/>
        </w:numPr>
        <w:spacing w:after="90" w:line="276"/>
      </w:pPr>
      <w:r>
        <w:rPr>
          <w:rFonts w:ascii="Calibri" w:cs="Calibri" w:eastAsia="Calibri" w:hAnsi="Calibri"/>
          <w:color w:val="3B3B3B"/>
          <w:sz w:val="21"/>
          <w:szCs w:val="21"/>
        </w:rPr>
        <w:t xml:space="preserve">Documentación técnica de la arquitectura implementada y manual de operación básico (runbook).</w:t>
      </w:r>
    </w:p>
    <w:p>
      <w:pPr>
        <w:pStyle w:val="Heading1"/>
        <w:pBdr>
          <w:bottom w:val="single" w:color="0078D4" w:sz="8" w:space="4"/>
        </w:pBdr>
        <w:spacing w:after="160" w:before="360"/>
      </w:pPr>
      <w:r>
        <w:rPr>
          <w:rFonts w:ascii="Calibri" w:cs="Calibri" w:eastAsia="Calibri" w:hAnsi="Calibri"/>
          <w:b/>
          <w:bCs/>
          <w:color w:val="1F4E79"/>
          <w:sz w:val="30"/>
          <w:szCs w:val="30"/>
        </w:rPr>
        <w:t xml:space="preserve">6. Fuera de Alcance</w:t>
      </w:r>
    </w:p>
    <w:p>
      <w:pPr>
        <w:pStyle w:val="ListParagraph"/>
        <w:numPr>
          <w:ilvl w:val="0"/>
          <w:numId w:val="2"/>
        </w:numPr>
        <w:spacing w:after="90" w:line="276"/>
      </w:pPr>
      <w:r>
        <w:rPr>
          <w:rFonts w:ascii="Calibri" w:cs="Calibri" w:eastAsia="Calibri" w:hAnsi="Calibri"/>
          <w:color w:val="3B3B3B"/>
          <w:sz w:val="21"/>
          <w:szCs w:val="21"/>
        </w:rPr>
        <w:t xml:space="preserve">Refactorización, modernización o re-arquitectura de aplicaciones (p. ej. migración de SAP Business One a SAP HANA, contenerización, migración a PaaS).</w:t>
      </w:r>
    </w:p>
    <w:p>
      <w:pPr>
        <w:pStyle w:val="ListParagraph"/>
        <w:numPr>
          <w:ilvl w:val="0"/>
          <w:numId w:val="2"/>
        </w:numPr>
        <w:spacing w:after="90" w:line="276"/>
      </w:pPr>
      <w:r>
        <w:rPr>
          <w:rFonts w:ascii="Calibri" w:cs="Calibri" w:eastAsia="Calibri" w:hAnsi="Calibri"/>
          <w:color w:val="3B3B3B"/>
          <w:sz w:val="21"/>
          <w:szCs w:val="21"/>
        </w:rPr>
        <w:t xml:space="preserve">Actualización del sistema operativo dentro del alcance de esta migración; las cargas se migran "as-is". La actualización de Windows Server 2012 (Bio-time) y demás versiones EOL puede plantearse como proyecto posterior.</w:t>
      </w:r>
    </w:p>
    <w:p>
      <w:pPr>
        <w:pStyle w:val="ListParagraph"/>
        <w:numPr>
          <w:ilvl w:val="0"/>
          <w:numId w:val="2"/>
        </w:numPr>
        <w:spacing w:after="90" w:line="276"/>
      </w:pPr>
      <w:r>
        <w:rPr>
          <w:rFonts w:ascii="Calibri" w:cs="Calibri" w:eastAsia="Calibri" w:hAnsi="Calibri"/>
          <w:color w:val="3B3B3B"/>
          <w:sz w:val="21"/>
          <w:szCs w:val="21"/>
        </w:rPr>
        <w:t xml:space="preserve">Licenciamiento de software de terceros (Windows Server, SAP Business One, Bio-time y sus módulos): su vigencia, renovación y costos son responsabilidad del cliente, salvo que se opte por Pago por Uso (PAYG) de Windows Server incluido en el cómputo de Azure.</w:t>
      </w:r>
    </w:p>
    <w:p>
      <w:pPr>
        <w:pStyle w:val="ListParagraph"/>
        <w:numPr>
          <w:ilvl w:val="0"/>
          <w:numId w:val="2"/>
        </w:numPr>
        <w:spacing w:after="90" w:line="276"/>
      </w:pPr>
      <w:r>
        <w:rPr>
          <w:rFonts w:ascii="Calibri" w:cs="Calibri" w:eastAsia="Calibri" w:hAnsi="Calibri"/>
          <w:color w:val="3B3B3B"/>
          <w:sz w:val="21"/>
          <w:szCs w:val="21"/>
        </w:rPr>
        <w:t xml:space="preserve">Diseño e implementación de un sitio de recuperación ante desastres (DR) multi-región; el alcance de esta propuesta cubre únicamente respaldo (backup), no replicación para DR.</w:t>
      </w:r>
    </w:p>
    <w:p>
      <w:pPr>
        <w:pStyle w:val="ListParagraph"/>
        <w:numPr>
          <w:ilvl w:val="0"/>
          <w:numId w:val="2"/>
        </w:numPr>
        <w:spacing w:after="90" w:line="276"/>
      </w:pPr>
      <w:r>
        <w:rPr>
          <w:rFonts w:ascii="Calibri" w:cs="Calibri" w:eastAsia="Calibri" w:hAnsi="Calibri"/>
          <w:color w:val="3B3B3B"/>
          <w:sz w:val="21"/>
          <w:szCs w:val="21"/>
        </w:rPr>
        <w:t xml:space="preserve">Soporte o gestión de infraestructura on-premises adicional a los 7 servidores listados (switches, firewalls, otros servidores no inventariados).</w:t>
      </w:r>
    </w:p>
    <w:p>
      <w:pPr>
        <w:pStyle w:val="ListParagraph"/>
        <w:numPr>
          <w:ilvl w:val="0"/>
          <w:numId w:val="2"/>
        </w:numPr>
        <w:spacing w:after="90" w:line="276"/>
      </w:pPr>
      <w:r>
        <w:rPr>
          <w:rFonts w:ascii="Calibri" w:cs="Calibri" w:eastAsia="Calibri" w:hAnsi="Calibri"/>
          <w:color w:val="3B3B3B"/>
          <w:sz w:val="21"/>
          <w:szCs w:val="21"/>
        </w:rPr>
        <w:t xml:space="preserve">Capacitación extensa a usuarios finales; se incluye únicamente una sesión de transferencia de conocimiento (handover) al equipo técnico del cliente.</w:t>
      </w:r>
    </w:p>
    <w:p>
      <w:pPr>
        <w:pStyle w:val="ListParagraph"/>
        <w:numPr>
          <w:ilvl w:val="0"/>
          <w:numId w:val="2"/>
        </w:numPr>
        <w:spacing w:after="90" w:line="276"/>
      </w:pPr>
      <w:r>
        <w:rPr>
          <w:rFonts w:ascii="Calibri" w:cs="Calibri" w:eastAsia="Calibri" w:hAnsi="Calibri"/>
          <w:color w:val="3B3B3B"/>
          <w:sz w:val="21"/>
          <w:szCs w:val="21"/>
        </w:rPr>
        <w:t xml:space="preserve">Optimización de costos avanzada (FinOps) más allá de las recomendaciones iniciales de Azure Hybrid Benefit / instancias reservadas incluidas en la fase de estabilización.</w:t>
      </w:r>
    </w:p>
    <w:p>
      <w:pPr>
        <w:pStyle w:val="Heading1"/>
        <w:pBdr>
          <w:bottom w:val="single" w:color="0078D4" w:sz="8" w:space="4"/>
        </w:pBdr>
        <w:spacing w:after="160" w:before="360"/>
      </w:pPr>
      <w:r>
        <w:rPr>
          <w:rFonts w:ascii="Calibri" w:cs="Calibri" w:eastAsia="Calibri" w:hAnsi="Calibri"/>
          <w:b/>
          <w:bCs/>
          <w:color w:val="1F4E79"/>
          <w:sz w:val="30"/>
          <w:szCs w:val="30"/>
        </w:rPr>
        <w:t xml:space="preserve">7. Requerimientos Técnico / Humano</w:t>
      </w:r>
    </w:p>
    <w:p>
      <w:pPr>
        <w:pStyle w:val="Heading2"/>
        <w:spacing w:after="120" w:before="260"/>
      </w:pPr>
      <w:r>
        <w:rPr>
          <w:rFonts w:ascii="Calibri" w:cs="Calibri" w:eastAsia="Calibri" w:hAnsi="Calibri"/>
          <w:b/>
          <w:bCs/>
          <w:color w:val="0078D4"/>
          <w:sz w:val="24"/>
          <w:szCs w:val="24"/>
        </w:rPr>
        <w:t xml:space="preserve">7.1 Requerimientos técnicos</w:t>
      </w:r>
    </w:p>
    <w:p>
      <w:pPr>
        <w:pStyle w:val="ListParagraph"/>
        <w:numPr>
          <w:ilvl w:val="0"/>
          <w:numId w:val="2"/>
        </w:numPr>
        <w:spacing w:after="90" w:line="276"/>
      </w:pPr>
      <w:r>
        <w:rPr>
          <w:rFonts w:ascii="Calibri" w:cs="Calibri" w:eastAsia="Calibri" w:hAnsi="Calibri"/>
          <w:color w:val="3B3B3B"/>
          <w:sz w:val="21"/>
          <w:szCs w:val="21"/>
        </w:rPr>
        <w:t xml:space="preserve">Suscripción de Microsoft Azure activa, con un rol de Owner o Contributor disponible para el equipo de migración.</w:t>
      </w:r>
    </w:p>
    <w:p>
      <w:pPr>
        <w:pStyle w:val="ListParagraph"/>
        <w:numPr>
          <w:ilvl w:val="0"/>
          <w:numId w:val="2"/>
        </w:numPr>
        <w:spacing w:after="90" w:line="276"/>
      </w:pPr>
      <w:r>
        <w:rPr>
          <w:rFonts w:ascii="Calibri" w:cs="Calibri" w:eastAsia="Calibri" w:hAnsi="Calibri"/>
          <w:color w:val="3B3B3B"/>
          <w:sz w:val="21"/>
          <w:szCs w:val="21"/>
        </w:rPr>
        <w:t xml:space="preserve">Dispositivo de borde (firewall/router) en el sitio del cliente compatible con VPN IPsec/IKEv2 y con una IP pública estática.</w:t>
      </w:r>
    </w:p>
    <w:p>
      <w:pPr>
        <w:pStyle w:val="ListParagraph"/>
        <w:numPr>
          <w:ilvl w:val="0"/>
          <w:numId w:val="2"/>
        </w:numPr>
        <w:spacing w:after="90" w:line="276"/>
      </w:pPr>
      <w:r>
        <w:rPr>
          <w:rFonts w:ascii="Calibri" w:cs="Calibri" w:eastAsia="Calibri" w:hAnsi="Calibri"/>
          <w:color w:val="3B3B3B"/>
          <w:sz w:val="21"/>
          <w:szCs w:val="21"/>
        </w:rPr>
        <w:t xml:space="preserve">Ancho de banda de internet suficiente para la replicación inicial de las cargas de trabajo; se recomienda validar disponibilidad de al menos 50–100 Mbps dedicados durante la ventana de migración, en especial para SAPB_1corp (~1.88 TB de disco).</w:t>
      </w:r>
    </w:p>
    <w:p>
      <w:pPr>
        <w:pStyle w:val="ListParagraph"/>
        <w:numPr>
          <w:ilvl w:val="0"/>
          <w:numId w:val="2"/>
        </w:numPr>
        <w:spacing w:after="90" w:line="276"/>
      </w:pPr>
      <w:r>
        <w:rPr>
          <w:rFonts w:ascii="Calibri" w:cs="Calibri" w:eastAsia="Calibri" w:hAnsi="Calibri"/>
          <w:color w:val="3B3B3B"/>
          <w:sz w:val="21"/>
          <w:szCs w:val="21"/>
        </w:rPr>
        <w:t xml:space="preserve">Acceso administrativo (nivel sistema operativo e hipervisor) a los 7 servidores actuales, para la instalación del agente de replicación/migración.</w:t>
      </w:r>
    </w:p>
    <w:p>
      <w:pPr>
        <w:pStyle w:val="ListParagraph"/>
        <w:numPr>
          <w:ilvl w:val="0"/>
          <w:numId w:val="2"/>
        </w:numPr>
        <w:spacing w:after="90" w:line="276"/>
      </w:pPr>
      <w:r>
        <w:rPr>
          <w:rFonts w:ascii="Calibri" w:cs="Calibri" w:eastAsia="Calibri" w:hAnsi="Calibri"/>
          <w:color w:val="3B3B3B"/>
          <w:sz w:val="21"/>
          <w:szCs w:val="21"/>
        </w:rPr>
        <w:t xml:space="preserve">Ventanas de mantenimiento coordinadas con el cliente para el corte (cutover) de cada oleada, en particular para SAP Business One.</w:t>
      </w:r>
    </w:p>
    <w:p>
      <w:pPr>
        <w:pStyle w:val="ListParagraph"/>
        <w:numPr>
          <w:ilvl w:val="0"/>
          <w:numId w:val="2"/>
        </w:numPr>
        <w:spacing w:after="90" w:line="276"/>
      </w:pPr>
      <w:r>
        <w:rPr>
          <w:rFonts w:ascii="Calibri" w:cs="Calibri" w:eastAsia="Calibri" w:hAnsi="Calibri"/>
          <w:color w:val="3B3B3B"/>
          <w:sz w:val="21"/>
          <w:szCs w:val="21"/>
        </w:rPr>
        <w:t xml:space="preserve">Información de licenciamiento vigente de Windows Server (para evaluar aplicabilidad de Azure Hybrid Benefit) y de SAP Business One.</w:t>
      </w:r>
    </w:p>
    <w:p>
      <w:pPr>
        <w:pStyle w:val="Heading2"/>
        <w:spacing w:after="120" w:before="260"/>
      </w:pPr>
      <w:r>
        <w:rPr>
          <w:rFonts w:ascii="Calibri" w:cs="Calibri" w:eastAsia="Calibri" w:hAnsi="Calibri"/>
          <w:b/>
          <w:bCs/>
          <w:color w:val="0078D4"/>
          <w:sz w:val="24"/>
          <w:szCs w:val="24"/>
        </w:rPr>
        <w:t xml:space="preserve">7.2 Requerimientos humanos</w:t>
      </w:r>
    </w:p>
    <w:tbl>
      <w:tblPr>
        <w:tblW w:type="dxa" w:w="101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4100"/>
        <w:gridCol w:w="2800"/>
      </w:tblGrid>
      <w:tr>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w:t>
            </w:r>
          </w:p>
        </w:tc>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Responsabilidad principal</w:t>
            </w:r>
          </w:p>
        </w:tc>
        <w:tc>
          <w:tcPr>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Origen</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Arquitecto de Nube</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Diseño de la Landing Zone y arquitectura objetivo</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Proveedor</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Ingeniero de Migración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Ejecución del assessment, replicación y cutover de cada oleada</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Proveedor</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Especialista de Redes / Seguridad</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Configuración de VPN, NSGs, Bastion y hardening</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Proveedor</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Project Manager</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Coordinación de cronograma, riesgos y comunicación con el cliente</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Proveedor</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Administrador de Sistemas / TI</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Accesos, contexto de aplicaciones y validación funcional</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Cliente</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Dueño funcional de SAP B1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Validación funcional del ERP tras el corte, aprobación de ventana de mantenimiento</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Cliente</w:t>
            </w:r>
          </w:p>
        </w:tc>
      </w:tr>
    </w:tbl>
    <w:p>
      <w:pPr>
        <w:pStyle w:val="Heading1"/>
        <w:pBdr>
          <w:bottom w:val="single" w:color="0078D4" w:sz="8" w:space="4"/>
        </w:pBdr>
        <w:spacing w:after="160" w:before="360"/>
      </w:pPr>
      <w:r>
        <w:rPr>
          <w:rFonts w:ascii="Calibri" w:cs="Calibri" w:eastAsia="Calibri" w:hAnsi="Calibri"/>
          <w:b/>
          <w:bCs/>
          <w:color w:val="1F4E79"/>
          <w:sz w:val="30"/>
          <w:szCs w:val="30"/>
        </w:rPr>
        <w:t xml:space="preserve">8. Supuestos</w:t>
      </w:r>
    </w:p>
    <w:p>
      <w:pPr>
        <w:pStyle w:val="ListParagraph"/>
        <w:numPr>
          <w:ilvl w:val="0"/>
          <w:numId w:val="2"/>
        </w:numPr>
        <w:spacing w:after="90" w:line="276"/>
      </w:pPr>
      <w:r>
        <w:rPr>
          <w:rFonts w:ascii="Calibri" w:cs="Calibri" w:eastAsia="Calibri" w:hAnsi="Calibri"/>
          <w:color w:val="3B3B3B"/>
          <w:sz w:val="21"/>
          <w:szCs w:val="21"/>
        </w:rPr>
        <w:t xml:space="preserve">El cliente cuenta con, o está dispuesto a adquirir, licenciamiento válido de Windows Server y SAP Business One para operar en la nube (licencia propia con Software Assurance para Azure Hybrid Benefit, o pago por uso incluido en el cómputo).</w:t>
      </w:r>
    </w:p>
    <w:p>
      <w:pPr>
        <w:pStyle w:val="ListParagraph"/>
        <w:numPr>
          <w:ilvl w:val="0"/>
          <w:numId w:val="2"/>
        </w:numPr>
        <w:spacing w:after="90" w:line="276"/>
      </w:pPr>
      <w:r>
        <w:rPr>
          <w:rFonts w:ascii="Calibri" w:cs="Calibri" w:eastAsia="Calibri" w:hAnsi="Calibri"/>
          <w:color w:val="3B3B3B"/>
          <w:sz w:val="21"/>
          <w:szCs w:val="21"/>
        </w:rPr>
        <w:t xml:space="preserve">Los valores de vCPU, RAM y almacenamiento del inventario reflejan la asignación actual de las VMs y serán validados/ajustados con datos de utilización real durante el descubrimiento (Azure Migrate).</w:t>
      </w:r>
    </w:p>
    <w:p>
      <w:pPr>
        <w:pStyle w:val="ListParagraph"/>
        <w:numPr>
          <w:ilvl w:val="0"/>
          <w:numId w:val="2"/>
        </w:numPr>
        <w:spacing w:after="90" w:line="276"/>
      </w:pPr>
      <w:r>
        <w:rPr>
          <w:rFonts w:ascii="Calibri" w:cs="Calibri" w:eastAsia="Calibri" w:hAnsi="Calibri"/>
          <w:color w:val="3B3B3B"/>
          <w:sz w:val="21"/>
          <w:szCs w:val="21"/>
        </w:rPr>
        <w:t xml:space="preserve">El ancho de banda de internet actual del cliente es suficiente para la replicación, o será ampliado antes de iniciar la migración de las cargas de mayor tamaño (Terminal y SAPB_1corp).</w:t>
      </w:r>
    </w:p>
    <w:p>
      <w:pPr>
        <w:pStyle w:val="ListParagraph"/>
        <w:numPr>
          <w:ilvl w:val="0"/>
          <w:numId w:val="2"/>
        </w:numPr>
        <w:spacing w:after="90" w:line="276"/>
      </w:pPr>
      <w:r>
        <w:rPr>
          <w:rFonts w:ascii="Calibri" w:cs="Calibri" w:eastAsia="Calibri" w:hAnsi="Calibri"/>
          <w:color w:val="3B3B3B"/>
          <w:sz w:val="21"/>
          <w:szCs w:val="21"/>
        </w:rPr>
        <w:t xml:space="preserve">No se contemplan cambios de direccionamiento IP en aplicaciones dependientes de IPs fijas, salvo que se identifique lo contrario durante el descubrimiento.</w:t>
      </w:r>
    </w:p>
    <w:p>
      <w:pPr>
        <w:pStyle w:val="ListParagraph"/>
        <w:numPr>
          <w:ilvl w:val="0"/>
          <w:numId w:val="2"/>
        </w:numPr>
        <w:spacing w:after="90" w:line="276"/>
      </w:pPr>
      <w:r>
        <w:rPr>
          <w:rFonts w:ascii="Calibri" w:cs="Calibri" w:eastAsia="Calibri" w:hAnsi="Calibri"/>
          <w:color w:val="3B3B3B"/>
          <w:sz w:val="21"/>
          <w:szCs w:val="21"/>
        </w:rPr>
        <w:t xml:space="preserve">El cliente proveerá los accesos administrativos necesarios (sistema operativo, hipervisor, red) en tiempo y forma para no impactar el cronograma.</w:t>
      </w:r>
    </w:p>
    <w:p>
      <w:pPr>
        <w:pStyle w:val="ListParagraph"/>
        <w:numPr>
          <w:ilvl w:val="0"/>
          <w:numId w:val="2"/>
        </w:numPr>
        <w:spacing w:after="90" w:line="276"/>
      </w:pPr>
      <w:r>
        <w:rPr>
          <w:rFonts w:ascii="Calibri" w:cs="Calibri" w:eastAsia="Calibri" w:hAnsi="Calibri"/>
          <w:color w:val="3B3B3B"/>
          <w:sz w:val="21"/>
          <w:szCs w:val="21"/>
        </w:rPr>
        <w:t xml:space="preserve">Existen ventanas de mantenimiento fuera de horario laboral disponibles para el corte de SAP Business One y, de ser necesario, del servidor Terminal.</w:t>
      </w:r>
    </w:p>
    <w:p>
      <w:pPr>
        <w:pStyle w:val="ListParagraph"/>
        <w:numPr>
          <w:ilvl w:val="0"/>
          <w:numId w:val="2"/>
        </w:numPr>
        <w:spacing w:after="90" w:line="276"/>
      </w:pPr>
      <w:r>
        <w:rPr>
          <w:rFonts w:ascii="Calibri" w:cs="Calibri" w:eastAsia="Calibri" w:hAnsi="Calibri"/>
          <w:color w:val="3B3B3B"/>
          <w:sz w:val="21"/>
          <w:szCs w:val="21"/>
        </w:rPr>
        <w:t xml:space="preserve">La relación entre los tres servidores de Directorio Activo (roles, réplicas, sitios) será clarificada por el cliente o validada en campo antes del diseño final de la migración de AD.</w:t>
      </w:r>
    </w:p>
    <w:p>
      <w:pPr>
        <w:pStyle w:val="ListParagraph"/>
        <w:numPr>
          <w:ilvl w:val="0"/>
          <w:numId w:val="2"/>
        </w:numPr>
        <w:spacing w:after="90" w:line="276"/>
      </w:pPr>
      <w:r>
        <w:rPr>
          <w:rFonts w:ascii="Calibri" w:cs="Calibri" w:eastAsia="Calibri" w:hAnsi="Calibri"/>
          <w:color w:val="3B3B3B"/>
          <w:sz w:val="21"/>
          <w:szCs w:val="21"/>
        </w:rPr>
        <w:t xml:space="preserve">Los precios estimados de Azure presentados en la sección 10 son referenciales; el costo definitivo se validará con la Calculadora de Precios de Azure y la cotización formal de Microsoft o el distribuidor correspondiente.</w:t>
      </w:r>
    </w:p>
    <w:p>
      <w:pPr>
        <w:pStyle w:val="Heading1"/>
        <w:pBdr>
          <w:bottom w:val="single" w:color="0078D4" w:sz="8" w:space="4"/>
        </w:pBdr>
        <w:spacing w:after="160" w:before="360"/>
      </w:pPr>
      <w:r>
        <w:rPr>
          <w:rFonts w:ascii="Calibri" w:cs="Calibri" w:eastAsia="Calibri" w:hAnsi="Calibri"/>
          <w:b/>
          <w:bCs/>
          <w:color w:val="1F4E79"/>
          <w:sz w:val="30"/>
          <w:szCs w:val="30"/>
        </w:rPr>
        <w:t xml:space="preserve">9. Tiempos de Ejecución</w:t>
      </w:r>
    </w:p>
    <w:p>
      <w:pPr>
        <w:spacing w:after="160" w:line="276"/>
      </w:pPr>
      <w:r>
        <w:rPr>
          <w:rFonts w:ascii="Calibri" w:cs="Calibri" w:eastAsia="Calibri" w:hAnsi="Calibri"/>
          <w:color w:val="3B3B3B"/>
          <w:sz w:val="21"/>
          <w:szCs w:val="21"/>
        </w:rPr>
        <w:t xml:space="preserve">Se estima un plazo total de 8 a 10 semanas para el proyecto completo, desde el descubrimiento hasta el cierre del hypercare. El siguiente cronograma es de referencia y podrá ajustarse conforme a los hallazgos del descubrimiento y a la disponibilidad de ventanas de mantenimiento del cliente.</w:t>
      </w:r>
    </w:p>
    <w:tbl>
      <w:tblPr>
        <w:tblW w:type="dxa" w:w="10100"/>
        <w:tblBorders>
          <w:top w:val="single" w:color="BFBFBF" w:sz="4"/>
          <w:left w:val="single" w:color="BFBFBF" w:sz="4"/>
          <w:bottom w:val="single" w:color="BFBFBF" w:sz="4"/>
          <w:right w:val="single" w:color="BFBFBF" w:sz="4"/>
          <w:insideH w:val="single" w:color="D9D9D9" w:sz="4"/>
          <w:insideV w:val="single" w:color="D9D9D9" w:sz="4"/>
        </w:tblBorders>
      </w:tblPr>
      <w:tblGrid>
        <w:gridCol w:w="3700"/>
        <w:gridCol w:w="5500"/>
        <w:gridCol w:w="900"/>
      </w:tblGrid>
      <w:tr>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Fase</w:t>
            </w:r>
          </w:p>
        </w:tc>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Descripción</w:t>
            </w:r>
          </w:p>
        </w:tc>
        <w:tc>
          <w:tcPr>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Duración</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1. Descubrimiento y evaluación</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Instalación de agente de Azure Migrate, recolección de métricas y dependencias</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1–2 sem.</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2. Diseño de Landing Zone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VNet, subredes, NSGs, VPN Gateway, RBAC, nomenclatura (en paralelo a la fase 1)</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 sem.</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3. Migración – Oleada 1</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Inventario_Ubuntu2 y ADCapital3 (validación de proceso)</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 sem.</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4. Migración – Oleada 2</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ADCapital2, ADCapital.Corp2, Terminal y Bio-time 72K Corp</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1–2 sem.</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5. Migración – Oleada 3</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SAPB_1corp: ventana crítica, pruebas exhaustivas y corte coordinado</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1–2 sem.</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6. Backup, monitoreo y seguridad</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Configuración transversal de Azure Backup, Monitor/Log Analytics y Defender for Cloud</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 sem.</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7. Pruebas y validación</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Validación funcional integral de todas las cargas migradas</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 sem.</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8. Hypercare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Acompañamiento post-migración, ajustes finos y right-sizing</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 sem.</w:t>
            </w:r>
          </w:p>
        </w:tc>
      </w:tr>
    </w:tbl>
    <w:p>
      <w:pPr>
        <w:spacing w:after="80"/>
      </w:pPr>
    </w:p>
    <w:p>
      <w:pPr>
        <w:pBdr>
          <w:left w:val="single" w:color="CA5010" w:sz="16" w:space="8"/>
        </w:pBdr>
        <w:shd w:fill="FFF4E5" w:val="clear"/>
        <w:spacing w:after="220" w:before="120"/>
      </w:pPr>
      <w:r>
        <w:rPr>
          <w:rFonts w:ascii="Calibri" w:cs="Calibri" w:eastAsia="Calibri" w:hAnsi="Calibri"/>
          <w:i/>
          <w:iCs/>
          <w:color w:val="7A4A17"/>
          <w:sz w:val="19"/>
          <w:szCs w:val="19"/>
        </w:rPr>
        <w:t xml:space="preserve">Las fases 6 (backup, monitoreo y seguridad) corren de forma transversal y en paralelo a las oleadas de migración, no de forma estrictamente secuencial; el cronograma total estimado es de 8 a 10 semanas calendario.</w:t>
      </w:r>
    </w:p>
    <w:p>
      <w:pPr>
        <w:pStyle w:val="Heading1"/>
        <w:pBdr>
          <w:bottom w:val="single" w:color="0078D4" w:sz="8" w:space="4"/>
        </w:pBdr>
        <w:spacing w:after="160" w:before="360"/>
      </w:pPr>
      <w:r>
        <w:rPr>
          <w:rFonts w:ascii="Calibri" w:cs="Calibri" w:eastAsia="Calibri" w:hAnsi="Calibri"/>
          <w:b/>
          <w:bCs/>
          <w:color w:val="1F4E79"/>
          <w:sz w:val="30"/>
          <w:szCs w:val="30"/>
        </w:rPr>
        <w:t xml:space="preserve">10. Calculador de Azure</w:t>
      </w:r>
    </w:p>
    <w:p>
      <w:pPr>
        <w:spacing w:after="160" w:line="276"/>
      </w:pPr>
      <w:r>
        <w:rPr>
          <w:rFonts w:ascii="Calibri" w:cs="Calibri" w:eastAsia="Calibri" w:hAnsi="Calibri"/>
          <w:color w:val="3B3B3B"/>
          <w:sz w:val="21"/>
          <w:szCs w:val="21"/>
        </w:rPr>
        <w:t xml:space="preserve">A continuación se presenta una estimación referencial de costos mensuales de infraestructura en Azure, basada en tamaños de máquina virtual equivalentes a la capacidad actual de cada servidor, utilizando precios públicos de pago por uso (Pay-As-You-Go) para la región Mexico Central, con sistema operativo Windows cuando aplica. Estas cifras son orientativas y deben validarse con la Calculadora de Precios de Azure y con el equipo comercial de Microsoft o el distribuidor autorizado, ya que varían por región, tipo de contrato (CSP/EA), descuentos por Azure Hybrid Benefit e instancias reservadas.</w:t>
      </w:r>
    </w:p>
    <w:tbl>
      <w:tblPr>
        <w:tblW w:type="dxa" w:w="8900"/>
        <w:tblBorders>
          <w:top w:val="single" w:color="BFBFBF" w:sz="4"/>
          <w:left w:val="single" w:color="BFBFBF" w:sz="4"/>
          <w:bottom w:val="single" w:color="BFBFBF" w:sz="4"/>
          <w:right w:val="single" w:color="BFBFBF" w:sz="4"/>
          <w:insideH w:val="single" w:color="D9D9D9" w:sz="4"/>
          <w:insideV w:val="single" w:color="D9D9D9" w:sz="4"/>
        </w:tblBorders>
      </w:tblPr>
      <w:tblGrid>
        <w:gridCol w:w="1450"/>
        <w:gridCol w:w="1750"/>
        <w:gridCol w:w="1500"/>
        <w:gridCol w:w="1200"/>
        <w:gridCol w:w="1500"/>
        <w:gridCol w:w="1500"/>
      </w:tblGrid>
      <w:tr>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Servidor</w:t>
            </w:r>
          </w:p>
        </w:tc>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Tamaño de VM sugerido</w:t>
            </w:r>
          </w:p>
        </w:tc>
        <w:tc>
          <w:tcPr>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vCPU / RAM</w:t>
            </w:r>
          </w:p>
        </w:tc>
        <w:tc>
          <w:tcPr>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Disco (GB)</w:t>
            </w:r>
          </w:p>
        </w:tc>
        <w:tc>
          <w:tcPr>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Cómputo est. (USD/mes)</w:t>
            </w:r>
          </w:p>
        </w:tc>
        <w:tc>
          <w:tcPr>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Total est. (USD/mes)</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ADCapital3</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Standard_B2s</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 / 4 GB</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200</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~$40</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~$56</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ADCapital2</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Standard_B2s</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 / 4 GB</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200</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~$40</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~$56</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Terminal</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Standard_D16s_v5</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16 / 64 GB</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420</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~$1,160</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~$1,194</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Bio-time 72K Corp</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Standard_B2s</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 / 4 GB</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120</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~$40</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~$50</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Inventario_Ubuntu2</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Standard_B2s (Linux)</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 / 4 GB</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34</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~$33</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~$36</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SAPB_1corp</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Standard_D16s_v5 (o E16s_v5)</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16 / 64 GB</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1,880</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~$1,160</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~$1,310</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ADCapital.Corp2</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Standard_B2s</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 / 4 GB</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124</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~$40</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~$50</w:t>
            </w:r>
          </w:p>
        </w:tc>
      </w:tr>
      <w:tr>
        <w:tc>
          <w:tcP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Subtotal cómputo + disco (7 VMs)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
            </w:r>
          </w:p>
        </w:tc>
        <w:tc>
          <w:tcPr>
            <w:tcMar>
              <w:top w:type="dxa" w:w="80"/>
              <w:left w:type="dxa" w:w="100"/>
              <w:bottom w:type="dxa" w:w="80"/>
              <w:right w:type="dxa" w:w="100"/>
            </w:tcMar>
            <w:vAlign w:val="center"/>
          </w:tcPr>
          <w:p>
            <w:pPr>
              <w:jc w:val="center"/>
            </w:pPr>
            <w:r>
              <w:rPr>
                <w:rFonts w:ascii="Calibri" w:cs="Calibri" w:eastAsia="Calibri" w:hAnsi="Calibri"/>
                <w:b/>
                <w:bCs/>
                <w:color w:val="222222"/>
                <w:sz w:val="19"/>
                <w:szCs w:val="19"/>
              </w:rPr>
              <w:t xml:space="preserve">~$2,752</w:t>
            </w:r>
          </w:p>
        </w:tc>
      </w:tr>
    </w:tbl>
    <w:p>
      <w:pPr>
        <w:spacing w:after="160"/>
      </w:pPr>
    </w:p>
    <w:p>
      <w:pPr>
        <w:pStyle w:val="Heading2"/>
        <w:spacing w:after="120" w:before="260"/>
      </w:pPr>
      <w:r>
        <w:rPr>
          <w:rFonts w:ascii="Calibri" w:cs="Calibri" w:eastAsia="Calibri" w:hAnsi="Calibri"/>
          <w:b/>
          <w:bCs/>
          <w:color w:val="0078D4"/>
          <w:sz w:val="24"/>
          <w:szCs w:val="24"/>
        </w:rPr>
        <w:t xml:space="preserve">10.1 Servicios adicionales de operación</w:t>
      </w:r>
    </w:p>
    <w:tbl>
      <w:tblPr>
        <w:tblW w:type="dxa" w:w="10200"/>
        <w:tblBorders>
          <w:top w:val="single" w:color="BFBFBF" w:sz="4"/>
          <w:left w:val="single" w:color="BFBFBF" w:sz="4"/>
          <w:bottom w:val="single" w:color="BFBFBF" w:sz="4"/>
          <w:right w:val="single" w:color="BFBFBF" w:sz="4"/>
          <w:insideH w:val="single" w:color="D9D9D9" w:sz="4"/>
          <w:insideV w:val="single" w:color="D9D9D9" w:sz="4"/>
        </w:tblBorders>
      </w:tblPr>
      <w:tblGrid>
        <w:gridCol w:w="3300"/>
        <w:gridCol w:w="5000"/>
        <w:gridCol w:w="1900"/>
      </w:tblGrid>
      <w:tr>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Servicio</w:t>
            </w:r>
          </w:p>
        </w:tc>
        <w:tc>
          <w:tcPr>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Descripción</w:t>
            </w:r>
          </w:p>
        </w:tc>
        <w:tc>
          <w:tcPr>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Estimado (USD/mes)</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VPN Gateway (VpnGw1)</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Conectividad Site-to-Site permanente con el sitio del cliente</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~$140</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Azure Bastion (SKU Básico)</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Acceso administrativo remoto seguro sin IP pública en las VMs</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~$140</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Azure Backup</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Cuota de protección por instancia (7 VMs) + almacenamiento de respaldo</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~$130</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Azure Monitor / Log Analytics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Ingesta de logs y métricas, dashboards y alertas (volumen estimado)</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~$150–300</w:t>
            </w:r>
          </w:p>
        </w:tc>
      </w:tr>
      <w:tr>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Microsoft Defender for Cloud</w:t>
            </w:r>
          </w:p>
        </w:tc>
        <w:tc>
          <w:tcPr>
            <w:shd w:fill="F3F8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Protección plan 2 sobre servidores (7 VMs)</w:t>
            </w:r>
          </w:p>
        </w:tc>
        <w:tc>
          <w:tcPr>
            <w:shd w:fill="F3F8FC" w:val="clear"/>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~$105</w:t>
            </w:r>
          </w:p>
        </w:tc>
      </w:tr>
    </w:tbl>
    <w:p>
      <w:pPr>
        <w:spacing w:after="140"/>
      </w:pPr>
    </w:p>
    <w:p>
      <w:pPr>
        <w:spacing w:after="160" w:line="276"/>
      </w:pPr>
      <w:r>
        <w:rPr>
          <w:rFonts w:ascii="Calibri" w:cs="Calibri" w:eastAsia="Calibri" w:hAnsi="Calibri"/>
          <w:b/>
          <w:bCs/>
          <w:color w:val="1F4E79"/>
          <w:sz w:val="21"/>
          <w:szCs w:val="21"/>
        </w:rPr>
        <w:t xml:space="preserve">Estimado total de referencia (cómputo + disco + servicios adicionales): entre USD $3,300 y USD $3,600 por mes, sin contemplar descuentos por Azure Hybrid Benefit, instancias reservadas/planes de ahorro, ni el tráfico de salida (egress) hacia internet, que se factura por separado según consumo.</w:t>
      </w:r>
    </w:p>
    <w:p>
      <w:pPr>
        <w:pBdr>
          <w:left w:val="single" w:color="CA5010" w:sz="16" w:space="8"/>
        </w:pBdr>
        <w:shd w:fill="FFF4E5" w:val="clear"/>
        <w:spacing w:after="220" w:before="120"/>
      </w:pPr>
      <w:r>
        <w:rPr>
          <w:rFonts w:ascii="Calibri" w:cs="Calibri" w:eastAsia="Calibri" w:hAnsi="Calibri"/>
          <w:i/>
          <w:iCs/>
          <w:color w:val="7A4A17"/>
          <w:sz w:val="19"/>
          <w:szCs w:val="19"/>
        </w:rPr>
        <w:t xml:space="preserve">Oportunidad de optimización: si el cliente cuenta con licencias de Windows Server con Software Assurance, Azure Hybrid Benefit puede reducir de forma significativa el costo de cómputo de las VMs Windows (ADCapital2, ADCapital3, ADCapital.Corp2, Terminal, Bio-time y SAPB_1corp). Asimismo, comprometerse a instancias reservadas (1 o 3 años) o Savings Plans puede reducir el costo de cómputo entre 30% y 60% adicional una vez validado el tamaño definitivo tras el right-sizing.</w:t>
      </w:r>
    </w:p>
    <w:p>
      <w:pPr>
        <w:spacing w:after="160" w:line="276"/>
      </w:pPr>
      <w:r>
        <w:rPr>
          <w:rFonts w:ascii="Calibri" w:cs="Calibri" w:eastAsia="Calibri" w:hAnsi="Calibri"/>
          <w:color w:val="3B3B3B"/>
          <w:sz w:val="21"/>
          <w:szCs w:val="21"/>
        </w:rPr>
        <w:t xml:space="preserve">Para obtener una cotización precisa y personalizada (incluyendo impuestos, moneda local y descuentos aplicables), se recomienda construir el escenario final en la Calculadora de Precios de Azure: https://azure.microsoft.com/es-mx/pricing/calculator/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5"/>
        <w:szCs w:val="15"/>
      </w:rPr>
      <w:t xml:space="preserve">Propuesta de Migración a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fcfe0d451a1a0dede4cb502835ec54f24e54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2026-09-15T03:36:07.948Z</dcterms:created>
  <dcterms:modified xsi:type="dcterms:W3CDTF">2026-09-15T03:36:07.958Z</dcterms:modified>
</cp:coreProperties>
</file>

<file path=docProps/custom.xml><?xml version="1.0" encoding="utf-8"?>
<Properties xmlns="http://schemas.openxmlformats.org/officeDocument/2006/custom-properties" xmlns:vt="http://schemas.openxmlformats.org/officeDocument/2006/docPropsVTypes"/>
</file>