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E5C99"/>
          <w:sz w:val="26"/>
          <w:szCs w:val="26"/>
        </w:rPr>
        <w:t xml:space="preserve">PROPUESTA TÉCNICA</w:t>
      </w:r>
    </w:p>
    <w:p>
      <w:pPr>
        <w:spacing w:after="200" w:before="200"/>
        <w:jc w:val="center"/>
      </w:pPr>
      <w:r>
        <w:rPr>
          <w:b/>
          <w:bCs/>
          <w:color w:val="1F3B57"/>
          <w:sz w:val="48"/>
          <w:szCs w:val="48"/>
        </w:rPr>
        <w:t xml:space="preserve">Migración de Recursos Azure</w:t>
      </w:r>
    </w:p>
    <w:p>
      <w:pPr>
        <w:spacing w:after="600"/>
        <w:jc w:val="center"/>
      </w:pPr>
      <w:r>
        <w:rPr>
          <w:b/>
          <w:bCs/>
          <w:color w:val="2E5C99"/>
          <w:sz w:val="32"/>
          <w:szCs w:val="32"/>
        </w:rPr>
        <w:t xml:space="preserve">South Central US  →  Central US</w:t>
      </w:r>
    </w:p>
    <w:p>
      <w:pPr>
        <w:spacing w:after="80"/>
        <w:jc w:val="center"/>
      </w:pPr>
      <w:r>
        <w:rPr>
          <w:color w:val="000000"/>
          <w:sz w:val="24"/>
          <w:szCs w:val="24"/>
        </w:rPr>
        <w:t xml:space="preserve">Cliente: Murguía</w:t>
      </w:r>
    </w:p>
    <w:p>
      <w:pPr>
        <w:spacing w:after="80"/>
        <w:jc w:val="center"/>
      </w:pPr>
      <w:r>
        <w:rPr>
          <w:color w:val="666666"/>
          <w:sz w:val="20"/>
          <w:szCs w:val="20"/>
        </w:rPr>
        <w:t xml:space="preserve">Suscripción Azure: Microsoft Azure (e66905c3-6d35-4909-a609-150ead16e122)</w:t>
      </w:r>
    </w:p>
    <w:p>
      <w:pPr>
        <w:spacing w:after="80"/>
        <w:jc w:val="center"/>
      </w:pPr>
      <w:r>
        <w:rPr>
          <w:color w:val="666666"/>
          <w:sz w:val="20"/>
          <w:szCs w:val="20"/>
        </w:rPr>
        <w:t xml:space="preserve">Periodo de análisis de costos: 01 jun 2026 – 31 jul 2026</w:t>
      </w:r>
    </w:p>
    <w:p>
      <w:pPr>
        <w:spacing w:before="1400"/>
        <w:jc w:val="center"/>
      </w:pPr>
      <w:r>
        <w:rPr>
          <w:color w:val="666666"/>
          <w:sz w:val="20"/>
          <w:szCs w:val="20"/>
        </w:rPr>
        <w:t xml:space="preserve">Septiembre 2026</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5C99" w:sz="8" w:space="4"/>
        </w:pBdr>
        <w:spacing w:after="160" w:before="360"/>
      </w:pPr>
      <w:r>
        <w:rPr>
          <w:b/>
          <w:bCs/>
          <w:color w:val="1F3B57"/>
          <w:sz w:val="30"/>
          <w:szCs w:val="30"/>
        </w:rPr>
        <w:t xml:space="preserve">1. Situación Actual</w:t>
      </w:r>
    </w:p>
    <w:p>
      <w:pPr>
        <w:spacing w:after="160" w:line="276"/>
      </w:pPr>
      <w:r>
        <w:rPr>
          <w:sz w:val="21"/>
          <w:szCs w:val="21"/>
        </w:rPr>
        <w:t xml:space="preserve">El cliente Murguía opera actualmente su plataforma sobre una única suscripción de Microsoft Azure ("Microsoft Azure"), con la gran mayoría de sus recursos de producción, pruebas y respaldo desplegados en la región South Central US. El presente inventario se construyó a partir del reporte de análisis de costos de Azure Cost Management correspondiente al periodo del 01 de junio al 31 de julio de 2026 (agrupado por recurso).</w:t>
      </w:r>
    </w:p>
    <w:p>
      <w:pPr>
        <w:pStyle w:val="Heading2"/>
        <w:spacing w:after="120" w:before="260"/>
      </w:pPr>
      <w:r>
        <w:rPr>
          <w:b/>
          <w:bCs/>
          <w:color w:val="2E5C99"/>
          <w:sz w:val="24"/>
          <w:szCs w:val="24"/>
        </w:rPr>
        <w:t xml:space="preserve">1.1 Resumen del inventario</w:t>
      </w:r>
    </w:p>
    <w:p>
      <w:pPr>
        <w:spacing w:after="160" w:line="276"/>
      </w:pPr>
      <w:r>
        <w:rPr>
          <w:sz w:val="21"/>
          <w:szCs w:val="21"/>
        </w:rPr>
        <w:t xml:space="preserve">Se identificaron 187 recursos activos en la región South Central US, con un costo observado de US$ 12,980.20 durante el periodo de dos meses analizado (equivalente a un promedio aproximado de US$ 6,490 por mes). Este monto no incluye los recursos de reserva de capacidad (Reserved Instances) ni los recursos ya desplegados fuera de South Central US.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340"/>
      </w:tblGrid>
      <w:tr>
        <w:trPr>
          <w:tblHeader/>
        </w:trPr>
        <w:tc>
          <w:tcPr>
            <w:tcW w:type="dxa" w:w="5400"/>
            <w:shd w:fill="2E5C99" w:val="clear"/>
            <w:tcMar>
              <w:top w:type="dxa" w:w="80"/>
              <w:left w:type="dxa" w:w="100"/>
              <w:bottom w:type="dxa" w:w="80"/>
              <w:right w:type="dxa" w:w="100"/>
            </w:tcMar>
            <w:vAlign w:val="center"/>
          </w:tcPr>
          <w:p>
            <w:pPr>
              <w:jc w:val="left"/>
            </w:pPr>
            <w:r>
              <w:rPr>
                <w:b/>
                <w:bCs/>
                <w:color w:val="FFFFFF"/>
                <w:sz w:val="19"/>
                <w:szCs w:val="19"/>
              </w:rPr>
              <w:t xml:space="preserve">Tipo de recurso</w:t>
            </w:r>
          </w:p>
        </w:tc>
        <w:tc>
          <w:tcPr>
            <w:tcW w:type="dxa" w:w="1800"/>
            <w:shd w:fill="2E5C99" w:val="clear"/>
            <w:tcMar>
              <w:top w:type="dxa" w:w="80"/>
              <w:left w:type="dxa" w:w="100"/>
              <w:bottom w:type="dxa" w:w="80"/>
              <w:right w:type="dxa" w:w="100"/>
            </w:tcMar>
            <w:vAlign w:val="center"/>
          </w:tcPr>
          <w:p>
            <w:pPr>
              <w:jc w:val="left"/>
            </w:pPr>
            <w:r>
              <w:rPr>
                <w:b/>
                <w:bCs/>
                <w:color w:val="FFFFFF"/>
                <w:sz w:val="19"/>
                <w:szCs w:val="19"/>
              </w:rPr>
              <w:t xml:space="preserve">Cantidad</w:t>
            </w:r>
          </w:p>
        </w:tc>
        <w:tc>
          <w:tcPr>
            <w:tcW w:type="dxa" w:w="2340"/>
            <w:shd w:fill="2E5C99" w:val="clear"/>
            <w:tcMar>
              <w:top w:type="dxa" w:w="80"/>
              <w:left w:type="dxa" w:w="100"/>
              <w:bottom w:type="dxa" w:w="80"/>
              <w:right w:type="dxa" w:w="100"/>
            </w:tcMar>
            <w:vAlign w:val="center"/>
          </w:tcPr>
          <w:p>
            <w:pPr>
              <w:jc w:val="left"/>
            </w:pPr>
            <w:r>
              <w:rPr>
                <w:b/>
                <w:bCs/>
                <w:color w:val="FFFFFF"/>
                <w:sz w:val="19"/>
                <w:szCs w:val="19"/>
              </w:rPr>
              <w:t xml:space="preserve">Costo del periodo (2 meses)</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Máquinas virtuales</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13</w:t>
            </w:r>
          </w:p>
        </w:tc>
        <w:tc>
          <w:tcPr>
            <w:tcW w:type="dxa" w:w="2340"/>
            <w:tcMar>
              <w:top w:type="dxa" w:w="60"/>
              <w:left w:type="dxa" w:w="100"/>
              <w:bottom w:type="dxa" w:w="60"/>
              <w:right w:type="dxa" w:w="100"/>
            </w:tcMar>
            <w:vAlign w:val="center"/>
          </w:tcPr>
          <w:p>
            <w:pPr>
              <w:jc w:val="left"/>
            </w:pPr>
            <w:r>
              <w:rPr>
                <w:b w:val="false"/>
                <w:bCs w:val="false"/>
                <w:color w:val="000000"/>
                <w:sz w:val="19"/>
                <w:szCs w:val="19"/>
              </w:rPr>
              <w:t xml:space="preserve">US$ 3,410</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Discos administrados</w:t>
            </w:r>
          </w:p>
        </w:tc>
        <w:tc>
          <w:tcPr>
            <w:tcW w:type="dxa" w:w="1800"/>
            <w:shd w:fill="F2F2F2" w:val="clear"/>
            <w:tcMar>
              <w:top w:type="dxa" w:w="60"/>
              <w:left w:type="dxa" w:w="100"/>
              <w:bottom w:type="dxa" w:w="60"/>
              <w:right w:type="dxa" w:w="100"/>
            </w:tcMar>
            <w:vAlign w:val="center"/>
          </w:tcPr>
          <w:p>
            <w:pPr>
              <w:jc w:val="right"/>
            </w:pPr>
            <w:r>
              <w:rPr>
                <w:b w:val="false"/>
                <w:bCs w:val="false"/>
                <w:color w:val="000000"/>
                <w:sz w:val="19"/>
                <w:szCs w:val="19"/>
              </w:rPr>
              <w:t xml:space="preserve">57</w:t>
            </w:r>
          </w:p>
        </w:tc>
        <w:tc>
          <w:tcPr>
            <w:tcW w:type="dxa" w:w="23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US$ 3,157</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Planes de App Service</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3</w:t>
            </w:r>
          </w:p>
        </w:tc>
        <w:tc>
          <w:tcPr>
            <w:tcW w:type="dxa" w:w="2340"/>
            <w:tcMar>
              <w:top w:type="dxa" w:w="60"/>
              <w:left w:type="dxa" w:w="100"/>
              <w:bottom w:type="dxa" w:w="60"/>
              <w:right w:type="dxa" w:w="100"/>
            </w:tcMar>
            <w:vAlign w:val="center"/>
          </w:tcPr>
          <w:p>
            <w:pPr>
              <w:jc w:val="left"/>
            </w:pPr>
            <w:r>
              <w:rPr>
                <w:b w:val="false"/>
                <w:bCs w:val="false"/>
                <w:color w:val="000000"/>
                <w:sz w:val="19"/>
                <w:szCs w:val="19"/>
              </w:rPr>
              <w:t xml:space="preserve">US$ 2,466</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Cuentas de almacenamiento</w:t>
            </w:r>
          </w:p>
        </w:tc>
        <w:tc>
          <w:tcPr>
            <w:tcW w:type="dxa" w:w="1800"/>
            <w:shd w:fill="F2F2F2" w:val="clear"/>
            <w:tcMar>
              <w:top w:type="dxa" w:w="60"/>
              <w:left w:type="dxa" w:w="100"/>
              <w:bottom w:type="dxa" w:w="60"/>
              <w:right w:type="dxa" w:w="100"/>
            </w:tcMar>
            <w:vAlign w:val="center"/>
          </w:tcPr>
          <w:p>
            <w:pPr>
              <w:jc w:val="right"/>
            </w:pPr>
            <w:r>
              <w:rPr>
                <w:b w:val="false"/>
                <w:bCs w:val="false"/>
                <w:color w:val="000000"/>
                <w:sz w:val="19"/>
                <w:szCs w:val="19"/>
              </w:rPr>
              <w:t xml:space="preserve">9</w:t>
            </w:r>
          </w:p>
        </w:tc>
        <w:tc>
          <w:tcPr>
            <w:tcW w:type="dxa" w:w="23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US$ 1,803</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Bóvedas de Recovery Services (Backup)</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2</w:t>
            </w:r>
          </w:p>
        </w:tc>
        <w:tc>
          <w:tcPr>
            <w:tcW w:type="dxa" w:w="2340"/>
            <w:tcMar>
              <w:top w:type="dxa" w:w="60"/>
              <w:left w:type="dxa" w:w="100"/>
              <w:bottom w:type="dxa" w:w="60"/>
              <w:right w:type="dxa" w:w="100"/>
            </w:tcMar>
            <w:vAlign w:val="center"/>
          </w:tcPr>
          <w:p>
            <w:pPr>
              <w:jc w:val="left"/>
            </w:pPr>
            <w:r>
              <w:rPr>
                <w:b w:val="false"/>
                <w:bCs w:val="false"/>
                <w:color w:val="000000"/>
                <w:sz w:val="19"/>
                <w:szCs w:val="19"/>
              </w:rPr>
              <w:t xml:space="preserve">US$ 922</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Gateway de VPN</w:t>
            </w:r>
          </w:p>
        </w:tc>
        <w:tc>
          <w:tcPr>
            <w:tcW w:type="dxa" w:w="1800"/>
            <w:shd w:fill="F2F2F2" w:val="clear"/>
            <w:tcMar>
              <w:top w:type="dxa" w:w="60"/>
              <w:left w:type="dxa" w:w="100"/>
              <w:bottom w:type="dxa" w:w="60"/>
              <w:right w:type="dxa" w:w="100"/>
            </w:tcMar>
            <w:vAlign w:val="center"/>
          </w:tcPr>
          <w:p>
            <w:pPr>
              <w:jc w:val="right"/>
            </w:pPr>
            <w:r>
              <w:rPr>
                <w:b w:val="false"/>
                <w:bCs w:val="false"/>
                <w:color w:val="000000"/>
                <w:sz w:val="19"/>
                <w:szCs w:val="19"/>
              </w:rPr>
              <w:t xml:space="preserve">1</w:t>
            </w:r>
          </w:p>
        </w:tc>
        <w:tc>
          <w:tcPr>
            <w:tcW w:type="dxa" w:w="23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US$ 791</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Direcciones IP públicas</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26</w:t>
            </w:r>
          </w:p>
        </w:tc>
        <w:tc>
          <w:tcPr>
            <w:tcW w:type="dxa" w:w="2340"/>
            <w:tcMar>
              <w:top w:type="dxa" w:w="60"/>
              <w:left w:type="dxa" w:w="100"/>
              <w:bottom w:type="dxa" w:w="60"/>
              <w:right w:type="dxa" w:w="100"/>
            </w:tcMar>
            <w:vAlign w:val="center"/>
          </w:tcPr>
          <w:p>
            <w:pPr>
              <w:jc w:val="left"/>
            </w:pPr>
            <w:r>
              <w:rPr>
                <w:b w:val="false"/>
                <w:bCs w:val="false"/>
                <w:color w:val="000000"/>
                <w:sz w:val="19"/>
                <w:szCs w:val="19"/>
              </w:rPr>
              <w:t xml:space="preserve">US$ 161</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Colecciones de puntos de restauración</w:t>
            </w:r>
          </w:p>
        </w:tc>
        <w:tc>
          <w:tcPr>
            <w:tcW w:type="dxa" w:w="1800"/>
            <w:shd w:fill="F2F2F2" w:val="clear"/>
            <w:tcMar>
              <w:top w:type="dxa" w:w="60"/>
              <w:left w:type="dxa" w:w="100"/>
              <w:bottom w:type="dxa" w:w="60"/>
              <w:right w:type="dxa" w:w="100"/>
            </w:tcMar>
            <w:vAlign w:val="center"/>
          </w:tcPr>
          <w:p>
            <w:pPr>
              <w:jc w:val="right"/>
            </w:pPr>
            <w:r>
              <w:rPr>
                <w:b w:val="false"/>
                <w:bCs w:val="false"/>
                <w:color w:val="000000"/>
                <w:sz w:val="19"/>
                <w:szCs w:val="19"/>
              </w:rPr>
              <w:t xml:space="preserve">3</w:t>
            </w:r>
          </w:p>
        </w:tc>
        <w:tc>
          <w:tcPr>
            <w:tcW w:type="dxa" w:w="23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US$ 144</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Workspaces de Log Analytics</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2</w:t>
            </w:r>
          </w:p>
        </w:tc>
        <w:tc>
          <w:tcPr>
            <w:tcW w:type="dxa" w:w="2340"/>
            <w:tcMar>
              <w:top w:type="dxa" w:w="60"/>
              <w:left w:type="dxa" w:w="100"/>
              <w:bottom w:type="dxa" w:w="60"/>
              <w:right w:type="dxa" w:w="100"/>
            </w:tcMar>
            <w:vAlign w:val="center"/>
          </w:tcPr>
          <w:p>
            <w:pPr>
              <w:jc w:val="left"/>
            </w:pPr>
            <w:r>
              <w:rPr>
                <w:b w:val="false"/>
                <w:bCs w:val="false"/>
                <w:color w:val="000000"/>
                <w:sz w:val="19"/>
                <w:szCs w:val="19"/>
              </w:rPr>
              <w:t xml:space="preserve">US$ 74</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Snapshots de disco</w:t>
            </w:r>
          </w:p>
        </w:tc>
        <w:tc>
          <w:tcPr>
            <w:tcW w:type="dxa" w:w="1800"/>
            <w:shd w:fill="F2F2F2" w:val="clear"/>
            <w:tcMar>
              <w:top w:type="dxa" w:w="60"/>
              <w:left w:type="dxa" w:w="100"/>
              <w:bottom w:type="dxa" w:w="60"/>
              <w:right w:type="dxa" w:w="100"/>
            </w:tcMar>
            <w:vAlign w:val="center"/>
          </w:tcPr>
          <w:p>
            <w:pPr>
              <w:jc w:val="right"/>
            </w:pPr>
            <w:r>
              <w:rPr>
                <w:b w:val="false"/>
                <w:bCs w:val="false"/>
                <w:color w:val="000000"/>
                <w:sz w:val="19"/>
                <w:szCs w:val="19"/>
              </w:rPr>
              <w:t xml:space="preserve">3</w:t>
            </w:r>
          </w:p>
        </w:tc>
        <w:tc>
          <w:tcPr>
            <w:tcW w:type="dxa" w:w="23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US$ 33</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Container Registry</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1</w:t>
            </w:r>
          </w:p>
        </w:tc>
        <w:tc>
          <w:tcPr>
            <w:tcW w:type="dxa" w:w="2340"/>
            <w:tcMar>
              <w:top w:type="dxa" w:w="60"/>
              <w:left w:type="dxa" w:w="100"/>
              <w:bottom w:type="dxa" w:w="60"/>
              <w:right w:type="dxa" w:w="100"/>
            </w:tcMar>
            <w:vAlign w:val="center"/>
          </w:tcPr>
          <w:p>
            <w:pPr>
              <w:jc w:val="left"/>
            </w:pPr>
            <w:r>
              <w:rPr>
                <w:b w:val="false"/>
                <w:bCs w:val="false"/>
                <w:color w:val="000000"/>
                <w:sz w:val="19"/>
                <w:szCs w:val="19"/>
              </w:rPr>
              <w:t xml:space="preserve">US$ 10</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Web Apps / App Services (sitios)</w:t>
            </w:r>
          </w:p>
        </w:tc>
        <w:tc>
          <w:tcPr>
            <w:tcW w:type="dxa" w:w="1800"/>
            <w:shd w:fill="F2F2F2" w:val="clear"/>
            <w:tcMar>
              <w:top w:type="dxa" w:w="60"/>
              <w:left w:type="dxa" w:w="100"/>
              <w:bottom w:type="dxa" w:w="60"/>
              <w:right w:type="dxa" w:w="100"/>
            </w:tcMar>
            <w:vAlign w:val="center"/>
          </w:tcPr>
          <w:p>
            <w:pPr>
              <w:jc w:val="right"/>
            </w:pPr>
            <w:r>
              <w:rPr>
                <w:b w:val="false"/>
                <w:bCs w:val="false"/>
                <w:color w:val="000000"/>
                <w:sz w:val="19"/>
                <w:szCs w:val="19"/>
              </w:rPr>
              <w:t xml:space="preserve">60</w:t>
            </w:r>
          </w:p>
        </w:tc>
        <w:tc>
          <w:tcPr>
            <w:tcW w:type="dxa" w:w="23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US$ 5</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Grupos de seguridad de red (NSG)</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1</w:t>
            </w:r>
          </w:p>
        </w:tc>
        <w:tc>
          <w:tcPr>
            <w:tcW w:type="dxa" w:w="2340"/>
            <w:tcMar>
              <w:top w:type="dxa" w:w="60"/>
              <w:left w:type="dxa" w:w="100"/>
              <w:bottom w:type="dxa" w:w="60"/>
              <w:right w:type="dxa" w:w="100"/>
            </w:tcMar>
            <w:vAlign w:val="center"/>
          </w:tcPr>
          <w:p>
            <w:pPr>
              <w:jc w:val="left"/>
            </w:pPr>
            <w:r>
              <w:rPr>
                <w:b w:val="false"/>
                <w:bCs w:val="false"/>
                <w:color w:val="000000"/>
                <w:sz w:val="19"/>
                <w:szCs w:val="19"/>
              </w:rPr>
              <w:t xml:space="preserve">US$ 3</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Network Watcher</w:t>
            </w:r>
          </w:p>
        </w:tc>
        <w:tc>
          <w:tcPr>
            <w:tcW w:type="dxa" w:w="1800"/>
            <w:shd w:fill="F2F2F2" w:val="clear"/>
            <w:tcMar>
              <w:top w:type="dxa" w:w="60"/>
              <w:left w:type="dxa" w:w="100"/>
              <w:bottom w:type="dxa" w:w="60"/>
              <w:right w:type="dxa" w:w="100"/>
            </w:tcMar>
            <w:vAlign w:val="center"/>
          </w:tcPr>
          <w:p>
            <w:pPr>
              <w:jc w:val="right"/>
            </w:pPr>
            <w:r>
              <w:rPr>
                <w:b w:val="false"/>
                <w:bCs w:val="false"/>
                <w:color w:val="000000"/>
                <w:sz w:val="19"/>
                <w:szCs w:val="19"/>
              </w:rPr>
              <w:t xml:space="preserve">1</w:t>
            </w:r>
          </w:p>
        </w:tc>
        <w:tc>
          <w:tcPr>
            <w:tcW w:type="dxa" w:w="23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US$ 1</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Conexiones de red (VPN)</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3</w:t>
            </w:r>
          </w:p>
        </w:tc>
        <w:tc>
          <w:tcPr>
            <w:tcW w:type="dxa" w:w="2340"/>
            <w:tcMar>
              <w:top w:type="dxa" w:w="60"/>
              <w:left w:type="dxa" w:w="100"/>
              <w:bottom w:type="dxa" w:w="60"/>
              <w:right w:type="dxa" w:w="100"/>
            </w:tcMar>
            <w:vAlign w:val="center"/>
          </w:tcPr>
          <w:p>
            <w:pPr>
              <w:jc w:val="left"/>
            </w:pPr>
            <w:r>
              <w:rPr>
                <w:b w:val="false"/>
                <w:bCs w:val="false"/>
                <w:color w:val="000000"/>
                <w:sz w:val="19"/>
                <w:szCs w:val="19"/>
              </w:rPr>
              <w:t xml:space="preserve">US$ 0</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Logic Apps</w:t>
            </w:r>
          </w:p>
        </w:tc>
        <w:tc>
          <w:tcPr>
            <w:tcW w:type="dxa" w:w="1800"/>
            <w:shd w:fill="F2F2F2" w:val="clear"/>
            <w:tcMar>
              <w:top w:type="dxa" w:w="60"/>
              <w:left w:type="dxa" w:w="100"/>
              <w:bottom w:type="dxa" w:w="60"/>
              <w:right w:type="dxa" w:w="100"/>
            </w:tcMar>
            <w:vAlign w:val="center"/>
          </w:tcPr>
          <w:p>
            <w:pPr>
              <w:jc w:val="right"/>
            </w:pPr>
            <w:r>
              <w:rPr>
                <w:b w:val="false"/>
                <w:bCs w:val="false"/>
                <w:color w:val="000000"/>
                <w:sz w:val="19"/>
                <w:szCs w:val="19"/>
              </w:rPr>
              <w:t xml:space="preserve">1</w:t>
            </w:r>
          </w:p>
        </w:tc>
        <w:tc>
          <w:tcPr>
            <w:tcW w:type="dxa" w:w="23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US$ 0</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Relay / Service Bus</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1</w:t>
            </w:r>
          </w:p>
        </w:tc>
        <w:tc>
          <w:tcPr>
            <w:tcW w:type="dxa" w:w="2340"/>
            <w:tcMar>
              <w:top w:type="dxa" w:w="60"/>
              <w:left w:type="dxa" w:w="100"/>
              <w:bottom w:type="dxa" w:w="60"/>
              <w:right w:type="dxa" w:w="100"/>
            </w:tcMar>
            <w:vAlign w:val="center"/>
          </w:tcPr>
          <w:p>
            <w:pPr>
              <w:jc w:val="left"/>
            </w:pPr>
            <w:r>
              <w:rPr>
                <w:b w:val="false"/>
                <w:bCs w:val="false"/>
                <w:color w:val="000000"/>
                <w:sz w:val="19"/>
                <w:szCs w:val="19"/>
              </w:rPr>
              <w:t xml:space="preserve">US$ 0</w:t>
            </w:r>
          </w:p>
        </w:tc>
      </w:tr>
    </w:tbl>
    <w:p>
      <w:pPr>
        <w:spacing w:after="240"/>
      </w:pPr>
    </w:p>
    <w:p>
      <w:pPr>
        <w:pStyle w:val="Heading2"/>
        <w:spacing w:after="120" w:before="260"/>
      </w:pPr>
      <w:r>
        <w:rPr>
          <w:b/>
          <w:bCs/>
          <w:color w:val="2E5C99"/>
          <w:sz w:val="24"/>
          <w:szCs w:val="24"/>
        </w:rPr>
        <w:t xml:space="preserve">1.2 Distribución por grupo de recursos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5400"/>
        <w:gridCol w:w="1800"/>
        <w:gridCol w:w="2340"/>
      </w:tblGrid>
      <w:tr>
        <w:trPr>
          <w:tblHeader/>
        </w:trPr>
        <w:tc>
          <w:tcPr>
            <w:tcW w:type="dxa" w:w="5400"/>
            <w:shd w:fill="2E5C99" w:val="clear"/>
            <w:tcMar>
              <w:top w:type="dxa" w:w="80"/>
              <w:left w:type="dxa" w:w="100"/>
              <w:bottom w:type="dxa" w:w="80"/>
              <w:right w:type="dxa" w:w="100"/>
            </w:tcMar>
            <w:vAlign w:val="center"/>
          </w:tcPr>
          <w:p>
            <w:pPr>
              <w:jc w:val="left"/>
            </w:pPr>
            <w:r>
              <w:rPr>
                <w:b/>
                <w:bCs/>
                <w:color w:val="FFFFFF"/>
                <w:sz w:val="19"/>
                <w:szCs w:val="19"/>
              </w:rPr>
              <w:t xml:space="preserve">Grupo de recursos (Resource Group)</w:t>
            </w:r>
          </w:p>
        </w:tc>
        <w:tc>
          <w:tcPr>
            <w:tcW w:type="dxa" w:w="1800"/>
            <w:shd w:fill="2E5C99" w:val="clear"/>
            <w:tcMar>
              <w:top w:type="dxa" w:w="80"/>
              <w:left w:type="dxa" w:w="100"/>
              <w:bottom w:type="dxa" w:w="80"/>
              <w:right w:type="dxa" w:w="100"/>
            </w:tcMar>
            <w:vAlign w:val="center"/>
          </w:tcPr>
          <w:p>
            <w:pPr>
              <w:jc w:val="left"/>
            </w:pPr>
            <w:r>
              <w:rPr>
                <w:b/>
                <w:bCs/>
                <w:color w:val="FFFFFF"/>
                <w:sz w:val="19"/>
                <w:szCs w:val="19"/>
              </w:rPr>
              <w:t xml:space="preserve">Cantidad de recursos</w:t>
            </w:r>
          </w:p>
        </w:tc>
        <w:tc>
          <w:tcPr>
            <w:tcW w:type="dxa" w:w="2340"/>
            <w:shd w:fill="2E5C99" w:val="clear"/>
            <w:tcMar>
              <w:top w:type="dxa" w:w="80"/>
              <w:left w:type="dxa" w:w="100"/>
              <w:bottom w:type="dxa" w:w="80"/>
              <w:right w:type="dxa" w:w="100"/>
            </w:tcMar>
            <w:vAlign w:val="center"/>
          </w:tcPr>
          <w:p>
            <w:pPr>
              <w:jc w:val="left"/>
            </w:pPr>
            <w:r>
              <w:rPr>
                <w:b/>
                <w:bCs/>
                <w:color w:val="FFFFFF"/>
                <w:sz w:val="19"/>
                <w:szCs w:val="19"/>
              </w:rPr>
              <w:t xml:space="preserve">Costo del periodo</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92</w:t>
            </w:r>
          </w:p>
        </w:tc>
        <w:tc>
          <w:tcPr>
            <w:tcW w:type="dxa" w:w="2340"/>
            <w:tcMar>
              <w:top w:type="dxa" w:w="60"/>
              <w:left w:type="dxa" w:w="100"/>
              <w:bottom w:type="dxa" w:w="60"/>
              <w:right w:type="dxa" w:w="100"/>
            </w:tcMar>
            <w:vAlign w:val="center"/>
          </w:tcPr>
          <w:p>
            <w:pPr>
              <w:jc w:val="left"/>
            </w:pPr>
            <w:r>
              <w:rPr>
                <w:b w:val="false"/>
                <w:bCs w:val="false"/>
                <w:color w:val="000000"/>
                <w:sz w:val="19"/>
                <w:szCs w:val="19"/>
              </w:rPr>
              <w:t xml:space="preserve">US$ 9,036</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appsmurguiaprod</w:t>
            </w:r>
          </w:p>
        </w:tc>
        <w:tc>
          <w:tcPr>
            <w:tcW w:type="dxa" w:w="1800"/>
            <w:shd w:fill="F2F2F2" w:val="clear"/>
            <w:tcMar>
              <w:top w:type="dxa" w:w="60"/>
              <w:left w:type="dxa" w:w="100"/>
              <w:bottom w:type="dxa" w:w="60"/>
              <w:right w:type="dxa" w:w="100"/>
            </w:tcMar>
            <w:vAlign w:val="center"/>
          </w:tcPr>
          <w:p>
            <w:pPr>
              <w:jc w:val="right"/>
            </w:pPr>
            <w:r>
              <w:rPr>
                <w:b w:val="false"/>
                <w:bCs w:val="false"/>
                <w:color w:val="000000"/>
                <w:sz w:val="19"/>
                <w:szCs w:val="19"/>
              </w:rPr>
              <w:t xml:space="preserve">20</w:t>
            </w:r>
          </w:p>
        </w:tc>
        <w:tc>
          <w:tcPr>
            <w:tcW w:type="dxa" w:w="23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US$ 2,319</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tablerosbi</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5</w:t>
            </w:r>
          </w:p>
        </w:tc>
        <w:tc>
          <w:tcPr>
            <w:tcW w:type="dxa" w:w="2340"/>
            <w:tcMar>
              <w:top w:type="dxa" w:w="60"/>
              <w:left w:type="dxa" w:w="100"/>
              <w:bottom w:type="dxa" w:w="60"/>
              <w:right w:type="dxa" w:w="100"/>
            </w:tcMar>
            <w:vAlign w:val="center"/>
          </w:tcPr>
          <w:p>
            <w:pPr>
              <w:jc w:val="left"/>
            </w:pPr>
            <w:r>
              <w:rPr>
                <w:b w:val="false"/>
                <w:bCs w:val="false"/>
                <w:color w:val="000000"/>
                <w:sz w:val="19"/>
                <w:szCs w:val="19"/>
              </w:rPr>
              <w:t xml:space="preserve">US$ 643</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murguia-sears_group</w:t>
            </w:r>
          </w:p>
        </w:tc>
        <w:tc>
          <w:tcPr>
            <w:tcW w:type="dxa" w:w="1800"/>
            <w:shd w:fill="F2F2F2" w:val="clear"/>
            <w:tcMar>
              <w:top w:type="dxa" w:w="60"/>
              <w:left w:type="dxa" w:w="100"/>
              <w:bottom w:type="dxa" w:w="60"/>
              <w:right w:type="dxa" w:w="100"/>
            </w:tcMar>
            <w:vAlign w:val="center"/>
          </w:tcPr>
          <w:p>
            <w:pPr>
              <w:jc w:val="right"/>
            </w:pPr>
            <w:r>
              <w:rPr>
                <w:b w:val="false"/>
                <w:bCs w:val="false"/>
                <w:color w:val="000000"/>
                <w:sz w:val="19"/>
                <w:szCs w:val="19"/>
              </w:rPr>
              <w:t xml:space="preserve">5</w:t>
            </w:r>
          </w:p>
        </w:tc>
        <w:tc>
          <w:tcPr>
            <w:tcW w:type="dxa" w:w="23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US$ 405</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rg-rsmurguia-asr-prod</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1</w:t>
            </w:r>
          </w:p>
        </w:tc>
        <w:tc>
          <w:tcPr>
            <w:tcW w:type="dxa" w:w="2340"/>
            <w:tcMar>
              <w:top w:type="dxa" w:w="60"/>
              <w:left w:type="dxa" w:w="100"/>
              <w:bottom w:type="dxa" w:w="60"/>
              <w:right w:type="dxa" w:w="100"/>
            </w:tcMar>
            <w:vAlign w:val="center"/>
          </w:tcPr>
          <w:p>
            <w:pPr>
              <w:jc w:val="left"/>
            </w:pPr>
            <w:r>
              <w:rPr>
                <w:b w:val="false"/>
                <w:bCs w:val="false"/>
                <w:color w:val="000000"/>
                <w:sz w:val="19"/>
                <w:szCs w:val="19"/>
              </w:rPr>
              <w:t xml:space="preserve">US$ 187</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appsmurguia</w:t>
            </w:r>
          </w:p>
        </w:tc>
        <w:tc>
          <w:tcPr>
            <w:tcW w:type="dxa" w:w="1800"/>
            <w:shd w:fill="F2F2F2" w:val="clear"/>
            <w:tcMar>
              <w:top w:type="dxa" w:w="60"/>
              <w:left w:type="dxa" w:w="100"/>
              <w:bottom w:type="dxa" w:w="60"/>
              <w:right w:type="dxa" w:w="100"/>
            </w:tcMar>
            <w:vAlign w:val="center"/>
          </w:tcPr>
          <w:p>
            <w:pPr>
              <w:jc w:val="right"/>
            </w:pPr>
            <w:r>
              <w:rPr>
                <w:b w:val="false"/>
                <w:bCs w:val="false"/>
                <w:color w:val="000000"/>
                <w:sz w:val="19"/>
                <w:szCs w:val="19"/>
              </w:rPr>
              <w:t xml:space="preserve">48</w:t>
            </w:r>
          </w:p>
        </w:tc>
        <w:tc>
          <w:tcPr>
            <w:tcW w:type="dxa" w:w="23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US$ 168</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azurebackuprg_southcentralus_1</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3</w:t>
            </w:r>
          </w:p>
        </w:tc>
        <w:tc>
          <w:tcPr>
            <w:tcW w:type="dxa" w:w="2340"/>
            <w:tcMar>
              <w:top w:type="dxa" w:w="60"/>
              <w:left w:type="dxa" w:w="100"/>
              <w:bottom w:type="dxa" w:w="60"/>
              <w:right w:type="dxa" w:w="100"/>
            </w:tcMar>
            <w:vAlign w:val="center"/>
          </w:tcPr>
          <w:p>
            <w:pPr>
              <w:jc w:val="left"/>
            </w:pPr>
            <w:r>
              <w:rPr>
                <w:b w:val="false"/>
                <w:bCs w:val="false"/>
                <w:color w:val="000000"/>
                <w:sz w:val="19"/>
                <w:szCs w:val="19"/>
              </w:rPr>
              <w:t xml:space="preserve">US$ 144</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defaultresourcegroup-scus</w:t>
            </w:r>
          </w:p>
        </w:tc>
        <w:tc>
          <w:tcPr>
            <w:tcW w:type="dxa" w:w="1800"/>
            <w:shd w:fill="F2F2F2" w:val="clear"/>
            <w:tcMar>
              <w:top w:type="dxa" w:w="60"/>
              <w:left w:type="dxa" w:w="100"/>
              <w:bottom w:type="dxa" w:w="60"/>
              <w:right w:type="dxa" w:w="100"/>
            </w:tcMar>
            <w:vAlign w:val="center"/>
          </w:tcPr>
          <w:p>
            <w:pPr>
              <w:jc w:val="right"/>
            </w:pPr>
            <w:r>
              <w:rPr>
                <w:b w:val="false"/>
                <w:bCs w:val="false"/>
                <w:color w:val="000000"/>
                <w:sz w:val="19"/>
                <w:szCs w:val="19"/>
              </w:rPr>
              <w:t xml:space="preserve">1</w:t>
            </w:r>
          </w:p>
        </w:tc>
        <w:tc>
          <w:tcPr>
            <w:tcW w:type="dxa" w:w="23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US$ 74</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cloud-shell-storage-southcentralus</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1</w:t>
            </w:r>
          </w:p>
        </w:tc>
        <w:tc>
          <w:tcPr>
            <w:tcW w:type="dxa" w:w="2340"/>
            <w:tcMar>
              <w:top w:type="dxa" w:w="60"/>
              <w:left w:type="dxa" w:w="100"/>
              <w:bottom w:type="dxa" w:w="60"/>
              <w:right w:type="dxa" w:w="100"/>
            </w:tcMar>
            <w:vAlign w:val="center"/>
          </w:tcPr>
          <w:p>
            <w:pPr>
              <w:jc w:val="left"/>
            </w:pPr>
            <w:r>
              <w:rPr>
                <w:b w:val="false"/>
                <w:bCs w:val="false"/>
                <w:color w:val="000000"/>
                <w:sz w:val="19"/>
                <w:szCs w:val="19"/>
              </w:rPr>
              <w:t xml:space="preserve">US$ 4</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networkwatcherrg</w:t>
            </w:r>
          </w:p>
        </w:tc>
        <w:tc>
          <w:tcPr>
            <w:tcW w:type="dxa" w:w="1800"/>
            <w:shd w:fill="F2F2F2" w:val="clear"/>
            <w:tcMar>
              <w:top w:type="dxa" w:w="60"/>
              <w:left w:type="dxa" w:w="100"/>
              <w:bottom w:type="dxa" w:w="60"/>
              <w:right w:type="dxa" w:w="100"/>
            </w:tcMar>
            <w:vAlign w:val="center"/>
          </w:tcPr>
          <w:p>
            <w:pPr>
              <w:jc w:val="right"/>
            </w:pPr>
            <w:r>
              <w:rPr>
                <w:b w:val="false"/>
                <w:bCs w:val="false"/>
                <w:color w:val="000000"/>
                <w:sz w:val="19"/>
                <w:szCs w:val="19"/>
              </w:rPr>
              <w:t xml:space="preserve">1</w:t>
            </w:r>
          </w:p>
        </w:tc>
        <w:tc>
          <w:tcPr>
            <w:tcW w:type="dxa" w:w="23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US$ 1</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firewallog</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1</w:t>
            </w:r>
          </w:p>
        </w:tc>
        <w:tc>
          <w:tcPr>
            <w:tcW w:type="dxa" w:w="2340"/>
            <w:tcMar>
              <w:top w:type="dxa" w:w="60"/>
              <w:left w:type="dxa" w:w="100"/>
              <w:bottom w:type="dxa" w:w="60"/>
              <w:right w:type="dxa" w:w="100"/>
            </w:tcMar>
            <w:vAlign w:val="center"/>
          </w:tcPr>
          <w:p>
            <w:pPr>
              <w:jc w:val="left"/>
            </w:pPr>
            <w:r>
              <w:rPr>
                <w:b w:val="false"/>
                <w:bCs w:val="false"/>
                <w:color w:val="000000"/>
                <w:sz w:val="19"/>
                <w:szCs w:val="19"/>
              </w:rPr>
              <w:t xml:space="preserve">US$ 0</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prueba-backup</w:t>
            </w:r>
          </w:p>
        </w:tc>
        <w:tc>
          <w:tcPr>
            <w:tcW w:type="dxa" w:w="1800"/>
            <w:shd w:fill="F2F2F2" w:val="clear"/>
            <w:tcMar>
              <w:top w:type="dxa" w:w="60"/>
              <w:left w:type="dxa" w:w="100"/>
              <w:bottom w:type="dxa" w:w="60"/>
              <w:right w:type="dxa" w:w="100"/>
            </w:tcMar>
            <w:vAlign w:val="center"/>
          </w:tcPr>
          <w:p>
            <w:pPr>
              <w:jc w:val="right"/>
            </w:pPr>
            <w:r>
              <w:rPr>
                <w:b w:val="false"/>
                <w:bCs w:val="false"/>
                <w:color w:val="000000"/>
                <w:sz w:val="19"/>
                <w:szCs w:val="19"/>
              </w:rPr>
              <w:t xml:space="preserve">6</w:t>
            </w:r>
          </w:p>
        </w:tc>
        <w:tc>
          <w:tcPr>
            <w:tcW w:type="dxa" w:w="23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US$ 0</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tablerosbimurguia</w:t>
            </w:r>
          </w:p>
        </w:tc>
        <w:tc>
          <w:tcPr>
            <w:tcW w:type="dxa" w:w="1800"/>
            <w:tcMar>
              <w:top w:type="dxa" w:w="60"/>
              <w:left w:type="dxa" w:w="100"/>
              <w:bottom w:type="dxa" w:w="60"/>
              <w:right w:type="dxa" w:w="100"/>
            </w:tcMar>
            <w:vAlign w:val="center"/>
          </w:tcPr>
          <w:p>
            <w:pPr>
              <w:jc w:val="right"/>
            </w:pPr>
            <w:r>
              <w:rPr>
                <w:b w:val="false"/>
                <w:bCs w:val="false"/>
                <w:color w:val="000000"/>
                <w:sz w:val="19"/>
                <w:szCs w:val="19"/>
              </w:rPr>
              <w:t xml:space="preserve">3</w:t>
            </w:r>
          </w:p>
        </w:tc>
        <w:tc>
          <w:tcPr>
            <w:tcW w:type="dxa" w:w="2340"/>
            <w:tcMar>
              <w:top w:type="dxa" w:w="60"/>
              <w:left w:type="dxa" w:w="100"/>
              <w:bottom w:type="dxa" w:w="60"/>
              <w:right w:type="dxa" w:w="100"/>
            </w:tcMar>
            <w:vAlign w:val="center"/>
          </w:tcPr>
          <w:p>
            <w:pPr>
              <w:jc w:val="left"/>
            </w:pPr>
            <w:r>
              <w:rPr>
                <w:b w:val="false"/>
                <w:bCs w:val="false"/>
                <w:color w:val="000000"/>
                <w:sz w:val="19"/>
                <w:szCs w:val="19"/>
              </w:rPr>
              <w:t xml:space="preserve">US$ 0</w:t>
            </w:r>
          </w:p>
        </w:tc>
      </w:tr>
    </w:tbl>
    <w:p>
      <w:pPr>
        <w:spacing w:after="240"/>
      </w:pPr>
    </w:p>
    <w:p>
      <w:pPr>
        <w:pStyle w:val="Heading2"/>
        <w:spacing w:after="120" w:before="260"/>
      </w:pPr>
      <w:r>
        <w:rPr>
          <w:b/>
          <w:bCs/>
          <w:color w:val="2E5C99"/>
          <w:sz w:val="24"/>
          <w:szCs w:val="24"/>
        </w:rPr>
        <w:t xml:space="preserve">1.3 Cargas de trabajo principales (mayor costo)</w:t>
      </w:r>
    </w:p>
    <w:p>
      <w:pPr>
        <w:spacing w:after="160" w:line="276"/>
      </w:pPr>
      <w:r>
        <w:rPr>
          <w:sz w:val="21"/>
          <w:szCs w:val="21"/>
        </w:rPr>
        <w:t xml:space="preserve">Máquinas virtuales — 13 equipos que sostienen el core del negocio (SQL Server, DLP, BI, archivos, proxy de aplicaciones, portal Sears):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5000"/>
        <w:gridCol w:w="2600"/>
        <w:gridCol w:w="1940"/>
      </w:tblGrid>
      <w:tr>
        <w:trPr>
          <w:tblHeader/>
        </w:trPr>
        <w:tc>
          <w:tcPr>
            <w:tcW w:type="dxa" w:w="5000"/>
            <w:shd w:fill="2E5C99" w:val="clear"/>
            <w:tcMar>
              <w:top w:type="dxa" w:w="80"/>
              <w:left w:type="dxa" w:w="100"/>
              <w:bottom w:type="dxa" w:w="80"/>
              <w:right w:type="dxa" w:w="100"/>
            </w:tcMar>
            <w:vAlign w:val="center"/>
          </w:tcPr>
          <w:p>
            <w:pPr>
              <w:jc w:val="left"/>
            </w:pPr>
            <w:r>
              <w:rPr>
                <w:b/>
                <w:bCs/>
                <w:color w:val="FFFFFF"/>
                <w:sz w:val="19"/>
                <w:szCs w:val="19"/>
              </w:rPr>
              <w:t xml:space="preserve">Máquina virtual</w:t>
            </w:r>
          </w:p>
        </w:tc>
        <w:tc>
          <w:tcPr>
            <w:tcW w:type="dxa" w:w="2600"/>
            <w:shd w:fill="2E5C99" w:val="clear"/>
            <w:tcMar>
              <w:top w:type="dxa" w:w="80"/>
              <w:left w:type="dxa" w:w="100"/>
              <w:bottom w:type="dxa" w:w="80"/>
              <w:right w:type="dxa" w:w="100"/>
            </w:tcMar>
            <w:vAlign w:val="center"/>
          </w:tcPr>
          <w:p>
            <w:pPr>
              <w:jc w:val="left"/>
            </w:pPr>
            <w:r>
              <w:rPr>
                <w:b/>
                <w:bCs/>
                <w:color w:val="FFFFFF"/>
                <w:sz w:val="19"/>
                <w:szCs w:val="19"/>
              </w:rPr>
              <w:t xml:space="preserve">Grupo de recursos</w:t>
            </w:r>
          </w:p>
        </w:tc>
        <w:tc>
          <w:tcPr>
            <w:tcW w:type="dxa" w:w="1940"/>
            <w:shd w:fill="2E5C99" w:val="clear"/>
            <w:tcMar>
              <w:top w:type="dxa" w:w="80"/>
              <w:left w:type="dxa" w:w="100"/>
              <w:bottom w:type="dxa" w:w="80"/>
              <w:right w:type="dxa" w:w="100"/>
            </w:tcMar>
            <w:vAlign w:val="center"/>
          </w:tcPr>
          <w:p>
            <w:pPr>
              <w:jc w:val="left"/>
            </w:pPr>
            <w:r>
              <w:rPr>
                <w:b/>
                <w:bCs/>
                <w:color w:val="FFFFFF"/>
                <w:sz w:val="19"/>
                <w:szCs w:val="19"/>
              </w:rPr>
              <w:t xml:space="preserve">Costo del periodo</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sqlsrv-murguia</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US$ 855.53</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tablerosbimurguia</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tablerosbi</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US$ 587.33</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dlpmurguiawindows</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US$ 540.96</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murguia-sears</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murguia-sears_group</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US$ 303.25</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bi-murguia</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US$ 272.32</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serv-dev</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US$ 271.42</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app-proxy</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US$ 270.74</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bi-ctes</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US$ 135.95</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filesrvmurguia</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US$ 135.07</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websrvmurguia</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US$ 34.79</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dlpmurguialinux</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US$ 2.47</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sqlsrvbackup</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prueba-backup</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US$ 0.22</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tablerosbimurguia</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tablerosbimurguia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US$ 0.03</w:t>
            </w:r>
          </w:p>
        </w:tc>
      </w:tr>
    </w:tbl>
    <w:p>
      <w:pPr>
        <w:spacing w:after="220"/>
      </w:pPr>
    </w:p>
    <w:p>
      <w:pPr>
        <w:spacing w:after="160" w:line="276"/>
      </w:pPr>
      <w:r>
        <w:rPr>
          <w:sz w:val="21"/>
          <w:szCs w:val="21"/>
        </w:rPr>
        <w:t xml:space="preserve">Cuentas de almacenamiento — soportan diagnóstico de VMs, discos y datos de aplicación:</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5000"/>
        <w:gridCol w:w="2600"/>
        <w:gridCol w:w="1940"/>
      </w:tblGrid>
      <w:tr>
        <w:trPr>
          <w:tblHeader/>
        </w:trPr>
        <w:tc>
          <w:tcPr>
            <w:tcW w:type="dxa" w:w="5000"/>
            <w:shd w:fill="2E5C99" w:val="clear"/>
            <w:tcMar>
              <w:top w:type="dxa" w:w="80"/>
              <w:left w:type="dxa" w:w="100"/>
              <w:bottom w:type="dxa" w:w="80"/>
              <w:right w:type="dxa" w:w="100"/>
            </w:tcMar>
            <w:vAlign w:val="center"/>
          </w:tcPr>
          <w:p>
            <w:pPr>
              <w:jc w:val="left"/>
            </w:pPr>
            <w:r>
              <w:rPr>
                <w:b/>
                <w:bCs/>
                <w:color w:val="FFFFFF"/>
                <w:sz w:val="19"/>
                <w:szCs w:val="19"/>
              </w:rPr>
              <w:t xml:space="preserve">Cuenta de almacenamiento</w:t>
            </w:r>
          </w:p>
        </w:tc>
        <w:tc>
          <w:tcPr>
            <w:tcW w:type="dxa" w:w="2600"/>
            <w:shd w:fill="2E5C99" w:val="clear"/>
            <w:tcMar>
              <w:top w:type="dxa" w:w="80"/>
              <w:left w:type="dxa" w:w="100"/>
              <w:bottom w:type="dxa" w:w="80"/>
              <w:right w:type="dxa" w:w="100"/>
            </w:tcMar>
            <w:vAlign w:val="center"/>
          </w:tcPr>
          <w:p>
            <w:pPr>
              <w:jc w:val="left"/>
            </w:pPr>
            <w:r>
              <w:rPr>
                <w:b/>
                <w:bCs/>
                <w:color w:val="FFFFFF"/>
                <w:sz w:val="19"/>
                <w:szCs w:val="19"/>
              </w:rPr>
              <w:t xml:space="preserve">Grupo de recursos</w:t>
            </w:r>
          </w:p>
        </w:tc>
        <w:tc>
          <w:tcPr>
            <w:tcW w:type="dxa" w:w="1940"/>
            <w:shd w:fill="2E5C99" w:val="clear"/>
            <w:tcMar>
              <w:top w:type="dxa" w:w="80"/>
              <w:left w:type="dxa" w:w="100"/>
              <w:bottom w:type="dxa" w:w="80"/>
              <w:right w:type="dxa" w:w="100"/>
            </w:tcMar>
            <w:vAlign w:val="center"/>
          </w:tcPr>
          <w:p>
            <w:pPr>
              <w:jc w:val="left"/>
            </w:pPr>
            <w:r>
              <w:rPr>
                <w:b/>
                <w:bCs/>
                <w:color w:val="FFFFFF"/>
                <w:sz w:val="19"/>
                <w:szCs w:val="19"/>
              </w:rPr>
              <w:t xml:space="preserve">Costo del periodo</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rsmurguiadiag798</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US$ 1,517.15</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qdct5qvaultrsmuasrcache</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rg-rsmurguia-asr-prod</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US$ 186.79</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diagnostico2021</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US$ 66.69</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storagemurguia</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US$ 22.87</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repcaseapp</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appsmurguiaprod</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US$ 4.79</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cs710030000ab9ae3f9</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cloud-shell-storage-southcentralus</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US$ 4.25</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repcaseapppreprod</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appsmurguia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US$ 0.25</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pruebabackup</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prueba-backup</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US$ 0.00</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tablerosbimurguia</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tablerosbi</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US$ 0.00</w:t>
            </w:r>
          </w:p>
        </w:tc>
      </w:tr>
    </w:tbl>
    <w:p>
      <w:pPr>
        <w:spacing w:after="220"/>
      </w:pPr>
    </w:p>
    <w:p>
      <w:pPr>
        <w:spacing w:after="160" w:line="276"/>
      </w:pPr>
      <w:r>
        <w:rPr>
          <w:sz w:val="21"/>
          <w:szCs w:val="21"/>
        </w:rPr>
        <w:t xml:space="preserve">Planes de App Service — hospedan los 60 Web Apps (APIs y portales) del ecosistema de beneficios: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5000"/>
        <w:gridCol w:w="2600"/>
        <w:gridCol w:w="1940"/>
      </w:tblGrid>
      <w:tr>
        <w:trPr>
          <w:tblHeader/>
        </w:trPr>
        <w:tc>
          <w:tcPr>
            <w:tcW w:type="dxa" w:w="5000"/>
            <w:shd w:fill="2E5C99" w:val="clear"/>
            <w:tcMar>
              <w:top w:type="dxa" w:w="80"/>
              <w:left w:type="dxa" w:w="100"/>
              <w:bottom w:type="dxa" w:w="80"/>
              <w:right w:type="dxa" w:w="100"/>
            </w:tcMar>
            <w:vAlign w:val="center"/>
          </w:tcPr>
          <w:p>
            <w:pPr>
              <w:jc w:val="left"/>
            </w:pPr>
            <w:r>
              <w:rPr>
                <w:b/>
                <w:bCs/>
                <w:color w:val="FFFFFF"/>
                <w:sz w:val="19"/>
                <w:szCs w:val="19"/>
              </w:rPr>
              <w:t xml:space="preserve">Plan de App Service</w:t>
            </w:r>
          </w:p>
        </w:tc>
        <w:tc>
          <w:tcPr>
            <w:tcW w:type="dxa" w:w="2600"/>
            <w:shd w:fill="2E5C99" w:val="clear"/>
            <w:tcMar>
              <w:top w:type="dxa" w:w="80"/>
              <w:left w:type="dxa" w:w="100"/>
              <w:bottom w:type="dxa" w:w="80"/>
              <w:right w:type="dxa" w:w="100"/>
            </w:tcMar>
            <w:vAlign w:val="center"/>
          </w:tcPr>
          <w:p>
            <w:pPr>
              <w:jc w:val="left"/>
            </w:pPr>
            <w:r>
              <w:rPr>
                <w:b/>
                <w:bCs/>
                <w:color w:val="FFFFFF"/>
                <w:sz w:val="19"/>
                <w:szCs w:val="19"/>
              </w:rPr>
              <w:t xml:space="preserve">Grupo de recursos</w:t>
            </w:r>
          </w:p>
        </w:tc>
        <w:tc>
          <w:tcPr>
            <w:tcW w:type="dxa" w:w="1940"/>
            <w:shd w:fill="2E5C99" w:val="clear"/>
            <w:tcMar>
              <w:top w:type="dxa" w:w="80"/>
              <w:left w:type="dxa" w:w="100"/>
              <w:bottom w:type="dxa" w:w="80"/>
              <w:right w:type="dxa" w:w="100"/>
            </w:tcMar>
            <w:vAlign w:val="center"/>
          </w:tcPr>
          <w:p>
            <w:pPr>
              <w:jc w:val="left"/>
            </w:pPr>
            <w:r>
              <w:rPr>
                <w:b/>
                <w:bCs/>
                <w:color w:val="FFFFFF"/>
                <w:sz w:val="19"/>
                <w:szCs w:val="19"/>
              </w:rPr>
              <w:t xml:space="preserve">Costo del periodo</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murguiatdprod</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appsmurguiaprod</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US$ 2,309.37</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murinteruatwin</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appsmurguia</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US$ 129.24</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murinteruat</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appsmurguia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US$ 27.44</w:t>
            </w:r>
          </w:p>
        </w:tc>
      </w:tr>
    </w:tbl>
    <w:p>
      <w:pPr>
        <w:spacing w:after="220"/>
      </w:pPr>
    </w:p>
    <w:p>
      <w:pPr>
        <w:spacing w:after="160" w:line="276"/>
      </w:pPr>
      <w:r>
        <w:rPr>
          <w:sz w:val="21"/>
          <w:szCs w:val="21"/>
        </w:rPr>
        <w:t xml:space="preserve">Bóvedas de Recovery Services — respaldo (Azure Backup) de servidores Windows: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5000"/>
        <w:gridCol w:w="2600"/>
        <w:gridCol w:w="1940"/>
      </w:tblGrid>
      <w:tr>
        <w:trPr>
          <w:tblHeader/>
        </w:trPr>
        <w:tc>
          <w:tcPr>
            <w:tcW w:type="dxa" w:w="5000"/>
            <w:shd w:fill="2E5C99" w:val="clear"/>
            <w:tcMar>
              <w:top w:type="dxa" w:w="80"/>
              <w:left w:type="dxa" w:w="100"/>
              <w:bottom w:type="dxa" w:w="80"/>
              <w:right w:type="dxa" w:w="100"/>
            </w:tcMar>
            <w:vAlign w:val="center"/>
          </w:tcPr>
          <w:p>
            <w:pPr>
              <w:jc w:val="left"/>
            </w:pPr>
            <w:r>
              <w:rPr>
                <w:b/>
                <w:bCs/>
                <w:color w:val="FFFFFF"/>
                <w:sz w:val="19"/>
                <w:szCs w:val="19"/>
              </w:rPr>
              <w:t xml:space="preserve">Bóveda</w:t>
            </w:r>
          </w:p>
        </w:tc>
        <w:tc>
          <w:tcPr>
            <w:tcW w:type="dxa" w:w="2600"/>
            <w:shd w:fill="2E5C99" w:val="clear"/>
            <w:tcMar>
              <w:top w:type="dxa" w:w="80"/>
              <w:left w:type="dxa" w:w="100"/>
              <w:bottom w:type="dxa" w:w="80"/>
              <w:right w:type="dxa" w:w="100"/>
            </w:tcMar>
            <w:vAlign w:val="center"/>
          </w:tcPr>
          <w:p>
            <w:pPr>
              <w:jc w:val="left"/>
            </w:pPr>
            <w:r>
              <w:rPr>
                <w:b/>
                <w:bCs/>
                <w:color w:val="FFFFFF"/>
                <w:sz w:val="19"/>
                <w:szCs w:val="19"/>
              </w:rPr>
              <w:t xml:space="preserve">Grupo de recursos</w:t>
            </w:r>
          </w:p>
        </w:tc>
        <w:tc>
          <w:tcPr>
            <w:tcW w:type="dxa" w:w="1940"/>
            <w:shd w:fill="2E5C99" w:val="clear"/>
            <w:tcMar>
              <w:top w:type="dxa" w:w="80"/>
              <w:left w:type="dxa" w:w="100"/>
              <w:bottom w:type="dxa" w:w="80"/>
              <w:right w:type="dxa" w:w="100"/>
            </w:tcMar>
            <w:vAlign w:val="center"/>
          </w:tcPr>
          <w:p>
            <w:pPr>
              <w:jc w:val="left"/>
            </w:pPr>
            <w:r>
              <w:rPr>
                <w:b/>
                <w:bCs/>
                <w:color w:val="FFFFFF"/>
                <w:sz w:val="19"/>
                <w:szCs w:val="19"/>
              </w:rPr>
              <w:t xml:space="preserve">Costo del periodo</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bckupvmwinscdia</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US$ 758.19</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bckupvmwinscsem</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US$ 163.71</w:t>
            </w:r>
          </w:p>
        </w:tc>
      </w:tr>
    </w:tbl>
    <w:p>
      <w:pPr>
        <w:spacing w:after="240"/>
      </w:pPr>
    </w:p>
    <w:p>
      <w:pPr>
        <w:pStyle w:val="Heading2"/>
        <w:spacing w:after="120" w:before="260"/>
      </w:pPr>
      <w:r>
        <w:rPr>
          <w:b/>
          <w:bCs/>
          <w:color w:val="2E5C99"/>
          <w:sz w:val="24"/>
          <w:szCs w:val="24"/>
        </w:rPr>
        <w:t xml:space="preserve">1.4 Elementos relevantes ya existentes fuera de South Central US</w:t>
      </w:r>
    </w:p>
    <w:p>
      <w:pPr>
        <w:pStyle w:val="ListParagraph"/>
        <w:numPr>
          <w:ilvl w:val="0"/>
          <w:numId w:val="2"/>
        </w:numPr>
        <w:spacing w:after="80"/>
      </w:pPr>
      <w:r>
        <w:rPr>
          <w:sz w:val="21"/>
          <w:szCs w:val="21"/>
        </w:rPr>
        <w:t xml:space="preserve">Azure Site Recovery (ASR) activo: el grupo de recursos rg-rsmurguia-asr-prod ya replica varias VMs (sqlsrv-murguia, websrvmurguia, discos de gestión) hacia North Central US como sitio de recuperación ante desastres.</w:t>
      </w:r>
    </w:p>
    <w:p>
      <w:pPr>
        <w:pStyle w:val="ListParagraph"/>
        <w:numPr>
          <w:ilvl w:val="0"/>
          <w:numId w:val="2"/>
        </w:numPr>
        <w:spacing w:after="80"/>
      </w:pPr>
      <w:r>
        <w:rPr>
          <w:sz w:val="21"/>
          <w:szCs w:val="21"/>
        </w:rPr>
        <w:t xml:space="preserve">Piloto multi-región: el grupo appsmurguia ya cuenta con un plan de App Service y 5 Web Apps de calidad (QA) desplegados en us central (pruebentreregiones, apibenefitsmc-qa, apibenefitsre-qa, mybenefits-qa, caserealmservices-qa, caserealmconsole-qa), lo que evidencia que el ecosistema de aplicaciones ya es compatible con Central US.</w:t>
      </w:r>
    </w:p>
    <w:p>
      <w:pPr>
        <w:pStyle w:val="ListParagraph"/>
        <w:numPr>
          <w:ilvl w:val="0"/>
          <w:numId w:val="2"/>
        </w:numPr>
        <w:spacing w:after="80"/>
      </w:pPr>
      <w:r>
        <w:rPr>
          <w:sz w:val="21"/>
          <w:szCs w:val="21"/>
        </w:rPr>
        <w:t xml:space="preserve">Recursos de diagnóstico dispersos en us east, us west, us west 2 y us east 2 (Log Analytics, action groups) con costo marginal, que no forman parte del alcance de esta migración.</w:t>
      </w:r>
    </w:p>
    <w:p>
      <w:pPr>
        <w:spacing w:after="160"/>
      </w:pPr>
    </w:p>
    <w:p>
      <w:pPr>
        <w:spacing w:after="160" w:before="120"/>
        <w:jc w:val="center"/>
      </w:pPr>
      <w:r>
        <w:drawing>
          <wp:inline distT="0" distB="0" distL="0" distR="0">
            <wp:extent cx="561975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571875"/>
                    </a:xfrm>
                    <a:prstGeom prst="rect">
                      <a:avLst/>
                    </a:prstGeom>
                  </pic:spPr>
                </pic:pic>
              </a:graphicData>
            </a:graphic>
          </wp:inline>
        </w:drawing>
      </w:r>
    </w:p>
    <w:p>
      <w:pPr>
        <w:spacing w:after="240"/>
        <w:jc w:val="center"/>
      </w:pPr>
      <w:r>
        <w:rPr>
          <w:i/>
          <w:iCs/>
          <w:color w:val="666666"/>
          <w:sz w:val="18"/>
          <w:szCs w:val="18"/>
        </w:rPr>
        <w:t xml:space="preserve">Figura 1. Arquitectura actual — distribución de recursos en South Central US.</w:t>
      </w:r>
    </w:p>
    <w:p>
      <w:pPr>
        <w:pStyle w:val="Heading1"/>
        <w:pBdr>
          <w:bottom w:val="single" w:color="2E5C99" w:sz="8" w:space="4"/>
        </w:pBdr>
        <w:spacing w:after="160" w:before="360"/>
      </w:pPr>
      <w:r>
        <w:rPr>
          <w:b/>
          <w:bCs/>
          <w:color w:val="1F3B57"/>
          <w:sz w:val="30"/>
          <w:szCs w:val="30"/>
        </w:rPr>
        <w:t xml:space="preserve">2. Objetivo</w:t>
      </w:r>
    </w:p>
    <w:p>
      <w:pPr>
        <w:spacing w:after="160" w:line="276"/>
      </w:pPr>
      <w:r>
        <w:rPr>
          <w:sz w:val="21"/>
          <w:szCs w:val="21"/>
        </w:rPr>
        <w:t xml:space="preserve">Migrar la totalidad de los recursos de producción, pruebas y respaldo del cliente Murguía que actualmente residen en la región Azure South Central US hacia la región Central US, preservando el nivel de servicio, la seguridad, la disponibilidad y el rendimiento actuales, y minimizando el impacto a los usuarios finales y a la operación del negocio durante la transición.</w:t>
      </w:r>
    </w:p>
    <w:p>
      <w:pPr>
        <w:spacing w:after="160" w:line="276"/>
      </w:pPr>
      <w:r>
        <w:rPr>
          <w:sz w:val="21"/>
          <w:szCs w:val="21"/>
        </w:rPr>
        <w:t xml:space="preserve">Objetivos específicos:</w:t>
      </w:r>
    </w:p>
    <w:p>
      <w:pPr>
        <w:pStyle w:val="ListParagraph"/>
        <w:numPr>
          <w:ilvl w:val="0"/>
          <w:numId w:val="2"/>
        </w:numPr>
        <w:spacing w:after="80"/>
      </w:pPr>
      <w:r>
        <w:rPr>
          <w:sz w:val="21"/>
          <w:szCs w:val="21"/>
        </w:rPr>
        <w:t xml:space="preserve">Establecer Central US como la nueva región primaria para el 100% de las cargas de trabajo actualmente desplegadas en South Central US.</w:t>
      </w:r>
    </w:p>
    <w:p>
      <w:pPr>
        <w:pStyle w:val="ListParagraph"/>
        <w:numPr>
          <w:ilvl w:val="0"/>
          <w:numId w:val="2"/>
        </w:numPr>
        <w:spacing w:after="80"/>
      </w:pPr>
      <w:r>
        <w:rPr>
          <w:sz w:val="21"/>
          <w:szCs w:val="21"/>
        </w:rPr>
        <w:t xml:space="preserve">Mantener la continuidad operativa de los 60 Web Apps y APIs del ecosistema de beneficios durante todo el proceso.</w:t>
      </w:r>
    </w:p>
    <w:p>
      <w:pPr>
        <w:pStyle w:val="ListParagraph"/>
        <w:numPr>
          <w:ilvl w:val="0"/>
          <w:numId w:val="2"/>
        </w:numPr>
        <w:spacing w:after="80"/>
      </w:pPr>
      <w:r>
        <w:rPr>
          <w:sz w:val="21"/>
          <w:szCs w:val="21"/>
        </w:rPr>
        <w:t xml:space="preserve">Re-litigar la estrategia de respaldo y recuperación ante desastres (Azure Backup / ASR) alineada a la nueva región primaria.</w:t>
      </w:r>
    </w:p>
    <w:p>
      <w:pPr>
        <w:pStyle w:val="ListParagraph"/>
        <w:numPr>
          <w:ilvl w:val="0"/>
          <w:numId w:val="2"/>
        </w:numPr>
        <w:spacing w:after="80"/>
      </w:pPr>
      <w:r>
        <w:rPr>
          <w:sz w:val="21"/>
          <w:szCs w:val="21"/>
        </w:rPr>
        <w:t xml:space="preserve">Aprovechar el piloto ya existente en Central US (pruebentreregiones) como base de aprendizaje para acelerar la migración.</w:t>
      </w:r>
    </w:p>
    <w:p>
      <w:pPr>
        <w:pStyle w:val="ListParagraph"/>
        <w:numPr>
          <w:ilvl w:val="0"/>
          <w:numId w:val="2"/>
        </w:numPr>
        <w:spacing w:after="80"/>
      </w:pPr>
      <w:r>
        <w:rPr>
          <w:sz w:val="21"/>
          <w:szCs w:val="21"/>
        </w:rPr>
        <w:t xml:space="preserve">Dar de baja de forma ordenada los recursos en South Central US una vez validada la operación en la región destino, evitando doble facturación prolongada.</w:t>
      </w:r>
    </w:p>
    <w:p>
      <w:pPr>
        <w:pStyle w:val="Heading1"/>
        <w:pBdr>
          <w:bottom w:val="single" w:color="2E5C99" w:sz="8" w:space="4"/>
        </w:pBdr>
        <w:spacing w:after="160" w:before="360"/>
      </w:pPr>
      <w:r>
        <w:rPr>
          <w:b/>
          <w:bCs/>
          <w:color w:val="1F3B57"/>
          <w:sz w:val="30"/>
          <w:szCs w:val="30"/>
        </w:rPr>
        <w:t xml:space="preserve">3. Arquitectura</w:t>
      </w:r>
    </w:p>
    <w:p>
      <w:pPr>
        <w:pStyle w:val="Heading2"/>
        <w:spacing w:after="120" w:before="260"/>
      </w:pPr>
      <w:r>
        <w:rPr>
          <w:b/>
          <w:bCs/>
          <w:color w:val="2E5C99"/>
          <w:sz w:val="24"/>
          <w:szCs w:val="24"/>
        </w:rPr>
        <w:t xml:space="preserve">3.1 Arquitectura actual</w:t>
      </w:r>
    </w:p>
    <w:p>
      <w:pPr>
        <w:spacing w:after="160" w:line="276"/>
      </w:pPr>
      <w:r>
        <w:rPr>
          <w:sz w:val="21"/>
          <w:szCs w:val="21"/>
        </w:rPr>
        <w:t xml:space="preserve">La arquitectura actual concentra el cómputo, almacenamiento y conectividad en South Central US, con un esquema de recuperación ante desastres ya apuntando a North Central US mediante Azure Site Recovery.</w:t>
      </w:r>
    </w:p>
    <w:p>
      <w:pPr>
        <w:spacing w:after="160" w:before="120"/>
        <w:jc w:val="center"/>
      </w:pPr>
      <w:r>
        <w:drawing>
          <wp:inline distT="0" distB="0" distL="0" distR="0">
            <wp:extent cx="5619750" cy="3571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619750" cy="3571875"/>
                    </a:xfrm>
                    <a:prstGeom prst="rect">
                      <a:avLst/>
                    </a:prstGeom>
                  </pic:spPr>
                </pic:pic>
              </a:graphicData>
            </a:graphic>
          </wp:inline>
        </w:drawing>
      </w:r>
    </w:p>
    <w:p>
      <w:pPr>
        <w:spacing w:after="240"/>
        <w:jc w:val="center"/>
      </w:pPr>
      <w:r>
        <w:rPr>
          <w:i/>
          <w:iCs/>
          <w:color w:val="666666"/>
          <w:sz w:val="18"/>
          <w:szCs w:val="18"/>
        </w:rPr>
        <w:t xml:space="preserve">Figura 1. Arquitectura actual (South Central US).</w:t>
      </w:r>
    </w:p>
    <w:p>
      <w:pPr>
        <w:pStyle w:val="Heading2"/>
        <w:spacing w:after="120" w:before="260"/>
      </w:pPr>
      <w:r>
        <w:rPr>
          <w:b/>
          <w:bCs/>
          <w:color w:val="2E5C99"/>
          <w:sz w:val="24"/>
          <w:szCs w:val="24"/>
        </w:rPr>
        <w:t xml:space="preserve">3.2 Arquitectura objetivo</w:t>
      </w:r>
    </w:p>
    <w:p>
      <w:pPr>
        <w:spacing w:after="160" w:line="276"/>
      </w:pPr>
      <w:r>
        <w:rPr>
          <w:sz w:val="21"/>
          <w:szCs w:val="21"/>
        </w:rPr>
        <w:t xml:space="preserve">La arquitectura objetivo replica la misma topología de grupos de recursos, SKUs y configuración de red en Central US, reutilizando el piloto ya desplegado. El esquema de recuperación ante desastres se reconfigura para apuntar a una región secundaria adecuada (p. ej. East US o North Central US), evitando que el par región primaria/DR quede geográficamente inconsistente.</w:t>
      </w:r>
    </w:p>
    <w:p>
      <w:pPr>
        <w:spacing w:after="160" w:before="120"/>
        <w:jc w:val="center"/>
      </w:pPr>
      <w:r>
        <w:drawing>
          <wp:inline distT="0" distB="0" distL="0" distR="0">
            <wp:extent cx="5619750" cy="381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3810000"/>
                    </a:xfrm>
                    <a:prstGeom prst="rect">
                      <a:avLst/>
                    </a:prstGeom>
                  </pic:spPr>
                </pic:pic>
              </a:graphicData>
            </a:graphic>
          </wp:inline>
        </w:drawing>
      </w:r>
    </w:p>
    <w:p>
      <w:pPr>
        <w:spacing w:after="240"/>
        <w:jc w:val="center"/>
      </w:pPr>
      <w:r>
        <w:rPr>
          <w:i/>
          <w:iCs/>
          <w:color w:val="666666"/>
          <w:sz w:val="18"/>
          <w:szCs w:val="18"/>
        </w:rPr>
        <w:t xml:space="preserve">Figura 2. Arquitectura objetivo (Central US) tras la migración.</w:t>
      </w:r>
    </w:p>
    <w:p>
      <w:pPr>
        <w:pStyle w:val="Heading2"/>
        <w:spacing w:after="120" w:before="260"/>
      </w:pPr>
      <w:r>
        <w:rPr>
          <w:b/>
          <w:bCs/>
          <w:color w:val="2E5C99"/>
          <w:sz w:val="24"/>
          <w:szCs w:val="24"/>
        </w:rPr>
        <w:t xml:space="preserve">3.3 Consideraciones de arquitectura</w:t>
      </w:r>
    </w:p>
    <w:p>
      <w:pPr>
        <w:pStyle w:val="ListParagraph"/>
        <w:numPr>
          <w:ilvl w:val="0"/>
          <w:numId w:val="2"/>
        </w:numPr>
        <w:spacing w:after="80"/>
      </w:pPr>
      <w:r>
        <w:rPr>
          <w:sz w:val="21"/>
          <w:szCs w:val="21"/>
        </w:rPr>
        <w:t xml:space="preserve">Central US y South Central US son ambas regiones "non-paired" para varios servicios; se debe validar el nuevo esquema de zonas de disponibilidad (Availability Zones) disponible en Central US para cada SKU de VM.</w:t>
      </w:r>
    </w:p>
    <w:p>
      <w:pPr>
        <w:pStyle w:val="ListParagraph"/>
        <w:numPr>
          <w:ilvl w:val="0"/>
          <w:numId w:val="2"/>
        </w:numPr>
        <w:spacing w:after="80"/>
      </w:pPr>
      <w:r>
        <w:rPr>
          <w:sz w:val="21"/>
          <w:szCs w:val="21"/>
        </w:rPr>
        <w:t xml:space="preserve">Las 57 discos administrados y las 13 VMs deben migrarse manteniendo el mismo tipo de disco (Premium SSD / Standard SSD) para no alterar el perfil de IOPS.</w:t>
      </w:r>
    </w:p>
    <w:p>
      <w:pPr>
        <w:pStyle w:val="ListParagraph"/>
        <w:numPr>
          <w:ilvl w:val="0"/>
          <w:numId w:val="2"/>
        </w:numPr>
        <w:spacing w:after="80"/>
      </w:pPr>
      <w:r>
        <w:rPr>
          <w:sz w:val="21"/>
          <w:szCs w:val="21"/>
        </w:rPr>
        <w:t xml:space="preserve">El Gateway de VPN y las conexiones de red deben recrearse en la nueva VNet de Central US; no es posible mover un Virtual Network Gateway entre regiones, se debe re-aprovisionar.</w:t>
      </w:r>
    </w:p>
    <w:p>
      <w:pPr>
        <w:pStyle w:val="ListParagraph"/>
        <w:numPr>
          <w:ilvl w:val="0"/>
          <w:numId w:val="2"/>
        </w:numPr>
        <w:spacing w:after="80"/>
      </w:pPr>
      <w:r>
        <w:rPr>
          <w:sz w:val="21"/>
          <w:szCs w:val="21"/>
        </w:rPr>
        <w:t xml:space="preserve">Las 60 Web Apps se redistribuyen sobre los 3 planes de App Service equivalentes ya dimensionados (Premium P2v3, Basic B1/B2), replicando app settings, certificados y dominios personalizados.</w:t>
      </w:r>
    </w:p>
    <w:p>
      <w:pPr>
        <w:pStyle w:val="ListParagraph"/>
        <w:numPr>
          <w:ilvl w:val="0"/>
          <w:numId w:val="2"/>
        </w:numPr>
        <w:spacing w:after="80"/>
      </w:pPr>
      <w:r>
        <w:rPr>
          <w:sz w:val="21"/>
          <w:szCs w:val="21"/>
        </w:rPr>
        <w:t xml:space="preserve">Los Private DNS Zones y el Traffic Manager (murguia-tm, sqlsrv-murguia-tm) deben actualizarse para apuntar a los nuevos endpoints en Central US.</w:t>
      </w:r>
    </w:p>
    <w:p>
      <w:pPr>
        <w:pStyle w:val="Heading1"/>
        <w:pBdr>
          <w:bottom w:val="single" w:color="2E5C99" w:sz="8" w:space="4"/>
        </w:pBdr>
        <w:spacing w:after="160" w:before="360"/>
      </w:pPr>
      <w:r>
        <w:rPr>
          <w:b/>
          <w:bCs/>
          <w:color w:val="1F3B57"/>
          <w:sz w:val="30"/>
          <w:szCs w:val="30"/>
        </w:rPr>
        <w:t xml:space="preserve">4. Estrategia</w:t>
      </w:r>
    </w:p>
    <w:p>
      <w:pPr>
        <w:spacing w:after="160" w:line="276"/>
      </w:pPr>
      <w:r>
        <w:rPr>
          <w:sz w:val="21"/>
          <w:szCs w:val="21"/>
        </w:rPr>
        <w:t xml:space="preserve">Se propone una migración por oleadas ("wave-based"), de menor a mayor criticidad, utilizando principalmente un enfoque de rehost ("lift-and-shift") con las herramientas nativas de Azure, complementado con recreación de infraestructura de red ("replatform" ligero) donde el recurso no es movible entre regiones.</w:t>
      </w:r>
    </w:p>
    <w:p>
      <w:pPr>
        <w:pStyle w:val="Heading2"/>
        <w:spacing w:after="120" w:before="260"/>
      </w:pPr>
      <w:r>
        <w:rPr>
          <w:b/>
          <w:bCs/>
          <w:color w:val="2E5C99"/>
          <w:sz w:val="24"/>
          <w:szCs w:val="24"/>
        </w:rPr>
        <w:t xml:space="preserve">4.1 Enfoque por tipo de recurso</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600"/>
        <w:gridCol w:w="5940"/>
      </w:tblGrid>
      <w:tr>
        <w:trPr>
          <w:tblHeader/>
        </w:trPr>
        <w:tc>
          <w:tcPr>
            <w:tcW w:type="dxa" w:w="3600"/>
            <w:shd w:fill="2E5C99" w:val="clear"/>
            <w:tcMar>
              <w:top w:type="dxa" w:w="80"/>
              <w:left w:type="dxa" w:w="100"/>
              <w:bottom w:type="dxa" w:w="80"/>
              <w:right w:type="dxa" w:w="100"/>
            </w:tcMar>
            <w:vAlign w:val="center"/>
          </w:tcPr>
          <w:p>
            <w:pPr>
              <w:jc w:val="left"/>
            </w:pPr>
            <w:r>
              <w:rPr>
                <w:b/>
                <w:bCs/>
                <w:color w:val="FFFFFF"/>
                <w:sz w:val="19"/>
                <w:szCs w:val="19"/>
              </w:rPr>
              <w:t xml:space="preserve">Recurso</w:t>
            </w:r>
          </w:p>
        </w:tc>
        <w:tc>
          <w:tcPr>
            <w:tcW w:type="dxa" w:w="5940"/>
            <w:shd w:fill="2E5C99" w:val="clear"/>
            <w:tcMar>
              <w:top w:type="dxa" w:w="80"/>
              <w:left w:type="dxa" w:w="100"/>
              <w:bottom w:type="dxa" w:w="80"/>
              <w:right w:type="dxa" w:w="100"/>
            </w:tcMar>
            <w:vAlign w:val="center"/>
          </w:tcPr>
          <w:p>
            <w:pPr>
              <w:jc w:val="left"/>
            </w:pPr>
            <w:r>
              <w:rPr>
                <w:b/>
                <w:bCs/>
                <w:color w:val="FFFFFF"/>
                <w:sz w:val="19"/>
                <w:szCs w:val="19"/>
              </w:rPr>
              <w:t xml:space="preserve">Método de migración recomendado</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Máquinas virtuales (IaaS)</w:t>
            </w:r>
          </w:p>
        </w:tc>
        <w:tc>
          <w:tcPr>
            <w:tcW w:type="dxa" w:w="5940"/>
            <w:tcMar>
              <w:top w:type="dxa" w:w="60"/>
              <w:left w:type="dxa" w:w="100"/>
              <w:bottom w:type="dxa" w:w="60"/>
              <w:right w:type="dxa" w:w="100"/>
            </w:tcMar>
            <w:vAlign w:val="center"/>
          </w:tcPr>
          <w:p>
            <w:pPr>
              <w:jc w:val="left"/>
            </w:pPr>
            <w:r>
              <w:rPr>
                <w:b w:val="false"/>
                <w:bCs w:val="false"/>
                <w:color w:val="000000"/>
                <w:sz w:val="19"/>
                <w:szCs w:val="19"/>
              </w:rPr>
              <w:t xml:space="preserve">Azure Migrate (réplica basada en agente/agentless) o Azure Site Recovery usado como motor de migración</w:t>
            </w:r>
          </w:p>
        </w:tc>
      </w:tr>
      <w:tr>
        <w:tc>
          <w:tcPr>
            <w:tcW w:type="dxa" w:w="3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Discos administrados</w:t>
            </w:r>
          </w:p>
        </w:tc>
        <w:tc>
          <w:tcPr>
            <w:tcW w:type="dxa" w:w="5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Migran junto con la VM asociada vía Azure Migrate / ASR</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Web Apps / App Service Plans</w:t>
            </w:r>
          </w:p>
        </w:tc>
        <w:tc>
          <w:tcPr>
            <w:tcW w:type="dxa" w:w="5940"/>
            <w:tcMar>
              <w:top w:type="dxa" w:w="60"/>
              <w:left w:type="dxa" w:w="100"/>
              <w:bottom w:type="dxa" w:w="60"/>
              <w:right w:type="dxa" w:w="100"/>
            </w:tcMar>
            <w:vAlign w:val="center"/>
          </w:tcPr>
          <w:p>
            <w:pPr>
              <w:jc w:val="left"/>
            </w:pPr>
            <w:r>
              <w:rPr>
                <w:b w:val="false"/>
                <w:bCs w:val="false"/>
                <w:color w:val="000000"/>
                <w:sz w:val="19"/>
                <w:szCs w:val="19"/>
              </w:rPr>
              <w:t xml:space="preserve">Nuevo App Service Plan en Central US + despliegue de código/artefactos (CI/CD) o clonación de slot</w:t>
            </w:r>
          </w:p>
        </w:tc>
      </w:tr>
      <w:tr>
        <w:tc>
          <w:tcPr>
            <w:tcW w:type="dxa" w:w="3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Cuentas de almacenamiento</w:t>
            </w:r>
          </w:p>
        </w:tc>
        <w:tc>
          <w:tcPr>
            <w:tcW w:type="dxa" w:w="5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AzCopy / Azure Storage Mover para replicar contenedores, blobs y archivos</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Bases de datos (si aplican en VM SQL)</w:t>
            </w:r>
          </w:p>
        </w:tc>
        <w:tc>
          <w:tcPr>
            <w:tcW w:type="dxa" w:w="5940"/>
            <w:tcMar>
              <w:top w:type="dxa" w:w="60"/>
              <w:left w:type="dxa" w:w="100"/>
              <w:bottom w:type="dxa" w:w="60"/>
              <w:right w:type="dxa" w:w="100"/>
            </w:tcMar>
            <w:vAlign w:val="center"/>
          </w:tcPr>
          <w:p>
            <w:pPr>
              <w:jc w:val="left"/>
            </w:pPr>
            <w:r>
              <w:rPr>
                <w:b w:val="false"/>
                <w:bCs w:val="false"/>
                <w:color w:val="000000"/>
                <w:sz w:val="19"/>
                <w:szCs w:val="19"/>
              </w:rPr>
              <w:t xml:space="preserve">Log Shipping / Backup-Restore o Always On Availability Group entre regiones</w:t>
            </w:r>
          </w:p>
        </w:tc>
      </w:tr>
      <w:tr>
        <w:tc>
          <w:tcPr>
            <w:tcW w:type="dxa" w:w="3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Redes (VNet, Gateway, NSG)</w:t>
            </w:r>
          </w:p>
        </w:tc>
        <w:tc>
          <w:tcPr>
            <w:tcW w:type="dxa" w:w="5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Recreación mediante Infraestructura como Código (Bicep/Terraform/ARM)</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Backup / Recovery Services</w:t>
            </w:r>
          </w:p>
        </w:tc>
        <w:tc>
          <w:tcPr>
            <w:tcW w:type="dxa" w:w="5940"/>
            <w:tcMar>
              <w:top w:type="dxa" w:w="60"/>
              <w:left w:type="dxa" w:w="100"/>
              <w:bottom w:type="dxa" w:w="60"/>
              <w:right w:type="dxa" w:w="100"/>
            </w:tcMar>
            <w:vAlign w:val="center"/>
          </w:tcPr>
          <w:p>
            <w:pPr>
              <w:jc w:val="left"/>
            </w:pPr>
            <w:r>
              <w:rPr>
                <w:b w:val="false"/>
                <w:bCs w:val="false"/>
                <w:color w:val="000000"/>
                <w:sz w:val="19"/>
                <w:szCs w:val="19"/>
              </w:rPr>
              <w:t xml:space="preserve">Nueva bóveda en Central US; re-protección de cargas ya migradas</w:t>
            </w:r>
          </w:p>
        </w:tc>
      </w:tr>
      <w:tr>
        <w:tc>
          <w:tcPr>
            <w:tcW w:type="dxa" w:w="3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DNS / Traffic Manager</w:t>
            </w:r>
          </w:p>
        </w:tc>
        <w:tc>
          <w:tcPr>
            <w:tcW w:type="dxa" w:w="5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Actualización de endpoints y validación de TTL bajo antes del corte</w:t>
            </w:r>
          </w:p>
        </w:tc>
      </w:tr>
    </w:tbl>
    <w:p>
      <w:pPr>
        <w:spacing w:after="240"/>
      </w:pPr>
    </w:p>
    <w:p>
      <w:pPr>
        <w:pStyle w:val="Heading2"/>
        <w:spacing w:after="120" w:before="260"/>
      </w:pPr>
      <w:r>
        <w:rPr>
          <w:b/>
          <w:bCs/>
          <w:color w:val="2E5C99"/>
          <w:sz w:val="24"/>
          <w:szCs w:val="24"/>
        </w:rPr>
        <w:t xml:space="preserve">4.2 Oleadas de migración</w:t>
      </w:r>
    </w:p>
    <w:p>
      <w:pPr>
        <w:pStyle w:val="ListParagraph"/>
        <w:numPr>
          <w:ilvl w:val="0"/>
          <w:numId w:val="3"/>
        </w:numPr>
        <w:spacing w:after="80"/>
      </w:pPr>
      <w:r>
        <w:rPr>
          <w:sz w:val="21"/>
          <w:szCs w:val="21"/>
        </w:rPr>
        <w:t xml:space="preserve">Oleada 0 — Landing zone: aprovisionar en Central US la red, seguridad y gobierno base (VNet, NSG, Log Analytics, Key Vault, políticas).</w:t>
      </w:r>
    </w:p>
    <w:p>
      <w:pPr>
        <w:pStyle w:val="ListParagraph"/>
        <w:numPr>
          <w:ilvl w:val="0"/>
          <w:numId w:val="3"/>
        </w:numPr>
        <w:spacing w:after="80"/>
      </w:pPr>
      <w:r>
        <w:rPr>
          <w:sz w:val="21"/>
          <w:szCs w:val="21"/>
        </w:rPr>
        <w:t xml:space="preserve">Oleada 1 — Ambientes no productivos: Web Apps y App Service Plans de QA, IA, MRG y PRE (60 sitios), apoyándose en el piloto ya existente.</w:t>
      </w:r>
    </w:p>
    <w:p>
      <w:pPr>
        <w:pStyle w:val="ListParagraph"/>
        <w:numPr>
          <w:ilvl w:val="0"/>
          <w:numId w:val="3"/>
        </w:numPr>
        <w:spacing w:after="80"/>
      </w:pPr>
      <w:r>
        <w:rPr>
          <w:sz w:val="21"/>
          <w:szCs w:val="21"/>
        </w:rPr>
        <w:t xml:space="preserve">Oleada 2 — Datos y almacenamiento: cuentas de almacenamiento y contenido de archivos/discos no atados a una VM productiva.</w:t>
      </w:r>
    </w:p>
    <w:p>
      <w:pPr>
        <w:pStyle w:val="ListParagraph"/>
        <w:numPr>
          <w:ilvl w:val="0"/>
          <w:numId w:val="3"/>
        </w:numPr>
        <w:spacing w:after="80"/>
      </w:pPr>
      <w:r>
        <w:rPr>
          <w:sz w:val="21"/>
          <w:szCs w:val="21"/>
        </w:rPr>
        <w:t xml:space="preserve">Oleada 3 — Cargas críticas: las 13 VM (SQL, DLP, BI, archivos, proxy) y los App Service de producción, en ventana de mantenimiento acordada.</w:t>
      </w:r>
    </w:p>
    <w:p>
      <w:pPr>
        <w:pStyle w:val="ListParagraph"/>
        <w:numPr>
          <w:ilvl w:val="0"/>
          <w:numId w:val="3"/>
        </w:numPr>
        <w:spacing w:after="80"/>
      </w:pPr>
      <w:r>
        <w:rPr>
          <w:sz w:val="21"/>
          <w:szCs w:val="21"/>
        </w:rPr>
        <w:t xml:space="preserve">Oleada 4 — Red, DNS y DR: corte de VPN Gateway, actualización de Traffic Manager/DNS y reconfiguración de respaldo/ASR.</w:t>
      </w:r>
    </w:p>
    <w:p>
      <w:pPr>
        <w:pStyle w:val="ListParagraph"/>
        <w:numPr>
          <w:ilvl w:val="0"/>
          <w:numId w:val="3"/>
        </w:numPr>
        <w:spacing w:after="80"/>
      </w:pPr>
      <w:r>
        <w:rPr>
          <w:sz w:val="21"/>
          <w:szCs w:val="21"/>
        </w:rPr>
        <w:t xml:space="preserve">Oleada 5 — Decomiso: baja controlada de los recursos remanentes en South Central US tras el periodo de estabilización.</w:t>
      </w:r>
    </w:p>
    <w:p>
      <w:pPr>
        <w:pStyle w:val="Heading2"/>
        <w:spacing w:after="120" w:before="260"/>
      </w:pPr>
      <w:r>
        <w:rPr>
          <w:b/>
          <w:bCs/>
          <w:color w:val="2E5C99"/>
          <w:sz w:val="24"/>
          <w:szCs w:val="24"/>
        </w:rPr>
        <w:t xml:space="preserve">4.3 Estrategia de corte (cutover) y rollback</w:t>
      </w:r>
    </w:p>
    <w:p>
      <w:pPr>
        <w:pStyle w:val="ListParagraph"/>
        <w:numPr>
          <w:ilvl w:val="0"/>
          <w:numId w:val="2"/>
        </w:numPr>
        <w:spacing w:after="80"/>
      </w:pPr>
      <w:r>
        <w:rPr>
          <w:sz w:val="21"/>
          <w:szCs w:val="21"/>
        </w:rPr>
        <w:t xml:space="preserve">Cada oleada incluye una ventana de pruebas de aceptación antes de redirigir tráfico productivo.</w:t>
      </w:r>
    </w:p>
    <w:p>
      <w:pPr>
        <w:pStyle w:val="ListParagraph"/>
        <w:numPr>
          <w:ilvl w:val="0"/>
          <w:numId w:val="2"/>
        </w:numPr>
        <w:spacing w:after="80"/>
      </w:pPr>
      <w:r>
        <w:rPr>
          <w:sz w:val="21"/>
          <w:szCs w:val="21"/>
        </w:rPr>
        <w:t xml:space="preserve">Se mantiene el ambiente de South Central US activo (sin decomisar) durante todo el periodo de estabilización, permitiendo revertir el tráfico (rollback) en caso de incidente.</w:t>
      </w:r>
    </w:p>
    <w:p>
      <w:pPr>
        <w:pStyle w:val="ListParagraph"/>
        <w:numPr>
          <w:ilvl w:val="0"/>
          <w:numId w:val="2"/>
        </w:numPr>
        <w:spacing w:after="80"/>
      </w:pPr>
      <w:r>
        <w:rPr>
          <w:sz w:val="21"/>
          <w:szCs w:val="21"/>
        </w:rPr>
        <w:t xml:space="preserve">El corte de DNS/Traffic Manager se realiza de forma gradual (weighted routing) cuando el servicio lo permite, para reducir el riesgo del corte total.</w:t>
      </w:r>
    </w:p>
    <w:p>
      <w:pPr>
        <w:pStyle w:val="Heading1"/>
        <w:pBdr>
          <w:bottom w:val="single" w:color="2E5C99" w:sz="8" w:space="4"/>
        </w:pBdr>
        <w:spacing w:after="160" w:before="360"/>
      </w:pPr>
      <w:r>
        <w:rPr>
          <w:b/>
          <w:bCs/>
          <w:color w:val="1F3B57"/>
          <w:sz w:val="30"/>
          <w:szCs w:val="30"/>
        </w:rPr>
        <w:t xml:space="preserve">5. Alcance</w:t>
      </w:r>
    </w:p>
    <w:p>
      <w:pPr>
        <w:spacing w:after="160" w:line="276"/>
      </w:pPr>
      <w:r>
        <w:rPr>
          <w:sz w:val="21"/>
          <w:szCs w:val="21"/>
        </w:rPr>
        <w:t xml:space="preserve">El alcance de este proyecto cubre la migración de los recursos identificados en el inventario de South Central US hacia Central US, incluyendo:</w:t>
      </w:r>
    </w:p>
    <w:p>
      <w:pPr>
        <w:pStyle w:val="ListParagraph"/>
        <w:numPr>
          <w:ilvl w:val="0"/>
          <w:numId w:val="2"/>
        </w:numPr>
        <w:spacing w:after="80"/>
      </w:pPr>
      <w:r>
        <w:rPr>
          <w:sz w:val="21"/>
          <w:szCs w:val="21"/>
        </w:rPr>
        <w:t xml:space="preserve">Migración de las 13 máquinas virtuales y sus 57 discos administrados asociados.</w:t>
      </w:r>
    </w:p>
    <w:p>
      <w:pPr>
        <w:pStyle w:val="ListParagraph"/>
        <w:numPr>
          <w:ilvl w:val="0"/>
          <w:numId w:val="2"/>
        </w:numPr>
        <w:spacing w:after="80"/>
      </w:pPr>
      <w:r>
        <w:rPr>
          <w:sz w:val="21"/>
          <w:szCs w:val="21"/>
        </w:rPr>
        <w:t xml:space="preserve">Migración de los 3 planes de App Service y los 60 Web Apps/APIs que hospedan.</w:t>
      </w:r>
    </w:p>
    <w:p>
      <w:pPr>
        <w:pStyle w:val="ListParagraph"/>
        <w:numPr>
          <w:ilvl w:val="0"/>
          <w:numId w:val="2"/>
        </w:numPr>
        <w:spacing w:after="80"/>
      </w:pPr>
      <w:r>
        <w:rPr>
          <w:sz w:val="21"/>
          <w:szCs w:val="21"/>
        </w:rPr>
        <w:t xml:space="preserve">Migración de las 9 cuentas de almacenamiento y su contenido (blobs, archivos, tablas/colas si aplica).</w:t>
      </w:r>
    </w:p>
    <w:p>
      <w:pPr>
        <w:pStyle w:val="ListParagraph"/>
        <w:numPr>
          <w:ilvl w:val="0"/>
          <w:numId w:val="2"/>
        </w:numPr>
        <w:spacing w:after="80"/>
      </w:pPr>
      <w:r>
        <w:rPr>
          <w:sz w:val="21"/>
          <w:szCs w:val="21"/>
        </w:rPr>
        <w:t xml:space="preserve">Reconfiguración de la red virtual, subredes, NSG, Gateway de VPN y Private DNS Zones en la región destino.</w:t>
      </w:r>
    </w:p>
    <w:p>
      <w:pPr>
        <w:pStyle w:val="ListParagraph"/>
        <w:numPr>
          <w:ilvl w:val="0"/>
          <w:numId w:val="2"/>
        </w:numPr>
        <w:spacing w:after="80"/>
      </w:pPr>
      <w:r>
        <w:rPr>
          <w:sz w:val="21"/>
          <w:szCs w:val="21"/>
        </w:rPr>
        <w:t xml:space="preserve">Reconfiguración del esquema de respaldo (Azure Backup) y recuperación ante desastres (ASR) para la nueva región primaria.</w:t>
      </w:r>
    </w:p>
    <w:p>
      <w:pPr>
        <w:pStyle w:val="ListParagraph"/>
        <w:numPr>
          <w:ilvl w:val="0"/>
          <w:numId w:val="2"/>
        </w:numPr>
        <w:spacing w:after="80"/>
      </w:pPr>
      <w:r>
        <w:rPr>
          <w:sz w:val="21"/>
          <w:szCs w:val="21"/>
        </w:rPr>
        <w:t xml:space="preserve">Actualización del Traffic Manager y validación de resolución de nombres (DNS) hacia los nuevos endpoints.</w:t>
      </w:r>
    </w:p>
    <w:p>
      <w:pPr>
        <w:pStyle w:val="ListParagraph"/>
        <w:numPr>
          <w:ilvl w:val="0"/>
          <w:numId w:val="2"/>
        </w:numPr>
        <w:spacing w:after="80"/>
      </w:pPr>
      <w:r>
        <w:rPr>
          <w:sz w:val="21"/>
          <w:szCs w:val="21"/>
        </w:rPr>
        <w:t xml:space="preserve">Pruebas funcionales, de rendimiento y de aceptación por ambiente (IA, MRG, PRE, UAT y producción).</w:t>
      </w:r>
    </w:p>
    <w:p>
      <w:pPr>
        <w:pStyle w:val="ListParagraph"/>
        <w:numPr>
          <w:ilvl w:val="0"/>
          <w:numId w:val="2"/>
        </w:numPr>
        <w:spacing w:after="80"/>
      </w:pPr>
      <w:r>
        <w:rPr>
          <w:sz w:val="21"/>
          <w:szCs w:val="21"/>
        </w:rPr>
        <w:t xml:space="preserve">Acompañamiento durante el periodo de estabilización y soporte post-migración (hypercare).</w:t>
      </w:r>
    </w:p>
    <w:p>
      <w:pPr>
        <w:pStyle w:val="ListParagraph"/>
        <w:numPr>
          <w:ilvl w:val="0"/>
          <w:numId w:val="2"/>
        </w:numPr>
        <w:spacing w:after="80"/>
      </w:pPr>
      <w:r>
        <w:rPr>
          <w:sz w:val="21"/>
          <w:szCs w:val="21"/>
        </w:rPr>
        <w:t xml:space="preserve">Documentación técnica as-built de la nueva arquitectura en Central US.</w:t>
      </w:r>
    </w:p>
    <w:p>
      <w:pPr>
        <w:pStyle w:val="Heading1"/>
        <w:pBdr>
          <w:bottom w:val="single" w:color="2E5C99" w:sz="8" w:space="4"/>
        </w:pBdr>
        <w:spacing w:after="160" w:before="360"/>
      </w:pPr>
      <w:r>
        <w:rPr>
          <w:b/>
          <w:bCs/>
          <w:color w:val="1F3B57"/>
          <w:sz w:val="30"/>
          <w:szCs w:val="30"/>
        </w:rPr>
        <w:t xml:space="preserve">6. Fuera de Alcance</w:t>
      </w:r>
    </w:p>
    <w:p>
      <w:pPr>
        <w:pStyle w:val="ListParagraph"/>
        <w:numPr>
          <w:ilvl w:val="0"/>
          <w:numId w:val="2"/>
        </w:numPr>
        <w:spacing w:after="80"/>
      </w:pPr>
      <w:r>
        <w:rPr>
          <w:sz w:val="21"/>
          <w:szCs w:val="21"/>
        </w:rPr>
        <w:t xml:space="preserve">Rediseño o modernización de aplicaciones (re-arquitectura a PaaS/contenedores, microservicios, etc.); la migración es un rehost, no una transformación de arquitectura de software.</w:t>
      </w:r>
    </w:p>
    <w:p>
      <w:pPr>
        <w:pStyle w:val="ListParagraph"/>
        <w:numPr>
          <w:ilvl w:val="0"/>
          <w:numId w:val="2"/>
        </w:numPr>
        <w:spacing w:after="80"/>
      </w:pPr>
      <w:r>
        <w:rPr>
          <w:sz w:val="21"/>
          <w:szCs w:val="21"/>
        </w:rPr>
        <w:t xml:space="preserve">Optimización de licenciamiento de software de terceros más allá de lo requerido por el cambio de región.</w:t>
      </w:r>
    </w:p>
    <w:p>
      <w:pPr>
        <w:pStyle w:val="ListParagraph"/>
        <w:numPr>
          <w:ilvl w:val="0"/>
          <w:numId w:val="2"/>
        </w:numPr>
        <w:spacing w:after="80"/>
      </w:pPr>
      <w:r>
        <w:rPr>
          <w:sz w:val="21"/>
          <w:szCs w:val="21"/>
        </w:rPr>
        <w:t xml:space="preserve">Migración de los recursos ya ubicados fuera de South Central US que no forman parte del inventario analizado (recursos en global, us east, us west, us west 2, us east 2), salvo los que dependan directamente de un recurso migrado.</w:t>
      </w:r>
    </w:p>
    <w:p>
      <w:pPr>
        <w:pStyle w:val="ListParagraph"/>
        <w:numPr>
          <w:ilvl w:val="0"/>
          <w:numId w:val="2"/>
        </w:numPr>
        <w:spacing w:after="80"/>
      </w:pPr>
      <w:r>
        <w:rPr>
          <w:sz w:val="21"/>
          <w:szCs w:val="21"/>
        </w:rPr>
        <w:t xml:space="preserve">Renegociación o cambio del modelo de facturación / Reserved Instances contratadas; estas se revisarán en un ejercicio de optimización de costos posterior, fuera de este proyecto.</w:t>
      </w:r>
    </w:p>
    <w:p>
      <w:pPr>
        <w:pStyle w:val="ListParagraph"/>
        <w:numPr>
          <w:ilvl w:val="0"/>
          <w:numId w:val="2"/>
        </w:numPr>
        <w:spacing w:after="80"/>
      </w:pPr>
      <w:r>
        <w:rPr>
          <w:sz w:val="21"/>
          <w:szCs w:val="21"/>
        </w:rPr>
        <w:t xml:space="preserve">Desarrollo de nuevas funcionalidades de negocio en las aplicaciones existentes.</w:t>
      </w:r>
    </w:p>
    <w:p>
      <w:pPr>
        <w:pStyle w:val="ListParagraph"/>
        <w:numPr>
          <w:ilvl w:val="0"/>
          <w:numId w:val="2"/>
        </w:numPr>
        <w:spacing w:after="80"/>
      </w:pPr>
      <w:r>
        <w:rPr>
          <w:sz w:val="21"/>
          <w:szCs w:val="21"/>
        </w:rPr>
        <w:t xml:space="preserve">Migración de datos históricos fuera de las bases y contenedores identificados en el inventario actual.</w:t>
      </w:r>
    </w:p>
    <w:p>
      <w:pPr>
        <w:pStyle w:val="ListParagraph"/>
        <w:numPr>
          <w:ilvl w:val="0"/>
          <w:numId w:val="2"/>
        </w:numPr>
        <w:spacing w:after="80"/>
      </w:pPr>
      <w:r>
        <w:rPr>
          <w:sz w:val="21"/>
          <w:szCs w:val="21"/>
        </w:rPr>
        <w:t xml:space="preserve">Capacitación extensa a usuarios finales (se limita a una sesión de traspaso técnico al equipo de TI del cliente).</w:t>
      </w:r>
    </w:p>
    <w:p>
      <w:pPr>
        <w:pStyle w:val="Heading1"/>
        <w:pBdr>
          <w:bottom w:val="single" w:color="2E5C99" w:sz="8" w:space="4"/>
        </w:pBdr>
        <w:spacing w:after="160" w:before="360"/>
      </w:pPr>
      <w:r>
        <w:rPr>
          <w:b/>
          <w:bCs/>
          <w:color w:val="1F3B57"/>
          <w:sz w:val="30"/>
          <w:szCs w:val="30"/>
        </w:rPr>
        <w:t xml:space="preserve">7. Requerimientos Técnico / Humano</w:t>
      </w:r>
    </w:p>
    <w:p>
      <w:pPr>
        <w:pStyle w:val="Heading2"/>
        <w:spacing w:after="120" w:before="260"/>
      </w:pPr>
      <w:r>
        <w:rPr>
          <w:b/>
          <w:bCs/>
          <w:color w:val="2E5C99"/>
          <w:sz w:val="24"/>
          <w:szCs w:val="24"/>
        </w:rPr>
        <w:t xml:space="preserve">7.1 Requerimientos técnicos</w:t>
      </w:r>
    </w:p>
    <w:p>
      <w:pPr>
        <w:pStyle w:val="ListParagraph"/>
        <w:numPr>
          <w:ilvl w:val="0"/>
          <w:numId w:val="2"/>
        </w:numPr>
        <w:spacing w:after="80"/>
      </w:pPr>
      <w:r>
        <w:rPr>
          <w:sz w:val="21"/>
          <w:szCs w:val="21"/>
        </w:rPr>
        <w:t xml:space="preserve">Suscripción Azure con cuota (vCPU quota) suficiente en Central US para desplegar en paralelo las cargas migradas antes del decomiso de South Central US.</w:t>
      </w:r>
    </w:p>
    <w:p>
      <w:pPr>
        <w:pStyle w:val="ListParagraph"/>
        <w:numPr>
          <w:ilvl w:val="0"/>
          <w:numId w:val="2"/>
        </w:numPr>
        <w:spacing w:after="80"/>
      </w:pPr>
      <w:r>
        <w:rPr>
          <w:sz w:val="21"/>
          <w:szCs w:val="21"/>
        </w:rPr>
        <w:t xml:space="preserve">Licencia/herramienta de migración: Azure Migrate y/o Azure Site Recovery habilitados en la suscripción.</w:t>
      </w:r>
    </w:p>
    <w:p>
      <w:pPr>
        <w:pStyle w:val="ListParagraph"/>
        <w:numPr>
          <w:ilvl w:val="0"/>
          <w:numId w:val="2"/>
        </w:numPr>
        <w:spacing w:after="80"/>
      </w:pPr>
      <w:r>
        <w:rPr>
          <w:sz w:val="21"/>
          <w:szCs w:val="21"/>
        </w:rPr>
        <w:t xml:space="preserve">Acceso con permisos de Owner/Contributor sobre los grupos de recursos involucrados, para el equipo de migración.</w:t>
      </w:r>
    </w:p>
    <w:p>
      <w:pPr>
        <w:pStyle w:val="ListParagraph"/>
        <w:numPr>
          <w:ilvl w:val="0"/>
          <w:numId w:val="2"/>
        </w:numPr>
        <w:spacing w:after="80"/>
      </w:pPr>
      <w:r>
        <w:rPr>
          <w:sz w:val="21"/>
          <w:szCs w:val="21"/>
        </w:rPr>
        <w:t xml:space="preserve">Ventanas de mantenimiento acordadas con el negocio para la oleada de cargas críticas (VMs de producción, SQL).</w:t>
      </w:r>
    </w:p>
    <w:p>
      <w:pPr>
        <w:pStyle w:val="ListParagraph"/>
        <w:numPr>
          <w:ilvl w:val="0"/>
          <w:numId w:val="2"/>
        </w:numPr>
        <w:spacing w:after="80"/>
      </w:pPr>
      <w:r>
        <w:rPr>
          <w:sz w:val="21"/>
          <w:szCs w:val="21"/>
        </w:rPr>
        <w:t xml:space="preserve">Ambiente de pruebas (staging) en Central US para validar cada oleada antes del corte definitivo.</w:t>
      </w:r>
    </w:p>
    <w:p>
      <w:pPr>
        <w:pStyle w:val="ListParagraph"/>
        <w:numPr>
          <w:ilvl w:val="0"/>
          <w:numId w:val="2"/>
        </w:numPr>
        <w:spacing w:after="80"/>
      </w:pPr>
      <w:r>
        <w:rPr>
          <w:sz w:val="21"/>
          <w:szCs w:val="21"/>
        </w:rPr>
        <w:t xml:space="preserve">Acceso a los pipelines de CI/CD actuales (Azure DevOps/GitHub Actions u otro) para redirigir los despliegues de los Web Apps hacia Central US.</w:t>
      </w:r>
    </w:p>
    <w:p>
      <w:pPr>
        <w:pStyle w:val="ListParagraph"/>
        <w:numPr>
          <w:ilvl w:val="0"/>
          <w:numId w:val="2"/>
        </w:numPr>
        <w:spacing w:after="80"/>
      </w:pPr>
      <w:r>
        <w:rPr>
          <w:sz w:val="21"/>
          <w:szCs w:val="21"/>
        </w:rPr>
        <w:t xml:space="preserve">Herramientas de monitoreo (Log Analytics / Application Insights) replicadas en la región destino desde el inicio del proyecto.</w:t>
      </w:r>
    </w:p>
    <w:p>
      <w:pPr>
        <w:pStyle w:val="Heading2"/>
        <w:spacing w:after="120" w:before="260"/>
      </w:pPr>
      <w:r>
        <w:rPr>
          <w:b/>
          <w:bCs/>
          <w:color w:val="2E5C99"/>
          <w:sz w:val="24"/>
          <w:szCs w:val="24"/>
        </w:rPr>
        <w:t xml:space="preserve">7.2 Requerimientos humanos (roles)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3000"/>
        <w:gridCol w:w="3960"/>
        <w:gridCol w:w="2580"/>
      </w:tblGrid>
      <w:tr>
        <w:trPr>
          <w:tblHeader/>
        </w:trPr>
        <w:tc>
          <w:tcPr>
            <w:tcW w:type="dxa" w:w="3000"/>
            <w:shd w:fill="2E5C99" w:val="clear"/>
            <w:tcMar>
              <w:top w:type="dxa" w:w="80"/>
              <w:left w:type="dxa" w:w="100"/>
              <w:bottom w:type="dxa" w:w="80"/>
              <w:right w:type="dxa" w:w="100"/>
            </w:tcMar>
            <w:vAlign w:val="center"/>
          </w:tcPr>
          <w:p>
            <w:pPr>
              <w:jc w:val="left"/>
            </w:pPr>
            <w:r>
              <w:rPr>
                <w:b/>
                <w:bCs/>
                <w:color w:val="FFFFFF"/>
                <w:sz w:val="19"/>
                <w:szCs w:val="19"/>
              </w:rPr>
              <w:t xml:space="preserve">Rol</w:t>
            </w:r>
          </w:p>
        </w:tc>
        <w:tc>
          <w:tcPr>
            <w:tcW w:type="dxa" w:w="3960"/>
            <w:shd w:fill="2E5C99" w:val="clear"/>
            <w:tcMar>
              <w:top w:type="dxa" w:w="80"/>
              <w:left w:type="dxa" w:w="100"/>
              <w:bottom w:type="dxa" w:w="80"/>
              <w:right w:type="dxa" w:w="100"/>
            </w:tcMar>
            <w:vAlign w:val="center"/>
          </w:tcPr>
          <w:p>
            <w:pPr>
              <w:jc w:val="left"/>
            </w:pPr>
            <w:r>
              <w:rPr>
                <w:b/>
                <w:bCs/>
                <w:color w:val="FFFFFF"/>
                <w:sz w:val="19"/>
                <w:szCs w:val="19"/>
              </w:rPr>
              <w:t xml:space="preserve">Responsabilidad</w:t>
            </w:r>
          </w:p>
        </w:tc>
        <w:tc>
          <w:tcPr>
            <w:tcW w:type="dxa" w:w="2580"/>
            <w:shd w:fill="2E5C99" w:val="clear"/>
            <w:tcMar>
              <w:top w:type="dxa" w:w="80"/>
              <w:left w:type="dxa" w:w="100"/>
              <w:bottom w:type="dxa" w:w="80"/>
              <w:right w:type="dxa" w:w="100"/>
            </w:tcMar>
            <w:vAlign w:val="center"/>
          </w:tcPr>
          <w:p>
            <w:pPr>
              <w:jc w:val="left"/>
            </w:pPr>
            <w:r>
              <w:rPr>
                <w:b/>
                <w:bCs/>
                <w:color w:val="FFFFFF"/>
                <w:sz w:val="19"/>
                <w:szCs w:val="19"/>
              </w:rPr>
              <w:t xml:space="preserve">Dedicación estimada</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Arquitecto de la nube (Azure)</w:t>
            </w:r>
          </w:p>
        </w:tc>
        <w:tc>
          <w:tcPr>
            <w:tcW w:type="dxa" w:w="3960"/>
            <w:tcMar>
              <w:top w:type="dxa" w:w="60"/>
              <w:left w:type="dxa" w:w="100"/>
              <w:bottom w:type="dxa" w:w="60"/>
              <w:right w:type="dxa" w:w="100"/>
            </w:tcMar>
            <w:vAlign w:val="center"/>
          </w:tcPr>
          <w:p>
            <w:pPr>
              <w:jc w:val="left"/>
            </w:pPr>
            <w:r>
              <w:rPr>
                <w:b w:val="false"/>
                <w:bCs w:val="false"/>
                <w:color w:val="000000"/>
                <w:sz w:val="19"/>
                <w:szCs w:val="19"/>
              </w:rPr>
              <w:t xml:space="preserve">Diseño de landing zone, validación de arquitectura destino</w:t>
            </w:r>
          </w:p>
        </w:tc>
        <w:tc>
          <w:tcPr>
            <w:tcW w:type="dxa" w:w="2580"/>
            <w:tcMar>
              <w:top w:type="dxa" w:w="60"/>
              <w:left w:type="dxa" w:w="100"/>
              <w:bottom w:type="dxa" w:w="60"/>
              <w:right w:type="dxa" w:w="100"/>
            </w:tcMar>
            <w:vAlign w:val="center"/>
          </w:tcPr>
          <w:p>
            <w:pPr>
              <w:jc w:val="left"/>
            </w:pPr>
            <w:r>
              <w:rPr>
                <w:b w:val="false"/>
                <w:bCs w:val="false"/>
                <w:color w:val="000000"/>
                <w:sz w:val="19"/>
                <w:szCs w:val="19"/>
              </w:rPr>
              <w:t xml:space="preserve">Parcial (todo el proyecto)</w:t>
            </w:r>
          </w:p>
        </w:tc>
      </w:tr>
      <w:tr>
        <w:tc>
          <w:tcPr>
            <w:tcW w:type="dxa" w:w="3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Ingeniero de migración / Cloud Engineer</w:t>
            </w:r>
          </w:p>
        </w:tc>
        <w:tc>
          <w:tcPr>
            <w:tcW w:type="dxa" w:w="396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Ejecución técnica de las oleadas de migración</w:t>
            </w:r>
          </w:p>
        </w:tc>
        <w:tc>
          <w:tcPr>
            <w:tcW w:type="dxa" w:w="258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Tiempo completo</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Administrador de redes</w:t>
            </w:r>
          </w:p>
        </w:tc>
        <w:tc>
          <w:tcPr>
            <w:tcW w:type="dxa" w:w="3960"/>
            <w:tcMar>
              <w:top w:type="dxa" w:w="60"/>
              <w:left w:type="dxa" w:w="100"/>
              <w:bottom w:type="dxa" w:w="60"/>
              <w:right w:type="dxa" w:w="100"/>
            </w:tcMar>
            <w:vAlign w:val="center"/>
          </w:tcPr>
          <w:p>
            <w:pPr>
              <w:jc w:val="left"/>
            </w:pPr>
            <w:r>
              <w:rPr>
                <w:b w:val="false"/>
                <w:bCs w:val="false"/>
                <w:color w:val="000000"/>
                <w:sz w:val="19"/>
                <w:szCs w:val="19"/>
              </w:rPr>
              <w:t xml:space="preserve">VNet, Gateway, DNS, Traffic Manager</w:t>
            </w:r>
          </w:p>
        </w:tc>
        <w:tc>
          <w:tcPr>
            <w:tcW w:type="dxa" w:w="2580"/>
            <w:tcMar>
              <w:top w:type="dxa" w:w="60"/>
              <w:left w:type="dxa" w:w="100"/>
              <w:bottom w:type="dxa" w:w="60"/>
              <w:right w:type="dxa" w:w="100"/>
            </w:tcMar>
            <w:vAlign w:val="center"/>
          </w:tcPr>
          <w:p>
            <w:pPr>
              <w:jc w:val="left"/>
            </w:pPr>
            <w:r>
              <w:rPr>
                <w:b w:val="false"/>
                <w:bCs w:val="false"/>
                <w:color w:val="000000"/>
                <w:sz w:val="19"/>
                <w:szCs w:val="19"/>
              </w:rPr>
              <w:t xml:space="preserve">Parcial (oleadas 0, 4)</w:t>
            </w:r>
          </w:p>
        </w:tc>
      </w:tr>
      <w:tr>
        <w:tc>
          <w:tcPr>
            <w:tcW w:type="dxa" w:w="3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DBA / especialista SQL</w:t>
            </w:r>
          </w:p>
        </w:tc>
        <w:tc>
          <w:tcPr>
            <w:tcW w:type="dxa" w:w="396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Migración y validación de motor SQL en VM</w:t>
            </w:r>
          </w:p>
        </w:tc>
        <w:tc>
          <w:tcPr>
            <w:tcW w:type="dxa" w:w="258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Parcial (oleada 3)</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Ingeniero DevOps</w:t>
            </w:r>
          </w:p>
        </w:tc>
        <w:tc>
          <w:tcPr>
            <w:tcW w:type="dxa" w:w="3960"/>
            <w:tcMar>
              <w:top w:type="dxa" w:w="60"/>
              <w:left w:type="dxa" w:w="100"/>
              <w:bottom w:type="dxa" w:w="60"/>
              <w:right w:type="dxa" w:w="100"/>
            </w:tcMar>
            <w:vAlign w:val="center"/>
          </w:tcPr>
          <w:p>
            <w:pPr>
              <w:jc w:val="left"/>
            </w:pPr>
            <w:r>
              <w:rPr>
                <w:b w:val="false"/>
                <w:bCs w:val="false"/>
                <w:color w:val="000000"/>
                <w:sz w:val="19"/>
                <w:szCs w:val="19"/>
              </w:rPr>
              <w:t xml:space="preserve">Redirección de pipelines CI/CD de los Web Apps</w:t>
            </w:r>
          </w:p>
        </w:tc>
        <w:tc>
          <w:tcPr>
            <w:tcW w:type="dxa" w:w="2580"/>
            <w:tcMar>
              <w:top w:type="dxa" w:w="60"/>
              <w:left w:type="dxa" w:w="100"/>
              <w:bottom w:type="dxa" w:w="60"/>
              <w:right w:type="dxa" w:w="100"/>
            </w:tcMar>
            <w:vAlign w:val="center"/>
          </w:tcPr>
          <w:p>
            <w:pPr>
              <w:jc w:val="left"/>
            </w:pPr>
            <w:r>
              <w:rPr>
                <w:b w:val="false"/>
                <w:bCs w:val="false"/>
                <w:color w:val="000000"/>
                <w:sz w:val="19"/>
                <w:szCs w:val="19"/>
              </w:rPr>
              <w:t xml:space="preserve">Parcial (oleada 1 y 3)</w:t>
            </w:r>
          </w:p>
        </w:tc>
      </w:tr>
      <w:tr>
        <w:tc>
          <w:tcPr>
            <w:tcW w:type="dxa" w:w="3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Gerente de proyecto (PM)</w:t>
            </w:r>
          </w:p>
        </w:tc>
        <w:tc>
          <w:tcPr>
            <w:tcW w:type="dxa" w:w="396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Planeación, seguimiento, gestión de riesgos y comunicación</w:t>
            </w:r>
          </w:p>
        </w:tc>
        <w:tc>
          <w:tcPr>
            <w:tcW w:type="dxa" w:w="258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Parcial (todo el proyecto)</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QA / Analista de pruebas</w:t>
            </w:r>
          </w:p>
        </w:tc>
        <w:tc>
          <w:tcPr>
            <w:tcW w:type="dxa" w:w="3960"/>
            <w:tcMar>
              <w:top w:type="dxa" w:w="60"/>
              <w:left w:type="dxa" w:w="100"/>
              <w:bottom w:type="dxa" w:w="60"/>
              <w:right w:type="dxa" w:w="100"/>
            </w:tcMar>
            <w:vAlign w:val="center"/>
          </w:tcPr>
          <w:p>
            <w:pPr>
              <w:jc w:val="left"/>
            </w:pPr>
            <w:r>
              <w:rPr>
                <w:b w:val="false"/>
                <w:bCs w:val="false"/>
                <w:color w:val="000000"/>
                <w:sz w:val="19"/>
                <w:szCs w:val="19"/>
              </w:rPr>
              <w:t xml:space="preserve">Validación funcional por ambiente tras cada oleada</w:t>
            </w:r>
          </w:p>
        </w:tc>
        <w:tc>
          <w:tcPr>
            <w:tcW w:type="dxa" w:w="2580"/>
            <w:tcMar>
              <w:top w:type="dxa" w:w="60"/>
              <w:left w:type="dxa" w:w="100"/>
              <w:bottom w:type="dxa" w:w="60"/>
              <w:right w:type="dxa" w:w="100"/>
            </w:tcMar>
            <w:vAlign w:val="center"/>
          </w:tcPr>
          <w:p>
            <w:pPr>
              <w:jc w:val="left"/>
            </w:pPr>
            <w:r>
              <w:rPr>
                <w:b w:val="false"/>
                <w:bCs w:val="false"/>
                <w:color w:val="000000"/>
                <w:sz w:val="19"/>
                <w:szCs w:val="19"/>
              </w:rPr>
              <w:t xml:space="preserve">Parcial (todas las oleadas)</w:t>
            </w:r>
          </w:p>
        </w:tc>
      </w:tr>
      <w:tr>
        <w:tc>
          <w:tcPr>
            <w:tcW w:type="dxa" w:w="3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Contacto del cliente (negocio y TI)</w:t>
            </w:r>
          </w:p>
        </w:tc>
        <w:tc>
          <w:tcPr>
            <w:tcW w:type="dxa" w:w="396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Aprobación de ventanas de mantenimiento, validación de negocio</w:t>
            </w:r>
          </w:p>
        </w:tc>
        <w:tc>
          <w:tcPr>
            <w:tcW w:type="dxa" w:w="258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Parcial (todo el proyecto)</w:t>
            </w:r>
          </w:p>
        </w:tc>
      </w:tr>
    </w:tbl>
    <w:p>
      <w:pPr>
        <w:pStyle w:val="Heading1"/>
        <w:pBdr>
          <w:bottom w:val="single" w:color="2E5C99" w:sz="8" w:space="4"/>
        </w:pBdr>
        <w:spacing w:after="160" w:before="360"/>
      </w:pPr>
      <w:r>
        <w:rPr>
          <w:b/>
          <w:bCs/>
          <w:color w:val="1F3B57"/>
          <w:sz w:val="30"/>
          <w:szCs w:val="30"/>
        </w:rPr>
        <w:t xml:space="preserve">8. Supuestos</w:t>
      </w:r>
    </w:p>
    <w:p>
      <w:pPr>
        <w:pStyle w:val="ListParagraph"/>
        <w:numPr>
          <w:ilvl w:val="0"/>
          <w:numId w:val="2"/>
        </w:numPr>
        <w:spacing w:after="80"/>
      </w:pPr>
      <w:r>
        <w:rPr>
          <w:sz w:val="21"/>
          <w:szCs w:val="21"/>
        </w:rPr>
        <w:t xml:space="preserve">El inventario analizado corresponde a un extracto de Azure Cost Management de 2 meses (jun-jul 2026) y refleja fielmente el estado actual de la suscripción a la fecha de este documento.</w:t>
      </w:r>
    </w:p>
    <w:p>
      <w:pPr>
        <w:pStyle w:val="ListParagraph"/>
        <w:numPr>
          <w:ilvl w:val="0"/>
          <w:numId w:val="2"/>
        </w:numPr>
        <w:spacing w:after="80"/>
      </w:pPr>
      <w:r>
        <w:rPr>
          <w:sz w:val="21"/>
          <w:szCs w:val="21"/>
        </w:rPr>
        <w:t xml:space="preserve">Central US tiene disponibilidad de cuota (quota) y de los mismos SKUs de VM, disco y App Service utilizados actualmente en South Central US.</w:t>
      </w:r>
    </w:p>
    <w:p>
      <w:pPr>
        <w:pStyle w:val="ListParagraph"/>
        <w:numPr>
          <w:ilvl w:val="0"/>
          <w:numId w:val="2"/>
        </w:numPr>
        <w:spacing w:after="80"/>
      </w:pPr>
      <w:r>
        <w:rPr>
          <w:sz w:val="21"/>
          <w:szCs w:val="21"/>
        </w:rPr>
        <w:t xml:space="preserve">El cliente cuenta con o gestionará los permisos necesarios (Azure AD / RBAC) para que el equipo de migración opere sobre la suscripción.</w:t>
      </w:r>
    </w:p>
    <w:p>
      <w:pPr>
        <w:pStyle w:val="ListParagraph"/>
        <w:numPr>
          <w:ilvl w:val="0"/>
          <w:numId w:val="2"/>
        </w:numPr>
        <w:spacing w:after="80"/>
      </w:pPr>
      <w:r>
        <w:rPr>
          <w:sz w:val="21"/>
          <w:szCs w:val="21"/>
        </w:rPr>
        <w:t xml:space="preserve">No existen dependencias externas (p. ej. VPN site-to-site con proveedores, integraciones on-premises) que impidan el cambio de región del Gateway de VPN; en caso de existir, se deberá coordinar con el equipo de red del cliente.</w:t>
      </w:r>
    </w:p>
    <w:p>
      <w:pPr>
        <w:pStyle w:val="ListParagraph"/>
        <w:numPr>
          <w:ilvl w:val="0"/>
          <w:numId w:val="2"/>
        </w:numPr>
        <w:spacing w:after="80"/>
      </w:pPr>
      <w:r>
        <w:rPr>
          <w:sz w:val="21"/>
          <w:szCs w:val="21"/>
        </w:rPr>
        <w:t xml:space="preserve">Las licencias de software (Windows Server, SQL Server, etc.) son portables entre regiones dentro de la misma suscripción/tenant.</w:t>
      </w:r>
    </w:p>
    <w:p>
      <w:pPr>
        <w:pStyle w:val="ListParagraph"/>
        <w:numPr>
          <w:ilvl w:val="0"/>
          <w:numId w:val="2"/>
        </w:numPr>
        <w:spacing w:after="80"/>
      </w:pPr>
      <w:r>
        <w:rPr>
          <w:sz w:val="21"/>
          <w:szCs w:val="21"/>
        </w:rPr>
        <w:t xml:space="preserve">El piloto ya existente en Central US (pruebentreregiones) se toma como referencia válida y no presenta incompatibilidades adicionales no documentadas.</w:t>
      </w:r>
    </w:p>
    <w:p>
      <w:pPr>
        <w:pStyle w:val="ListParagraph"/>
        <w:numPr>
          <w:ilvl w:val="0"/>
          <w:numId w:val="2"/>
        </w:numPr>
        <w:spacing w:after="80"/>
      </w:pPr>
      <w:r>
        <w:rPr>
          <w:sz w:val="21"/>
          <w:szCs w:val="21"/>
        </w:rPr>
        <w:t xml:space="preserve">El presupuesto de este proyecto no contempla penalizaciones o costos por incumplimiento de SLA de terceros durante la ventana de corte.</w:t>
      </w:r>
    </w:p>
    <w:p>
      <w:pPr>
        <w:pStyle w:val="ListParagraph"/>
        <w:numPr>
          <w:ilvl w:val="0"/>
          <w:numId w:val="2"/>
        </w:numPr>
        <w:spacing w:after="80"/>
      </w:pPr>
      <w:r>
        <w:rPr>
          <w:sz w:val="21"/>
          <w:szCs w:val="21"/>
        </w:rPr>
        <w:t xml:space="preserve">Los tiempos estimados asumen disponibilidad oportuna de los recursos humanos del cliente para pruebas de aceptación y ventanas de mantenimiento.</w:t>
      </w:r>
    </w:p>
    <w:p>
      <w:pPr>
        <w:pStyle w:val="ListParagraph"/>
        <w:numPr>
          <w:ilvl w:val="0"/>
          <w:numId w:val="2"/>
        </w:numPr>
        <w:spacing w:after="80"/>
      </w:pPr>
      <w:r>
        <w:rPr>
          <w:sz w:val="21"/>
          <w:szCs w:val="21"/>
        </w:rPr>
        <w:t xml:space="preserve">El doble costo de operar ambas regiones en paralelo durante la transición (South Central US + Central US) está contemplado como parte del costo de migración, no como costo recurrente.</w:t>
      </w:r>
    </w:p>
    <w:p>
      <w:pPr>
        <w:pStyle w:val="Heading1"/>
        <w:pBdr>
          <w:bottom w:val="single" w:color="2E5C99" w:sz="8" w:space="4"/>
        </w:pBdr>
        <w:spacing w:after="160" w:before="360"/>
      </w:pPr>
      <w:r>
        <w:rPr>
          <w:b/>
          <w:bCs/>
          <w:color w:val="1F3B57"/>
          <w:sz w:val="30"/>
          <w:szCs w:val="30"/>
        </w:rPr>
        <w:t xml:space="preserve">9. Tiempos de Ejecución</w:t>
      </w:r>
    </w:p>
    <w:p>
      <w:pPr>
        <w:spacing w:after="160" w:line="276"/>
      </w:pPr>
      <w:r>
        <w:rPr>
          <w:sz w:val="21"/>
          <w:szCs w:val="21"/>
        </w:rPr>
        <w:t xml:space="preserve">Se estima una duración total de aproximadamente 17 semanas (~4 meses calendario) desde el inicio del descubrimiento hasta el decomiso de los recursos en South Central US, distribuidas en las siguientes fases:</w:t>
      </w:r>
    </w:p>
    <w:p>
      <w:pPr>
        <w:spacing w:after="160" w:before="120"/>
        <w:jc w:val="center"/>
      </w:pPr>
      <w:r>
        <w:drawing>
          <wp:inline distT="0" distB="0" distL="0" distR="0">
            <wp:extent cx="571500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2714625"/>
                    </a:xfrm>
                    <a:prstGeom prst="rect">
                      <a:avLst/>
                    </a:prstGeom>
                  </pic:spPr>
                </pic:pic>
              </a:graphicData>
            </a:graphic>
          </wp:inline>
        </w:drawing>
      </w:r>
    </w:p>
    <w:p>
      <w:pPr>
        <w:spacing w:after="240"/>
        <w:jc w:val="center"/>
      </w:pPr>
      <w:r>
        <w:rPr>
          <w:i/>
          <w:iCs/>
          <w:color w:val="666666"/>
          <w:sz w:val="18"/>
          <w:szCs w:val="18"/>
        </w:rPr>
        <w:t xml:space="preserve">Figura 3. Cronograma estimado de ejecución.</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4500"/>
        <w:gridCol w:w="2100"/>
        <w:gridCol w:w="2940"/>
      </w:tblGrid>
      <w:tr>
        <w:trPr>
          <w:tblHeader/>
        </w:trPr>
        <w:tc>
          <w:tcPr>
            <w:tcW w:type="dxa" w:w="4500"/>
            <w:shd w:fill="2E5C99" w:val="clear"/>
            <w:tcMar>
              <w:top w:type="dxa" w:w="80"/>
              <w:left w:type="dxa" w:w="100"/>
              <w:bottom w:type="dxa" w:w="80"/>
              <w:right w:type="dxa" w:w="100"/>
            </w:tcMar>
            <w:vAlign w:val="center"/>
          </w:tcPr>
          <w:p>
            <w:pPr>
              <w:jc w:val="left"/>
            </w:pPr>
            <w:r>
              <w:rPr>
                <w:b/>
                <w:bCs/>
                <w:color w:val="FFFFFF"/>
                <w:sz w:val="19"/>
                <w:szCs w:val="19"/>
              </w:rPr>
              <w:t xml:space="preserve">Fase</w:t>
            </w:r>
          </w:p>
        </w:tc>
        <w:tc>
          <w:tcPr>
            <w:tcW w:type="dxa" w:w="2100"/>
            <w:shd w:fill="2E5C99" w:val="clear"/>
            <w:tcMar>
              <w:top w:type="dxa" w:w="80"/>
              <w:left w:type="dxa" w:w="100"/>
              <w:bottom w:type="dxa" w:w="80"/>
              <w:right w:type="dxa" w:w="100"/>
            </w:tcMar>
            <w:vAlign w:val="center"/>
          </w:tcPr>
          <w:p>
            <w:pPr>
              <w:jc w:val="left"/>
            </w:pPr>
            <w:r>
              <w:rPr>
                <w:b/>
                <w:bCs/>
                <w:color w:val="FFFFFF"/>
                <w:sz w:val="19"/>
                <w:szCs w:val="19"/>
              </w:rPr>
              <w:t xml:space="preserve">Duración estimada</w:t>
            </w:r>
          </w:p>
        </w:tc>
        <w:tc>
          <w:tcPr>
            <w:tcW w:type="dxa" w:w="2940"/>
            <w:shd w:fill="2E5C99" w:val="clear"/>
            <w:tcMar>
              <w:top w:type="dxa" w:w="80"/>
              <w:left w:type="dxa" w:w="100"/>
              <w:bottom w:type="dxa" w:w="80"/>
              <w:right w:type="dxa" w:w="100"/>
            </w:tcMar>
            <w:vAlign w:val="center"/>
          </w:tcPr>
          <w:p>
            <w:pPr>
              <w:jc w:val="left"/>
            </w:pPr>
            <w:r>
              <w:rPr>
                <w:b/>
                <w:bCs/>
                <w:color w:val="FFFFFF"/>
                <w:sz w:val="19"/>
                <w:szCs w:val="19"/>
              </w:rPr>
              <w:t xml:space="preserve">Entregable principal</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1. Descubrimiento y planeación</w:t>
            </w:r>
          </w:p>
        </w:tc>
        <w:tc>
          <w:tcPr>
            <w:tcW w:type="dxa" w:w="2100"/>
            <w:tcMar>
              <w:top w:type="dxa" w:w="60"/>
              <w:left w:type="dxa" w:w="100"/>
              <w:bottom w:type="dxa" w:w="60"/>
              <w:right w:type="dxa" w:w="100"/>
            </w:tcMar>
            <w:vAlign w:val="center"/>
          </w:tcPr>
          <w:p>
            <w:pPr>
              <w:jc w:val="left"/>
            </w:pPr>
            <w:r>
              <w:rPr>
                <w:b w:val="false"/>
                <w:bCs w:val="false"/>
                <w:color w:val="000000"/>
                <w:sz w:val="19"/>
                <w:szCs w:val="19"/>
              </w:rPr>
              <w:t xml:space="preserve">2 semanas</w:t>
            </w:r>
          </w:p>
        </w:tc>
        <w:tc>
          <w:tcPr>
            <w:tcW w:type="dxa" w:w="2940"/>
            <w:tcMar>
              <w:top w:type="dxa" w:w="60"/>
              <w:left w:type="dxa" w:w="100"/>
              <w:bottom w:type="dxa" w:w="60"/>
              <w:right w:type="dxa" w:w="100"/>
            </w:tcMar>
            <w:vAlign w:val="center"/>
          </w:tcPr>
          <w:p>
            <w:pPr>
              <w:jc w:val="left"/>
            </w:pPr>
            <w:r>
              <w:rPr>
                <w:b w:val="false"/>
                <w:bCs w:val="false"/>
                <w:color w:val="000000"/>
                <w:sz w:val="19"/>
                <w:szCs w:val="19"/>
              </w:rPr>
              <w:t xml:space="preserve">Plan de migración detallado y matriz de dependencias</w:t>
            </w:r>
          </w:p>
        </w:tc>
      </w:tr>
      <w:tr>
        <w:tc>
          <w:tcPr>
            <w:tcW w:type="dxa" w:w="4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 Preparación de landing zone en Central US</w:t>
            </w:r>
          </w:p>
        </w:tc>
        <w:tc>
          <w:tcPr>
            <w:tcW w:type="dxa" w:w="2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 semanas</w:t>
            </w:r>
          </w:p>
        </w:tc>
        <w:tc>
          <w:tcPr>
            <w:tcW w:type="dxa" w:w="2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Red, seguridad y gobierno base listos</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3. Oleada 1 — Ambientes no productivos</w:t>
            </w:r>
          </w:p>
        </w:tc>
        <w:tc>
          <w:tcPr>
            <w:tcW w:type="dxa" w:w="2100"/>
            <w:tcMar>
              <w:top w:type="dxa" w:w="60"/>
              <w:left w:type="dxa" w:w="100"/>
              <w:bottom w:type="dxa" w:w="60"/>
              <w:right w:type="dxa" w:w="100"/>
            </w:tcMar>
            <w:vAlign w:val="center"/>
          </w:tcPr>
          <w:p>
            <w:pPr>
              <w:jc w:val="left"/>
            </w:pPr>
            <w:r>
              <w:rPr>
                <w:b w:val="false"/>
                <w:bCs w:val="false"/>
                <w:color w:val="000000"/>
                <w:sz w:val="19"/>
                <w:szCs w:val="19"/>
              </w:rPr>
              <w:t xml:space="preserve">3 semanas</w:t>
            </w:r>
          </w:p>
        </w:tc>
        <w:tc>
          <w:tcPr>
            <w:tcW w:type="dxa" w:w="2940"/>
            <w:tcMar>
              <w:top w:type="dxa" w:w="60"/>
              <w:left w:type="dxa" w:w="100"/>
              <w:bottom w:type="dxa" w:w="60"/>
              <w:right w:type="dxa" w:w="100"/>
            </w:tcMar>
            <w:vAlign w:val="center"/>
          </w:tcPr>
          <w:p>
            <w:pPr>
              <w:jc w:val="left"/>
            </w:pPr>
            <w:r>
              <w:rPr>
                <w:b w:val="false"/>
                <w:bCs w:val="false"/>
                <w:color w:val="000000"/>
                <w:sz w:val="19"/>
                <w:szCs w:val="19"/>
              </w:rPr>
              <w:t xml:space="preserve">QA/UAT/IA/PRE operando en Central US</w:t>
            </w:r>
          </w:p>
        </w:tc>
      </w:tr>
      <w:tr>
        <w:tc>
          <w:tcPr>
            <w:tcW w:type="dxa" w:w="4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4. Oleada 2 — Datos y almacenamiento</w:t>
            </w:r>
          </w:p>
        </w:tc>
        <w:tc>
          <w:tcPr>
            <w:tcW w:type="dxa" w:w="2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3 semanas</w:t>
            </w:r>
          </w:p>
        </w:tc>
        <w:tc>
          <w:tcPr>
            <w:tcW w:type="dxa" w:w="2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Storage y discos replicados</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5. Oleada 3 — Cargas críticas</w:t>
            </w:r>
          </w:p>
        </w:tc>
        <w:tc>
          <w:tcPr>
            <w:tcW w:type="dxa" w:w="2100"/>
            <w:tcMar>
              <w:top w:type="dxa" w:w="60"/>
              <w:left w:type="dxa" w:w="100"/>
              <w:bottom w:type="dxa" w:w="60"/>
              <w:right w:type="dxa" w:w="100"/>
            </w:tcMar>
            <w:vAlign w:val="center"/>
          </w:tcPr>
          <w:p>
            <w:pPr>
              <w:jc w:val="left"/>
            </w:pPr>
            <w:r>
              <w:rPr>
                <w:b w:val="false"/>
                <w:bCs w:val="false"/>
                <w:color w:val="000000"/>
                <w:sz w:val="19"/>
                <w:szCs w:val="19"/>
              </w:rPr>
              <w:t xml:space="preserve">4 semanas</w:t>
            </w:r>
          </w:p>
        </w:tc>
        <w:tc>
          <w:tcPr>
            <w:tcW w:type="dxa" w:w="2940"/>
            <w:tcMar>
              <w:top w:type="dxa" w:w="60"/>
              <w:left w:type="dxa" w:w="100"/>
              <w:bottom w:type="dxa" w:w="60"/>
              <w:right w:type="dxa" w:w="100"/>
            </w:tcMar>
            <w:vAlign w:val="center"/>
          </w:tcPr>
          <w:p>
            <w:pPr>
              <w:jc w:val="left"/>
            </w:pPr>
            <w:r>
              <w:rPr>
                <w:b w:val="false"/>
                <w:bCs w:val="false"/>
                <w:color w:val="000000"/>
                <w:sz w:val="19"/>
                <w:szCs w:val="19"/>
              </w:rPr>
              <w:t xml:space="preserve">VMs y App Service de producción migrados</w:t>
            </w:r>
          </w:p>
        </w:tc>
      </w:tr>
      <w:tr>
        <w:tc>
          <w:tcPr>
            <w:tcW w:type="dxa" w:w="4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6. Reconfiguración de red, DNS y DR</w:t>
            </w:r>
          </w:p>
        </w:tc>
        <w:tc>
          <w:tcPr>
            <w:tcW w:type="dxa" w:w="2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2 semanas</w:t>
            </w:r>
          </w:p>
        </w:tc>
        <w:tc>
          <w:tcPr>
            <w:tcW w:type="dxa" w:w="2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Gateway, Traffic Manager y ASR reconfigurados</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7. Pruebas integrales y validación de negocio</w:t>
            </w:r>
          </w:p>
        </w:tc>
        <w:tc>
          <w:tcPr>
            <w:tcW w:type="dxa" w:w="2100"/>
            <w:tcMar>
              <w:top w:type="dxa" w:w="60"/>
              <w:left w:type="dxa" w:w="100"/>
              <w:bottom w:type="dxa" w:w="60"/>
              <w:right w:type="dxa" w:w="100"/>
            </w:tcMar>
            <w:vAlign w:val="center"/>
          </w:tcPr>
          <w:p>
            <w:pPr>
              <w:jc w:val="left"/>
            </w:pPr>
            <w:r>
              <w:rPr>
                <w:b w:val="false"/>
                <w:bCs w:val="false"/>
                <w:color w:val="000000"/>
                <w:sz w:val="19"/>
                <w:szCs w:val="19"/>
              </w:rPr>
              <w:t xml:space="preserve">2 semanas</w:t>
            </w:r>
          </w:p>
        </w:tc>
        <w:tc>
          <w:tcPr>
            <w:tcW w:type="dxa" w:w="2940"/>
            <w:tcMar>
              <w:top w:type="dxa" w:w="60"/>
              <w:left w:type="dxa" w:w="100"/>
              <w:bottom w:type="dxa" w:w="60"/>
              <w:right w:type="dxa" w:w="100"/>
            </w:tcMar>
            <w:vAlign w:val="center"/>
          </w:tcPr>
          <w:p>
            <w:pPr>
              <w:jc w:val="left"/>
            </w:pPr>
            <w:r>
              <w:rPr>
                <w:b w:val="false"/>
                <w:bCs w:val="false"/>
                <w:color w:val="000000"/>
                <w:sz w:val="19"/>
                <w:szCs w:val="19"/>
              </w:rPr>
              <w:t xml:space="preserve">Acta de aceptación por ambiente</w:t>
            </w:r>
          </w:p>
        </w:tc>
      </w:tr>
      <w:tr>
        <w:tc>
          <w:tcPr>
            <w:tcW w:type="dxa" w:w="45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8. Corte final (cutover) y estabilización</w:t>
            </w:r>
          </w:p>
        </w:tc>
        <w:tc>
          <w:tcPr>
            <w:tcW w:type="dxa" w:w="21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1.5 semanas</w:t>
            </w:r>
          </w:p>
        </w:tc>
        <w:tc>
          <w:tcPr>
            <w:tcW w:type="dxa" w:w="2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Producción operando 100% en Central US</w:t>
            </w:r>
          </w:p>
        </w:tc>
      </w:tr>
      <w:tr>
        <w:tc>
          <w:tcPr>
            <w:tcW w:type="dxa" w:w="4500"/>
            <w:tcMar>
              <w:top w:type="dxa" w:w="60"/>
              <w:left w:type="dxa" w:w="100"/>
              <w:bottom w:type="dxa" w:w="60"/>
              <w:right w:type="dxa" w:w="100"/>
            </w:tcMar>
            <w:vAlign w:val="center"/>
          </w:tcPr>
          <w:p>
            <w:pPr>
              <w:jc w:val="left"/>
            </w:pPr>
            <w:r>
              <w:rPr>
                <w:b w:val="false"/>
                <w:bCs w:val="false"/>
                <w:color w:val="000000"/>
                <w:sz w:val="19"/>
                <w:szCs w:val="19"/>
              </w:rPr>
              <w:t xml:space="preserve">9. Decomiso de South Central US</w:t>
            </w:r>
          </w:p>
        </w:tc>
        <w:tc>
          <w:tcPr>
            <w:tcW w:type="dxa" w:w="2100"/>
            <w:tcMar>
              <w:top w:type="dxa" w:w="60"/>
              <w:left w:type="dxa" w:w="100"/>
              <w:bottom w:type="dxa" w:w="60"/>
              <w:right w:type="dxa" w:w="100"/>
            </w:tcMar>
            <w:vAlign w:val="center"/>
          </w:tcPr>
          <w:p>
            <w:pPr>
              <w:jc w:val="left"/>
            </w:pPr>
            <w:r>
              <w:rPr>
                <w:b w:val="false"/>
                <w:bCs w:val="false"/>
                <w:color w:val="000000"/>
                <w:sz w:val="19"/>
                <w:szCs w:val="19"/>
              </w:rPr>
              <w:t xml:space="preserve">2 semanas</w:t>
            </w:r>
          </w:p>
        </w:tc>
        <w:tc>
          <w:tcPr>
            <w:tcW w:type="dxa" w:w="2940"/>
            <w:tcMar>
              <w:top w:type="dxa" w:w="60"/>
              <w:left w:type="dxa" w:w="100"/>
              <w:bottom w:type="dxa" w:w="60"/>
              <w:right w:type="dxa" w:w="100"/>
            </w:tcMar>
            <w:vAlign w:val="center"/>
          </w:tcPr>
          <w:p>
            <w:pPr>
              <w:jc w:val="left"/>
            </w:pPr>
            <w:r>
              <w:rPr>
                <w:b w:val="false"/>
                <w:bCs w:val="false"/>
                <w:color w:val="000000"/>
                <w:sz w:val="19"/>
                <w:szCs w:val="19"/>
              </w:rPr>
              <w:t xml:space="preserve">Recursos de origen dados de baja</w:t>
            </w:r>
          </w:p>
        </w:tc>
      </w:tr>
    </w:tbl>
    <w:p>
      <w:pPr>
        <w:pStyle w:val="Heading1"/>
        <w:pBdr>
          <w:bottom w:val="single" w:color="2E5C99" w:sz="8" w:space="4"/>
        </w:pBdr>
        <w:spacing w:after="160" w:before="360"/>
      </w:pPr>
      <w:r>
        <w:rPr>
          <w:b/>
          <w:bCs/>
          <w:color w:val="1F3B57"/>
          <w:sz w:val="30"/>
          <w:szCs w:val="30"/>
        </w:rPr>
        <w:t xml:space="preserve">10. Calculador de Azure</w:t>
      </w:r>
    </w:p>
    <w:p>
      <w:pPr>
        <w:spacing w:after="160" w:line="276"/>
      </w:pPr>
      <w:r>
        <w:rPr>
          <w:sz w:val="21"/>
          <w:szCs w:val="21"/>
        </w:rPr>
        <w:t xml:space="preserve">El costo recurrente observado en South Central US durante el periodo analizado fue de US$ 12,980.20 en dos meses (US$ 6,490 promedio mensual). Central US y South Central US pertenecen a la misma franja de precios de Azure para la mayoría de los SKUs de cómputo, almacenamiento y red utilizados en este inventario, por lo que se estima que el costo recurrente mensual post-migración se mantendrá en un rango similar. La siguiente tabla proyecta el estimado mensual por tipo de recurso, tomando como base el consumo observado:</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5400"/>
        <w:gridCol w:w="2070"/>
        <w:gridCol w:w="2070"/>
      </w:tblGrid>
      <w:tr>
        <w:trPr>
          <w:tblHeader/>
        </w:trPr>
        <w:tc>
          <w:tcPr>
            <w:tcW w:type="dxa" w:w="5400"/>
            <w:shd w:fill="2E5C99" w:val="clear"/>
            <w:tcMar>
              <w:top w:type="dxa" w:w="80"/>
              <w:left w:type="dxa" w:w="100"/>
              <w:bottom w:type="dxa" w:w="80"/>
              <w:right w:type="dxa" w:w="100"/>
            </w:tcMar>
            <w:vAlign w:val="center"/>
          </w:tcPr>
          <w:p>
            <w:pPr>
              <w:jc w:val="left"/>
            </w:pPr>
            <w:r>
              <w:rPr>
                <w:b/>
                <w:bCs/>
                <w:color w:val="FFFFFF"/>
                <w:sz w:val="19"/>
                <w:szCs w:val="19"/>
              </w:rPr>
              <w:t xml:space="preserve">Tipo de recurso</w:t>
            </w:r>
          </w:p>
        </w:tc>
        <w:tc>
          <w:tcPr>
            <w:tcW w:type="dxa" w:w="2070"/>
            <w:shd w:fill="2E5C99" w:val="clear"/>
            <w:tcMar>
              <w:top w:type="dxa" w:w="80"/>
              <w:left w:type="dxa" w:w="100"/>
              <w:bottom w:type="dxa" w:w="80"/>
              <w:right w:type="dxa" w:w="100"/>
            </w:tcMar>
            <w:vAlign w:val="center"/>
          </w:tcPr>
          <w:p>
            <w:pPr>
              <w:jc w:val="left"/>
            </w:pPr>
            <w:r>
              <w:rPr>
                <w:b/>
                <w:bCs/>
                <w:color w:val="FFFFFF"/>
                <w:sz w:val="19"/>
                <w:szCs w:val="19"/>
              </w:rPr>
              <w:t xml:space="preserve">Costo mensual actual (SCUS)</w:t>
            </w:r>
          </w:p>
        </w:tc>
        <w:tc>
          <w:tcPr>
            <w:tcW w:type="dxa" w:w="2070"/>
            <w:shd w:fill="2E5C99" w:val="clear"/>
            <w:tcMar>
              <w:top w:type="dxa" w:w="80"/>
              <w:left w:type="dxa" w:w="100"/>
              <w:bottom w:type="dxa" w:w="80"/>
              <w:right w:type="dxa" w:w="100"/>
            </w:tcMar>
            <w:vAlign w:val="center"/>
          </w:tcPr>
          <w:p>
            <w:pPr>
              <w:jc w:val="left"/>
            </w:pPr>
            <w:r>
              <w:rPr>
                <w:b/>
                <w:bCs/>
                <w:color w:val="FFFFFF"/>
                <w:sz w:val="19"/>
                <w:szCs w:val="19"/>
              </w:rPr>
              <w:t xml:space="preserve">Estimado mensual (Central US)</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Máquinas virtuales</w:t>
            </w:r>
          </w:p>
        </w:tc>
        <w:tc>
          <w:tcPr>
            <w:tcW w:type="dxa" w:w="2070"/>
            <w:tcMar>
              <w:top w:type="dxa" w:w="60"/>
              <w:left w:type="dxa" w:w="100"/>
              <w:bottom w:type="dxa" w:w="60"/>
              <w:right w:type="dxa" w:w="100"/>
            </w:tcMar>
            <w:vAlign w:val="center"/>
          </w:tcPr>
          <w:p>
            <w:pPr>
              <w:jc w:val="left"/>
            </w:pPr>
            <w:r>
              <w:rPr>
                <w:b w:val="false"/>
                <w:bCs w:val="false"/>
                <w:color w:val="000000"/>
                <w:sz w:val="19"/>
                <w:szCs w:val="19"/>
              </w:rPr>
              <w:t xml:space="preserve">US$ 1,705</w:t>
            </w:r>
          </w:p>
        </w:tc>
        <w:tc>
          <w:tcPr>
            <w:tcW w:type="dxa" w:w="2070"/>
            <w:tcMar>
              <w:top w:type="dxa" w:w="60"/>
              <w:left w:type="dxa" w:w="100"/>
              <w:bottom w:type="dxa" w:w="60"/>
              <w:right w:type="dxa" w:w="100"/>
            </w:tcMar>
            <w:vAlign w:val="center"/>
          </w:tcPr>
          <w:p>
            <w:pPr>
              <w:jc w:val="left"/>
            </w:pPr>
            <w:r>
              <w:rPr>
                <w:b w:val="false"/>
                <w:bCs w:val="false"/>
                <w:color w:val="000000"/>
                <w:sz w:val="19"/>
                <w:szCs w:val="19"/>
              </w:rPr>
              <w:t xml:space="preserve">US$ 1,705</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Discos administrados</w:t>
            </w:r>
          </w:p>
        </w:tc>
        <w:tc>
          <w:tcPr>
            <w:tcW w:type="dxa" w:w="207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US$ 1,579</w:t>
            </w:r>
          </w:p>
        </w:tc>
        <w:tc>
          <w:tcPr>
            <w:tcW w:type="dxa" w:w="207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US$ 1,579</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Planes de App Service</w:t>
            </w:r>
          </w:p>
        </w:tc>
        <w:tc>
          <w:tcPr>
            <w:tcW w:type="dxa" w:w="2070"/>
            <w:tcMar>
              <w:top w:type="dxa" w:w="60"/>
              <w:left w:type="dxa" w:w="100"/>
              <w:bottom w:type="dxa" w:w="60"/>
              <w:right w:type="dxa" w:w="100"/>
            </w:tcMar>
            <w:vAlign w:val="center"/>
          </w:tcPr>
          <w:p>
            <w:pPr>
              <w:jc w:val="left"/>
            </w:pPr>
            <w:r>
              <w:rPr>
                <w:b w:val="false"/>
                <w:bCs w:val="false"/>
                <w:color w:val="000000"/>
                <w:sz w:val="19"/>
                <w:szCs w:val="19"/>
              </w:rPr>
              <w:t xml:space="preserve">US$ 1,233</w:t>
            </w:r>
          </w:p>
        </w:tc>
        <w:tc>
          <w:tcPr>
            <w:tcW w:type="dxa" w:w="2070"/>
            <w:tcMar>
              <w:top w:type="dxa" w:w="60"/>
              <w:left w:type="dxa" w:w="100"/>
              <w:bottom w:type="dxa" w:w="60"/>
              <w:right w:type="dxa" w:w="100"/>
            </w:tcMar>
            <w:vAlign w:val="center"/>
          </w:tcPr>
          <w:p>
            <w:pPr>
              <w:jc w:val="left"/>
            </w:pPr>
            <w:r>
              <w:rPr>
                <w:b w:val="false"/>
                <w:bCs w:val="false"/>
                <w:color w:val="000000"/>
                <w:sz w:val="19"/>
                <w:szCs w:val="19"/>
              </w:rPr>
              <w:t xml:space="preserve">US$ 1,233</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Cuentas de almacenamiento</w:t>
            </w:r>
          </w:p>
        </w:tc>
        <w:tc>
          <w:tcPr>
            <w:tcW w:type="dxa" w:w="207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US$ 901</w:t>
            </w:r>
          </w:p>
        </w:tc>
        <w:tc>
          <w:tcPr>
            <w:tcW w:type="dxa" w:w="207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US$ 901</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Bóvedas de Recovery Services (Backup)</w:t>
            </w:r>
          </w:p>
        </w:tc>
        <w:tc>
          <w:tcPr>
            <w:tcW w:type="dxa" w:w="2070"/>
            <w:tcMar>
              <w:top w:type="dxa" w:w="60"/>
              <w:left w:type="dxa" w:w="100"/>
              <w:bottom w:type="dxa" w:w="60"/>
              <w:right w:type="dxa" w:w="100"/>
            </w:tcMar>
            <w:vAlign w:val="center"/>
          </w:tcPr>
          <w:p>
            <w:pPr>
              <w:jc w:val="left"/>
            </w:pPr>
            <w:r>
              <w:rPr>
                <w:b w:val="false"/>
                <w:bCs w:val="false"/>
                <w:color w:val="000000"/>
                <w:sz w:val="19"/>
                <w:szCs w:val="19"/>
              </w:rPr>
              <w:t xml:space="preserve">US$ 461</w:t>
            </w:r>
          </w:p>
        </w:tc>
        <w:tc>
          <w:tcPr>
            <w:tcW w:type="dxa" w:w="2070"/>
            <w:tcMar>
              <w:top w:type="dxa" w:w="60"/>
              <w:left w:type="dxa" w:w="100"/>
              <w:bottom w:type="dxa" w:w="60"/>
              <w:right w:type="dxa" w:w="100"/>
            </w:tcMar>
            <w:vAlign w:val="center"/>
          </w:tcPr>
          <w:p>
            <w:pPr>
              <w:jc w:val="left"/>
            </w:pPr>
            <w:r>
              <w:rPr>
                <w:b w:val="false"/>
                <w:bCs w:val="false"/>
                <w:color w:val="000000"/>
                <w:sz w:val="19"/>
                <w:szCs w:val="19"/>
              </w:rPr>
              <w:t xml:space="preserve">US$ 461</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Gateway de VPN</w:t>
            </w:r>
          </w:p>
        </w:tc>
        <w:tc>
          <w:tcPr>
            <w:tcW w:type="dxa" w:w="207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US$ 395</w:t>
            </w:r>
          </w:p>
        </w:tc>
        <w:tc>
          <w:tcPr>
            <w:tcW w:type="dxa" w:w="207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US$ 395</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Direcciones IP públicas</w:t>
            </w:r>
          </w:p>
        </w:tc>
        <w:tc>
          <w:tcPr>
            <w:tcW w:type="dxa" w:w="2070"/>
            <w:tcMar>
              <w:top w:type="dxa" w:w="60"/>
              <w:left w:type="dxa" w:w="100"/>
              <w:bottom w:type="dxa" w:w="60"/>
              <w:right w:type="dxa" w:w="100"/>
            </w:tcMar>
            <w:vAlign w:val="center"/>
          </w:tcPr>
          <w:p>
            <w:pPr>
              <w:jc w:val="left"/>
            </w:pPr>
            <w:r>
              <w:rPr>
                <w:b w:val="false"/>
                <w:bCs w:val="false"/>
                <w:color w:val="000000"/>
                <w:sz w:val="19"/>
                <w:szCs w:val="19"/>
              </w:rPr>
              <w:t xml:space="preserve">US$ 81</w:t>
            </w:r>
          </w:p>
        </w:tc>
        <w:tc>
          <w:tcPr>
            <w:tcW w:type="dxa" w:w="2070"/>
            <w:tcMar>
              <w:top w:type="dxa" w:w="60"/>
              <w:left w:type="dxa" w:w="100"/>
              <w:bottom w:type="dxa" w:w="60"/>
              <w:right w:type="dxa" w:w="100"/>
            </w:tcMar>
            <w:vAlign w:val="center"/>
          </w:tcPr>
          <w:p>
            <w:pPr>
              <w:jc w:val="left"/>
            </w:pPr>
            <w:r>
              <w:rPr>
                <w:b w:val="false"/>
                <w:bCs w:val="false"/>
                <w:color w:val="000000"/>
                <w:sz w:val="19"/>
                <w:szCs w:val="19"/>
              </w:rPr>
              <w:t xml:space="preserve">US$ 81</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Colecciones de puntos de restauración</w:t>
            </w:r>
          </w:p>
        </w:tc>
        <w:tc>
          <w:tcPr>
            <w:tcW w:type="dxa" w:w="207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US$ 72</w:t>
            </w:r>
          </w:p>
        </w:tc>
        <w:tc>
          <w:tcPr>
            <w:tcW w:type="dxa" w:w="207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US$ 72</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Workspaces de Log Analytics</w:t>
            </w:r>
          </w:p>
        </w:tc>
        <w:tc>
          <w:tcPr>
            <w:tcW w:type="dxa" w:w="2070"/>
            <w:tcMar>
              <w:top w:type="dxa" w:w="60"/>
              <w:left w:type="dxa" w:w="100"/>
              <w:bottom w:type="dxa" w:w="60"/>
              <w:right w:type="dxa" w:w="100"/>
            </w:tcMar>
            <w:vAlign w:val="center"/>
          </w:tcPr>
          <w:p>
            <w:pPr>
              <w:jc w:val="left"/>
            </w:pPr>
            <w:r>
              <w:rPr>
                <w:b w:val="false"/>
                <w:bCs w:val="false"/>
                <w:color w:val="000000"/>
                <w:sz w:val="19"/>
                <w:szCs w:val="19"/>
              </w:rPr>
              <w:t xml:space="preserve">US$ 37</w:t>
            </w:r>
          </w:p>
        </w:tc>
        <w:tc>
          <w:tcPr>
            <w:tcW w:type="dxa" w:w="2070"/>
            <w:tcMar>
              <w:top w:type="dxa" w:w="60"/>
              <w:left w:type="dxa" w:w="100"/>
              <w:bottom w:type="dxa" w:w="60"/>
              <w:right w:type="dxa" w:w="100"/>
            </w:tcMar>
            <w:vAlign w:val="center"/>
          </w:tcPr>
          <w:p>
            <w:pPr>
              <w:jc w:val="left"/>
            </w:pPr>
            <w:r>
              <w:rPr>
                <w:b w:val="false"/>
                <w:bCs w:val="false"/>
                <w:color w:val="000000"/>
                <w:sz w:val="19"/>
                <w:szCs w:val="19"/>
              </w:rPr>
              <w:t xml:space="preserve">US$ 37</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Snapshots de disco</w:t>
            </w:r>
          </w:p>
        </w:tc>
        <w:tc>
          <w:tcPr>
            <w:tcW w:type="dxa" w:w="207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US$ 17</w:t>
            </w:r>
          </w:p>
        </w:tc>
        <w:tc>
          <w:tcPr>
            <w:tcW w:type="dxa" w:w="207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US$ 17</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Container Registry</w:t>
            </w:r>
          </w:p>
        </w:tc>
        <w:tc>
          <w:tcPr>
            <w:tcW w:type="dxa" w:w="2070"/>
            <w:tcMar>
              <w:top w:type="dxa" w:w="60"/>
              <w:left w:type="dxa" w:w="100"/>
              <w:bottom w:type="dxa" w:w="60"/>
              <w:right w:type="dxa" w:w="100"/>
            </w:tcMar>
            <w:vAlign w:val="center"/>
          </w:tcPr>
          <w:p>
            <w:pPr>
              <w:jc w:val="left"/>
            </w:pPr>
            <w:r>
              <w:rPr>
                <w:b w:val="false"/>
                <w:bCs w:val="false"/>
                <w:color w:val="000000"/>
                <w:sz w:val="19"/>
                <w:szCs w:val="19"/>
              </w:rPr>
              <w:t xml:space="preserve">US$ 5</w:t>
            </w:r>
          </w:p>
        </w:tc>
        <w:tc>
          <w:tcPr>
            <w:tcW w:type="dxa" w:w="2070"/>
            <w:tcMar>
              <w:top w:type="dxa" w:w="60"/>
              <w:left w:type="dxa" w:w="100"/>
              <w:bottom w:type="dxa" w:w="60"/>
              <w:right w:type="dxa" w:w="100"/>
            </w:tcMar>
            <w:vAlign w:val="center"/>
          </w:tcPr>
          <w:p>
            <w:pPr>
              <w:jc w:val="left"/>
            </w:pPr>
            <w:r>
              <w:rPr>
                <w:b w:val="false"/>
                <w:bCs w:val="false"/>
                <w:color w:val="000000"/>
                <w:sz w:val="19"/>
                <w:szCs w:val="19"/>
              </w:rPr>
              <w:t xml:space="preserve">US$ 5</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Web Apps / App Services (sitios)</w:t>
            </w:r>
          </w:p>
        </w:tc>
        <w:tc>
          <w:tcPr>
            <w:tcW w:type="dxa" w:w="207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US$ 3</w:t>
            </w:r>
          </w:p>
        </w:tc>
        <w:tc>
          <w:tcPr>
            <w:tcW w:type="dxa" w:w="207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US$ 3</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Grupos de seguridad de red (NSG)</w:t>
            </w:r>
          </w:p>
        </w:tc>
        <w:tc>
          <w:tcPr>
            <w:tcW w:type="dxa" w:w="2070"/>
            <w:tcMar>
              <w:top w:type="dxa" w:w="60"/>
              <w:left w:type="dxa" w:w="100"/>
              <w:bottom w:type="dxa" w:w="60"/>
              <w:right w:type="dxa" w:w="100"/>
            </w:tcMar>
            <w:vAlign w:val="center"/>
          </w:tcPr>
          <w:p>
            <w:pPr>
              <w:jc w:val="left"/>
            </w:pPr>
            <w:r>
              <w:rPr>
                <w:b w:val="false"/>
                <w:bCs w:val="false"/>
                <w:color w:val="000000"/>
                <w:sz w:val="19"/>
                <w:szCs w:val="19"/>
              </w:rPr>
              <w:t xml:space="preserve">US$ 1</w:t>
            </w:r>
          </w:p>
        </w:tc>
        <w:tc>
          <w:tcPr>
            <w:tcW w:type="dxa" w:w="2070"/>
            <w:tcMar>
              <w:top w:type="dxa" w:w="60"/>
              <w:left w:type="dxa" w:w="100"/>
              <w:bottom w:type="dxa" w:w="60"/>
              <w:right w:type="dxa" w:w="100"/>
            </w:tcMar>
            <w:vAlign w:val="center"/>
          </w:tcPr>
          <w:p>
            <w:pPr>
              <w:jc w:val="left"/>
            </w:pPr>
            <w:r>
              <w:rPr>
                <w:b w:val="false"/>
                <w:bCs w:val="false"/>
                <w:color w:val="000000"/>
                <w:sz w:val="19"/>
                <w:szCs w:val="19"/>
              </w:rPr>
              <w:t xml:space="preserve">US$ 1</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Network Watcher</w:t>
            </w:r>
          </w:p>
        </w:tc>
        <w:tc>
          <w:tcPr>
            <w:tcW w:type="dxa" w:w="207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US$ 0</w:t>
            </w:r>
          </w:p>
        </w:tc>
        <w:tc>
          <w:tcPr>
            <w:tcW w:type="dxa" w:w="207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US$ 0</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Conexiones de red (VPN)</w:t>
            </w:r>
          </w:p>
        </w:tc>
        <w:tc>
          <w:tcPr>
            <w:tcW w:type="dxa" w:w="2070"/>
            <w:tcMar>
              <w:top w:type="dxa" w:w="60"/>
              <w:left w:type="dxa" w:w="100"/>
              <w:bottom w:type="dxa" w:w="60"/>
              <w:right w:type="dxa" w:w="100"/>
            </w:tcMar>
            <w:vAlign w:val="center"/>
          </w:tcPr>
          <w:p>
            <w:pPr>
              <w:jc w:val="left"/>
            </w:pPr>
            <w:r>
              <w:rPr>
                <w:b w:val="false"/>
                <w:bCs w:val="false"/>
                <w:color w:val="000000"/>
                <w:sz w:val="19"/>
                <w:szCs w:val="19"/>
              </w:rPr>
              <w:t xml:space="preserve">US$ 0</w:t>
            </w:r>
          </w:p>
        </w:tc>
        <w:tc>
          <w:tcPr>
            <w:tcW w:type="dxa" w:w="2070"/>
            <w:tcMar>
              <w:top w:type="dxa" w:w="60"/>
              <w:left w:type="dxa" w:w="100"/>
              <w:bottom w:type="dxa" w:w="60"/>
              <w:right w:type="dxa" w:w="100"/>
            </w:tcMar>
            <w:vAlign w:val="center"/>
          </w:tcPr>
          <w:p>
            <w:pPr>
              <w:jc w:val="left"/>
            </w:pPr>
            <w:r>
              <w:rPr>
                <w:b w:val="false"/>
                <w:bCs w:val="false"/>
                <w:color w:val="000000"/>
                <w:sz w:val="19"/>
                <w:szCs w:val="19"/>
              </w:rPr>
              <w:t xml:space="preserve">US$ 0</w:t>
            </w:r>
          </w:p>
        </w:tc>
      </w:tr>
      <w:tr>
        <w:tc>
          <w:tcPr>
            <w:tcW w:type="dxa" w:w="54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Logic Apps</w:t>
            </w:r>
          </w:p>
        </w:tc>
        <w:tc>
          <w:tcPr>
            <w:tcW w:type="dxa" w:w="207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US$ 0</w:t>
            </w:r>
          </w:p>
        </w:tc>
        <w:tc>
          <w:tcPr>
            <w:tcW w:type="dxa" w:w="207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US$ 0</w:t>
            </w:r>
          </w:p>
        </w:tc>
      </w:tr>
      <w:tr>
        <w:tc>
          <w:tcPr>
            <w:tcW w:type="dxa" w:w="5400"/>
            <w:tcMar>
              <w:top w:type="dxa" w:w="60"/>
              <w:left w:type="dxa" w:w="100"/>
              <w:bottom w:type="dxa" w:w="60"/>
              <w:right w:type="dxa" w:w="100"/>
            </w:tcMar>
            <w:vAlign w:val="center"/>
          </w:tcPr>
          <w:p>
            <w:pPr>
              <w:jc w:val="left"/>
            </w:pPr>
            <w:r>
              <w:rPr>
                <w:b w:val="false"/>
                <w:bCs w:val="false"/>
                <w:color w:val="000000"/>
                <w:sz w:val="19"/>
                <w:szCs w:val="19"/>
              </w:rPr>
              <w:t xml:space="preserve">Relay / Service Bus</w:t>
            </w:r>
          </w:p>
        </w:tc>
        <w:tc>
          <w:tcPr>
            <w:tcW w:type="dxa" w:w="2070"/>
            <w:tcMar>
              <w:top w:type="dxa" w:w="60"/>
              <w:left w:type="dxa" w:w="100"/>
              <w:bottom w:type="dxa" w:w="60"/>
              <w:right w:type="dxa" w:w="100"/>
            </w:tcMar>
            <w:vAlign w:val="center"/>
          </w:tcPr>
          <w:p>
            <w:pPr>
              <w:jc w:val="left"/>
            </w:pPr>
            <w:r>
              <w:rPr>
                <w:b w:val="false"/>
                <w:bCs w:val="false"/>
                <w:color w:val="000000"/>
                <w:sz w:val="19"/>
                <w:szCs w:val="19"/>
              </w:rPr>
              <w:t xml:space="preserve">US$ 0</w:t>
            </w:r>
          </w:p>
        </w:tc>
        <w:tc>
          <w:tcPr>
            <w:tcW w:type="dxa" w:w="2070"/>
            <w:tcMar>
              <w:top w:type="dxa" w:w="60"/>
              <w:left w:type="dxa" w:w="100"/>
              <w:bottom w:type="dxa" w:w="60"/>
              <w:right w:type="dxa" w:w="100"/>
            </w:tcMar>
            <w:vAlign w:val="center"/>
          </w:tcPr>
          <w:p>
            <w:pPr>
              <w:jc w:val="left"/>
            </w:pPr>
            <w:r>
              <w:rPr>
                <w:b w:val="false"/>
                <w:bCs w:val="false"/>
                <w:color w:val="000000"/>
                <w:sz w:val="19"/>
                <w:szCs w:val="19"/>
              </w:rPr>
              <w:t xml:space="preserve">US$ 0</w:t>
            </w:r>
          </w:p>
        </w:tc>
      </w:tr>
    </w:tbl>
    <w:p>
      <w:pPr>
        <w:spacing w:after="240"/>
      </w:pPr>
    </w:p>
    <w:p>
      <w:pPr>
        <w:spacing w:after="200"/>
      </w:pPr>
      <w:r>
        <w:rPr>
          <w:b/>
          <w:bCs/>
          <w:sz w:val="21"/>
          <w:szCs w:val="21"/>
        </w:rPr>
        <w:t xml:space="preserve">Estimado mensual recurrente total: </w:t>
      </w:r>
      <w:r>
        <w:rPr>
          <w:b/>
          <w:bCs/>
          <w:color w:val="2E5C99"/>
          <w:sz w:val="21"/>
          <w:szCs w:val="21"/>
        </w:rPr>
        <w:t xml:space="preserve">US$ 6,490 USD/mes</w:t>
      </w:r>
    </w:p>
    <w:p>
      <w:pPr>
        <w:pStyle w:val="Heading2"/>
        <w:spacing w:after="120" w:before="260"/>
      </w:pPr>
      <w:r>
        <w:rPr>
          <w:b/>
          <w:bCs/>
          <w:color w:val="2E5C99"/>
          <w:sz w:val="24"/>
          <w:szCs w:val="24"/>
        </w:rPr>
        <w:t xml:space="preserve">10.1 Costos adicionales de la migración (no recurrentes)</w:t>
      </w:r>
    </w:p>
    <w:p>
      <w:pPr>
        <w:pStyle w:val="ListParagraph"/>
        <w:numPr>
          <w:ilvl w:val="0"/>
          <w:numId w:val="2"/>
        </w:numPr>
        <w:spacing w:after="80"/>
      </w:pPr>
      <w:r>
        <w:rPr>
          <w:sz w:val="21"/>
          <w:szCs w:val="21"/>
        </w:rPr>
        <w:t xml:space="preserve">Doble operación temporal (South Central US + Central US) durante 6 a 8 semanas de la fase de corte: estimado adicional de 1.5x a 2x el costo mensual durante ese periodo.</w:t>
      </w:r>
    </w:p>
    <w:p>
      <w:pPr>
        <w:pStyle w:val="ListParagraph"/>
        <w:numPr>
          <w:ilvl w:val="0"/>
          <w:numId w:val="2"/>
        </w:numPr>
        <w:spacing w:after="80"/>
      </w:pPr>
      <w:r>
        <w:rPr>
          <w:sz w:val="21"/>
          <w:szCs w:val="21"/>
        </w:rPr>
        <w:t xml:space="preserve">Transferencia de datos entre regiones (egress) para la sincronización inicial: variable según volumen; se recomienda validar con el Azure Pricing Calculator una vez dimensionado el volumen real de discos y storage a replicar.</w:t>
      </w:r>
    </w:p>
    <w:p>
      <w:pPr>
        <w:pStyle w:val="ListParagraph"/>
        <w:numPr>
          <w:ilvl w:val="0"/>
          <w:numId w:val="2"/>
        </w:numPr>
        <w:spacing w:after="80"/>
      </w:pPr>
      <w:r>
        <w:rPr>
          <w:sz w:val="21"/>
          <w:szCs w:val="21"/>
        </w:rPr>
        <w:t xml:space="preserve">Licencias de herramientas de migración: Azure Migrate no tiene costo de licencia; Azure Site Recovery tiene un costo por instancia protegida durante el periodo de replicación (primeros 31 días sin costo por servidor, después tarifa por servidor/mes).</w:t>
      </w:r>
    </w:p>
    <w:p>
      <w:pPr>
        <w:pStyle w:val="ListParagraph"/>
        <w:numPr>
          <w:ilvl w:val="0"/>
          <w:numId w:val="2"/>
        </w:numPr>
        <w:spacing w:after="80"/>
      </w:pPr>
      <w:r>
        <w:rPr>
          <w:sz w:val="21"/>
          <w:szCs w:val="21"/>
        </w:rPr>
        <w:t xml:space="preserve">Nuevas direcciones IP públicas y Gateway de VPN en Central US operarán en paralelo al de origen durante la transición (costo duplicado temporal de ~US$ 395/mes por el Gateway).</w:t>
      </w:r>
    </w:p>
    <w:p>
      <w:pPr>
        <w:pStyle w:val="Heading2"/>
        <w:spacing w:after="120" w:before="260"/>
      </w:pPr>
      <w:r>
        <w:rPr>
          <w:b/>
          <w:bCs/>
          <w:color w:val="2E5C99"/>
          <w:sz w:val="24"/>
          <w:szCs w:val="24"/>
        </w:rPr>
        <w:t xml:space="preserve">10.2 Recomendación de validación</w:t>
      </w:r>
    </w:p>
    <w:p>
      <w:pPr>
        <w:spacing w:after="160" w:line="276"/>
      </w:pPr>
      <w:r>
        <w:rPr>
          <w:sz w:val="21"/>
          <w:szCs w:val="21"/>
        </w:rPr>
        <w:t xml:space="preserve">Se recomienda validar y refinar esta estimación utilizando el Azure Pricing Calculator (https://azure.microsoft.com/pricing/calculator/) cargando el SKU exacto de cada uno de los recursos listados en el Anexo, así como el Azure Migrate Total Cost of Ownership (TCO) Calculator para contrastar el costo actual contra el proyectado en Central US con el detalle de tarifas vigentes al momento de la ejecución del proyecto, dado que las tarifas públicas de Azure pueden cambiar.</w:t>
      </w:r>
    </w:p>
    <w:p>
      <w:pPr>
        <w:pStyle w:val="Heading1"/>
        <w:pBdr>
          <w:bottom w:val="single" w:color="2E5C99" w:sz="8" w:space="4"/>
        </w:pBdr>
        <w:spacing w:after="160" w:before="360"/>
      </w:pPr>
      <w:r>
        <w:rPr>
          <w:b/>
          <w:bCs/>
          <w:color w:val="1F3B57"/>
          <w:sz w:val="30"/>
          <w:szCs w:val="30"/>
        </w:rPr>
        <w:t xml:space="preserve">Anexo. Inventario Detallado de Recursos — South Central US</w:t>
      </w:r>
    </w:p>
    <w:p>
      <w:pPr>
        <w:spacing w:after="160" w:line="276"/>
      </w:pPr>
      <w:r>
        <w:rPr>
          <w:sz w:val="21"/>
          <w:szCs w:val="21"/>
        </w:rPr>
        <w:t xml:space="preserve">El siguiente inventario resume, por grupo de recursos y tipo, la totalidad de los recursos identificados en South Central US dentro del periodo analizado (jun–jul 2026). El detalle completo por recurso individual (incluyendo IDs de recurso) se entrega en el archivo de origen de este análisis.</w:t>
      </w:r>
    </w:p>
    <w:p>
      <w:pPr>
        <w:pStyle w:val="Heading2"/>
        <w:spacing w:after="120" w:before="260"/>
      </w:pPr>
      <w:r>
        <w:rPr>
          <w:b/>
          <w:bCs/>
          <w:color w:val="2E5C99"/>
          <w:sz w:val="24"/>
          <w:szCs w:val="24"/>
        </w:rPr>
        <w:t xml:space="preserve">A.1 Máquinas virtuales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5000"/>
        <w:gridCol w:w="2600"/>
        <w:gridCol w:w="1940"/>
      </w:tblGrid>
      <w:tr>
        <w:trPr>
          <w:tblHeader/>
        </w:trPr>
        <w:tc>
          <w:tcPr>
            <w:tcW w:type="dxa" w:w="5000"/>
            <w:shd w:fill="2E5C99" w:val="clear"/>
            <w:tcMar>
              <w:top w:type="dxa" w:w="80"/>
              <w:left w:type="dxa" w:w="100"/>
              <w:bottom w:type="dxa" w:w="80"/>
              <w:right w:type="dxa" w:w="100"/>
            </w:tcMar>
            <w:vAlign w:val="center"/>
          </w:tcPr>
          <w:p>
            <w:pPr>
              <w:jc w:val="left"/>
            </w:pPr>
            <w:r>
              <w:rPr>
                <w:b/>
                <w:bCs/>
                <w:color w:val="FFFFFF"/>
                <w:sz w:val="19"/>
                <w:szCs w:val="19"/>
              </w:rPr>
              <w:t xml:space="preserve">Máquina virtual</w:t>
            </w:r>
          </w:p>
        </w:tc>
        <w:tc>
          <w:tcPr>
            <w:tcW w:type="dxa" w:w="2600"/>
            <w:shd w:fill="2E5C99" w:val="clear"/>
            <w:tcMar>
              <w:top w:type="dxa" w:w="80"/>
              <w:left w:type="dxa" w:w="100"/>
              <w:bottom w:type="dxa" w:w="80"/>
              <w:right w:type="dxa" w:w="100"/>
            </w:tcMar>
            <w:vAlign w:val="center"/>
          </w:tcPr>
          <w:p>
            <w:pPr>
              <w:jc w:val="left"/>
            </w:pPr>
            <w:r>
              <w:rPr>
                <w:b/>
                <w:bCs/>
                <w:color w:val="FFFFFF"/>
                <w:sz w:val="19"/>
                <w:szCs w:val="19"/>
              </w:rPr>
              <w:t xml:space="preserve">Grupo de recursos</w:t>
            </w:r>
          </w:p>
        </w:tc>
        <w:tc>
          <w:tcPr>
            <w:tcW w:type="dxa" w:w="1940"/>
            <w:shd w:fill="2E5C99" w:val="clear"/>
            <w:tcMar>
              <w:top w:type="dxa" w:w="80"/>
              <w:left w:type="dxa" w:w="100"/>
              <w:bottom w:type="dxa" w:w="80"/>
              <w:right w:type="dxa" w:w="100"/>
            </w:tcMar>
            <w:vAlign w:val="center"/>
          </w:tcPr>
          <w:p>
            <w:pPr>
              <w:jc w:val="left"/>
            </w:pPr>
            <w:r>
              <w:rPr>
                <w:b/>
                <w:bCs/>
                <w:color w:val="FFFFFF"/>
                <w:sz w:val="19"/>
                <w:szCs w:val="19"/>
              </w:rPr>
              <w:t xml:space="preserve">Costo del periodo</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sqlsrv-murguia</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US$ 855.53</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tablerosbimurguia</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tablerosbi</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US$ 587.33</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dlpmurguiawindows</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US$ 540.96</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murguia-sears</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murguia-sears_group</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US$ 303.25</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bi-murguia</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US$ 272.32</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serv-dev</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US$ 271.42</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app-proxy</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US$ 270.74</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bi-ctes</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US$ 135.95</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filesrvmurguia</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US$ 135.07</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websrvmurguia</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US$ 34.79</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dlpmurguialinux</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US$ 2.47</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sqlsrvbackup</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prueba-backup</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US$ 0.22</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tablerosbimurguia</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tablerosbimurguia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US$ 0.03</w:t>
            </w:r>
          </w:p>
        </w:tc>
      </w:tr>
    </w:tbl>
    <w:p>
      <w:pPr>
        <w:spacing w:after="200"/>
      </w:pPr>
    </w:p>
    <w:p>
      <w:pPr>
        <w:pStyle w:val="Heading2"/>
        <w:spacing w:after="120" w:before="260"/>
      </w:pPr>
      <w:r>
        <w:rPr>
          <w:b/>
          <w:bCs/>
          <w:color w:val="2E5C99"/>
          <w:sz w:val="24"/>
          <w:szCs w:val="24"/>
        </w:rPr>
        <w:t xml:space="preserve">A.2 Cuentas de almacenamiento</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5000"/>
        <w:gridCol w:w="2600"/>
        <w:gridCol w:w="1940"/>
      </w:tblGrid>
      <w:tr>
        <w:trPr>
          <w:tblHeader/>
        </w:trPr>
        <w:tc>
          <w:tcPr>
            <w:tcW w:type="dxa" w:w="5000"/>
            <w:shd w:fill="2E5C99" w:val="clear"/>
            <w:tcMar>
              <w:top w:type="dxa" w:w="80"/>
              <w:left w:type="dxa" w:w="100"/>
              <w:bottom w:type="dxa" w:w="80"/>
              <w:right w:type="dxa" w:w="100"/>
            </w:tcMar>
            <w:vAlign w:val="center"/>
          </w:tcPr>
          <w:p>
            <w:pPr>
              <w:jc w:val="left"/>
            </w:pPr>
            <w:r>
              <w:rPr>
                <w:b/>
                <w:bCs/>
                <w:color w:val="FFFFFF"/>
                <w:sz w:val="19"/>
                <w:szCs w:val="19"/>
              </w:rPr>
              <w:t xml:space="preserve">Cuenta de almacenamiento</w:t>
            </w:r>
          </w:p>
        </w:tc>
        <w:tc>
          <w:tcPr>
            <w:tcW w:type="dxa" w:w="2600"/>
            <w:shd w:fill="2E5C99" w:val="clear"/>
            <w:tcMar>
              <w:top w:type="dxa" w:w="80"/>
              <w:left w:type="dxa" w:w="100"/>
              <w:bottom w:type="dxa" w:w="80"/>
              <w:right w:type="dxa" w:w="100"/>
            </w:tcMar>
            <w:vAlign w:val="center"/>
          </w:tcPr>
          <w:p>
            <w:pPr>
              <w:jc w:val="left"/>
            </w:pPr>
            <w:r>
              <w:rPr>
                <w:b/>
                <w:bCs/>
                <w:color w:val="FFFFFF"/>
                <w:sz w:val="19"/>
                <w:szCs w:val="19"/>
              </w:rPr>
              <w:t xml:space="preserve">Grupo de recursos</w:t>
            </w:r>
          </w:p>
        </w:tc>
        <w:tc>
          <w:tcPr>
            <w:tcW w:type="dxa" w:w="1940"/>
            <w:shd w:fill="2E5C99" w:val="clear"/>
            <w:tcMar>
              <w:top w:type="dxa" w:w="80"/>
              <w:left w:type="dxa" w:w="100"/>
              <w:bottom w:type="dxa" w:w="80"/>
              <w:right w:type="dxa" w:w="100"/>
            </w:tcMar>
            <w:vAlign w:val="center"/>
          </w:tcPr>
          <w:p>
            <w:pPr>
              <w:jc w:val="left"/>
            </w:pPr>
            <w:r>
              <w:rPr>
                <w:b/>
                <w:bCs/>
                <w:color w:val="FFFFFF"/>
                <w:sz w:val="19"/>
                <w:szCs w:val="19"/>
              </w:rPr>
              <w:t xml:space="preserve">Costo del periodo</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rsmurguiadiag798</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US$ 1,517.15</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qdct5qvaultrsmuasrcache</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rg-rsmurguia-asr-prod</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US$ 186.79</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diagnostico2021</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US$ 66.69</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storagemurguia</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US$ 22.87</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repcaseapp</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appsmurguiaprod</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US$ 4.79</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cs710030000ab9ae3f9</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cloud-shell-storage-southcentralus</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US$ 4.25</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repcaseapppreprod</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appsmurguia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US$ 0.25</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pruebabackup</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prueba-backup</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US$ 0.00</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tablerosbimurguia</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tablerosbi</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US$ 0.00</w:t>
            </w:r>
          </w:p>
        </w:tc>
      </w:tr>
    </w:tbl>
    <w:p>
      <w:pPr>
        <w:spacing w:after="200"/>
      </w:pPr>
    </w:p>
    <w:p>
      <w:pPr>
        <w:pStyle w:val="Heading2"/>
        <w:spacing w:after="120" w:before="260"/>
      </w:pPr>
      <w:r>
        <w:rPr>
          <w:b/>
          <w:bCs/>
          <w:color w:val="2E5C99"/>
          <w:sz w:val="24"/>
          <w:szCs w:val="24"/>
        </w:rPr>
        <w:t xml:space="preserve">A.3 Planes de App Service</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5000"/>
        <w:gridCol w:w="2600"/>
        <w:gridCol w:w="1940"/>
      </w:tblGrid>
      <w:tr>
        <w:trPr>
          <w:tblHeader/>
        </w:trPr>
        <w:tc>
          <w:tcPr>
            <w:tcW w:type="dxa" w:w="5000"/>
            <w:shd w:fill="2E5C99" w:val="clear"/>
            <w:tcMar>
              <w:top w:type="dxa" w:w="80"/>
              <w:left w:type="dxa" w:w="100"/>
              <w:bottom w:type="dxa" w:w="80"/>
              <w:right w:type="dxa" w:w="100"/>
            </w:tcMar>
            <w:vAlign w:val="center"/>
          </w:tcPr>
          <w:p>
            <w:pPr>
              <w:jc w:val="left"/>
            </w:pPr>
            <w:r>
              <w:rPr>
                <w:b/>
                <w:bCs/>
                <w:color w:val="FFFFFF"/>
                <w:sz w:val="19"/>
                <w:szCs w:val="19"/>
              </w:rPr>
              <w:t xml:space="preserve">Plan de App Service</w:t>
            </w:r>
          </w:p>
        </w:tc>
        <w:tc>
          <w:tcPr>
            <w:tcW w:type="dxa" w:w="2600"/>
            <w:shd w:fill="2E5C99" w:val="clear"/>
            <w:tcMar>
              <w:top w:type="dxa" w:w="80"/>
              <w:left w:type="dxa" w:w="100"/>
              <w:bottom w:type="dxa" w:w="80"/>
              <w:right w:type="dxa" w:w="100"/>
            </w:tcMar>
            <w:vAlign w:val="center"/>
          </w:tcPr>
          <w:p>
            <w:pPr>
              <w:jc w:val="left"/>
            </w:pPr>
            <w:r>
              <w:rPr>
                <w:b/>
                <w:bCs/>
                <w:color w:val="FFFFFF"/>
                <w:sz w:val="19"/>
                <w:szCs w:val="19"/>
              </w:rPr>
              <w:t xml:space="preserve">Grupo de recursos</w:t>
            </w:r>
          </w:p>
        </w:tc>
        <w:tc>
          <w:tcPr>
            <w:tcW w:type="dxa" w:w="1940"/>
            <w:shd w:fill="2E5C99" w:val="clear"/>
            <w:tcMar>
              <w:top w:type="dxa" w:w="80"/>
              <w:left w:type="dxa" w:w="100"/>
              <w:bottom w:type="dxa" w:w="80"/>
              <w:right w:type="dxa" w:w="100"/>
            </w:tcMar>
            <w:vAlign w:val="center"/>
          </w:tcPr>
          <w:p>
            <w:pPr>
              <w:jc w:val="left"/>
            </w:pPr>
            <w:r>
              <w:rPr>
                <w:b/>
                <w:bCs/>
                <w:color w:val="FFFFFF"/>
                <w:sz w:val="19"/>
                <w:szCs w:val="19"/>
              </w:rPr>
              <w:t xml:space="preserve">Costo del periodo</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murguiatdprod</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appsmurguiaprod</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US$ 2,309.37</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murinteruatwin</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appsmurguia</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US$ 129.24</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murinteruat</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appsmurguia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US$ 27.44</w:t>
            </w:r>
          </w:p>
        </w:tc>
      </w:tr>
    </w:tbl>
    <w:p>
      <w:pPr>
        <w:spacing w:after="200"/>
      </w:pPr>
    </w:p>
    <w:p>
      <w:pPr>
        <w:pStyle w:val="Heading2"/>
        <w:spacing w:after="120" w:before="260"/>
      </w:pPr>
      <w:r>
        <w:rPr>
          <w:b/>
          <w:bCs/>
          <w:color w:val="2E5C99"/>
          <w:sz w:val="24"/>
          <w:szCs w:val="24"/>
        </w:rPr>
        <w:t xml:space="preserve">A.4 Bóvedas de respaldo (Recovery Services)</w:t>
      </w:r>
    </w:p>
    <w:tbl>
      <w:tblPr>
        <w:tblW w:type="dxa" w:w="9540"/>
        <w:tblBorders>
          <w:top w:val="single" w:color="auto" w:sz="4"/>
          <w:left w:val="single" w:color="auto" w:sz="4"/>
          <w:bottom w:val="single" w:color="auto" w:sz="4"/>
          <w:right w:val="single" w:color="auto" w:sz="4"/>
          <w:insideH w:val="single" w:color="auto" w:sz="4"/>
          <w:insideV w:val="single" w:color="auto" w:sz="4"/>
        </w:tblBorders>
      </w:tblPr>
      <w:tblGrid>
        <w:gridCol w:w="5000"/>
        <w:gridCol w:w="2600"/>
        <w:gridCol w:w="1940"/>
      </w:tblGrid>
      <w:tr>
        <w:trPr>
          <w:tblHeader/>
        </w:trPr>
        <w:tc>
          <w:tcPr>
            <w:tcW w:type="dxa" w:w="5000"/>
            <w:shd w:fill="2E5C99" w:val="clear"/>
            <w:tcMar>
              <w:top w:type="dxa" w:w="80"/>
              <w:left w:type="dxa" w:w="100"/>
              <w:bottom w:type="dxa" w:w="80"/>
              <w:right w:type="dxa" w:w="100"/>
            </w:tcMar>
            <w:vAlign w:val="center"/>
          </w:tcPr>
          <w:p>
            <w:pPr>
              <w:jc w:val="left"/>
            </w:pPr>
            <w:r>
              <w:rPr>
                <w:b/>
                <w:bCs/>
                <w:color w:val="FFFFFF"/>
                <w:sz w:val="19"/>
                <w:szCs w:val="19"/>
              </w:rPr>
              <w:t xml:space="preserve">Bóveda</w:t>
            </w:r>
          </w:p>
        </w:tc>
        <w:tc>
          <w:tcPr>
            <w:tcW w:type="dxa" w:w="2600"/>
            <w:shd w:fill="2E5C99" w:val="clear"/>
            <w:tcMar>
              <w:top w:type="dxa" w:w="80"/>
              <w:left w:type="dxa" w:w="100"/>
              <w:bottom w:type="dxa" w:w="80"/>
              <w:right w:type="dxa" w:w="100"/>
            </w:tcMar>
            <w:vAlign w:val="center"/>
          </w:tcPr>
          <w:p>
            <w:pPr>
              <w:jc w:val="left"/>
            </w:pPr>
            <w:r>
              <w:rPr>
                <w:b/>
                <w:bCs/>
                <w:color w:val="FFFFFF"/>
                <w:sz w:val="19"/>
                <w:szCs w:val="19"/>
              </w:rPr>
              <w:t xml:space="preserve">Grupo de recursos</w:t>
            </w:r>
          </w:p>
        </w:tc>
        <w:tc>
          <w:tcPr>
            <w:tcW w:type="dxa" w:w="1940"/>
            <w:shd w:fill="2E5C99" w:val="clear"/>
            <w:tcMar>
              <w:top w:type="dxa" w:w="80"/>
              <w:left w:type="dxa" w:w="100"/>
              <w:bottom w:type="dxa" w:w="80"/>
              <w:right w:type="dxa" w:w="100"/>
            </w:tcMar>
            <w:vAlign w:val="center"/>
          </w:tcPr>
          <w:p>
            <w:pPr>
              <w:jc w:val="left"/>
            </w:pPr>
            <w:r>
              <w:rPr>
                <w:b/>
                <w:bCs/>
                <w:color w:val="FFFFFF"/>
                <w:sz w:val="19"/>
                <w:szCs w:val="19"/>
              </w:rPr>
              <w:t xml:space="preserve">Costo del periodo</w:t>
            </w:r>
          </w:p>
        </w:tc>
      </w:tr>
      <w:tr>
        <w:tc>
          <w:tcPr>
            <w:tcW w:type="dxa" w:w="5000"/>
            <w:tcMar>
              <w:top w:type="dxa" w:w="60"/>
              <w:left w:type="dxa" w:w="100"/>
              <w:bottom w:type="dxa" w:w="60"/>
              <w:right w:type="dxa" w:w="100"/>
            </w:tcMar>
            <w:vAlign w:val="center"/>
          </w:tcPr>
          <w:p>
            <w:pPr>
              <w:jc w:val="left"/>
            </w:pPr>
            <w:r>
              <w:rPr>
                <w:b w:val="false"/>
                <w:bCs w:val="false"/>
                <w:color w:val="000000"/>
                <w:sz w:val="19"/>
                <w:szCs w:val="19"/>
              </w:rPr>
              <w:t xml:space="preserve">bckupvmwinscdia</w:t>
            </w:r>
          </w:p>
        </w:tc>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tcMar>
              <w:top w:type="dxa" w:w="60"/>
              <w:left w:type="dxa" w:w="100"/>
              <w:bottom w:type="dxa" w:w="60"/>
              <w:right w:type="dxa" w:w="100"/>
            </w:tcMar>
            <w:vAlign w:val="center"/>
          </w:tcPr>
          <w:p>
            <w:pPr>
              <w:jc w:val="left"/>
            </w:pPr>
            <w:r>
              <w:rPr>
                <w:b w:val="false"/>
                <w:bCs w:val="false"/>
                <w:color w:val="000000"/>
                <w:sz w:val="19"/>
                <w:szCs w:val="19"/>
              </w:rPr>
              <w:t xml:space="preserve">US$ 758.19</w:t>
            </w:r>
          </w:p>
        </w:tc>
      </w:tr>
      <w:tr>
        <w:tc>
          <w:tcPr>
            <w:tcW w:type="dxa" w:w="50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bckupvmwinscsem</w:t>
            </w:r>
          </w:p>
        </w:tc>
        <w:tc>
          <w:tcPr>
            <w:tcW w:type="dxa" w:w="260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rsmurguia</w:t>
            </w:r>
          </w:p>
        </w:tc>
        <w:tc>
          <w:tcPr>
            <w:tcW w:type="dxa" w:w="1940"/>
            <w:shd w:fill="F2F2F2" w:val="clear"/>
            <w:tcMar>
              <w:top w:type="dxa" w:w="60"/>
              <w:left w:type="dxa" w:w="100"/>
              <w:bottom w:type="dxa" w:w="60"/>
              <w:right w:type="dxa" w:w="100"/>
            </w:tcMar>
            <w:vAlign w:val="center"/>
          </w:tcPr>
          <w:p>
            <w:pPr>
              <w:jc w:val="left"/>
            </w:pPr>
            <w:r>
              <w:rPr>
                <w:b w:val="false"/>
                <w:bCs w:val="false"/>
                <w:color w:val="000000"/>
                <w:sz w:val="19"/>
                <w:szCs w:val="19"/>
              </w:rPr>
              <w:t xml:space="preserve">US$ 163.71</w:t>
            </w:r>
          </w:p>
        </w:tc>
      </w:tr>
    </w:tbl>
    <w:p>
      <w:pPr>
        <w:spacing w:after="200"/>
      </w:pPr>
    </w:p>
    <w:p>
      <w:pPr>
        <w:pStyle w:val="Heading2"/>
        <w:spacing w:after="120" w:before="260"/>
      </w:pPr>
      <w:r>
        <w:rPr>
          <w:b/>
          <w:bCs/>
          <w:color w:val="2E5C99"/>
          <w:sz w:val="24"/>
          <w:szCs w:val="24"/>
        </w:rPr>
        <w:t xml:space="preserve">A.5 Otros recursos</w:t>
      </w:r>
    </w:p>
    <w:p>
      <w:pPr>
        <w:pStyle w:val="ListParagraph"/>
        <w:numPr>
          <w:ilvl w:val="0"/>
          <w:numId w:val="2"/>
        </w:numPr>
        <w:spacing w:after="80"/>
      </w:pPr>
      <w:r>
        <w:rPr>
          <w:sz w:val="21"/>
          <w:szCs w:val="21"/>
        </w:rPr>
        <w:t xml:space="preserve">57 discos administrados asociados a las máquinas virtuales anteriores.</w:t>
      </w:r>
    </w:p>
    <w:p>
      <w:pPr>
        <w:pStyle w:val="ListParagraph"/>
        <w:numPr>
          <w:ilvl w:val="0"/>
          <w:numId w:val="2"/>
        </w:numPr>
        <w:spacing w:after="80"/>
      </w:pPr>
      <w:r>
        <w:rPr>
          <w:sz w:val="21"/>
          <w:szCs w:val="21"/>
        </w:rPr>
        <w:t xml:space="preserve">26 direcciones IP públicas asociadas a VMs y gateways.</w:t>
      </w:r>
    </w:p>
    <w:p>
      <w:pPr>
        <w:pStyle w:val="ListParagraph"/>
        <w:numPr>
          <w:ilvl w:val="0"/>
          <w:numId w:val="2"/>
        </w:numPr>
        <w:spacing w:after="80"/>
      </w:pPr>
      <w:r>
        <w:rPr>
          <w:sz w:val="21"/>
          <w:szCs w:val="21"/>
        </w:rPr>
        <w:t xml:space="preserve">60 Web Apps (App Service sites) distribuidos en los ambientes IA, MRG, PRE y UAT.</w:t>
      </w:r>
    </w:p>
    <w:p>
      <w:pPr>
        <w:pStyle w:val="ListParagraph"/>
        <w:numPr>
          <w:ilvl w:val="0"/>
          <w:numId w:val="2"/>
        </w:numPr>
        <w:spacing w:after="80"/>
      </w:pPr>
      <w:r>
        <w:rPr>
          <w:sz w:val="21"/>
          <w:szCs w:val="21"/>
        </w:rPr>
        <w:t xml:space="preserve">1 Gateway de VPN (murguiagateway), 1 grupo de seguridad de red, 1 Network Watcher, 3 conexiones VPN.</w:t>
      </w:r>
    </w:p>
    <w:p>
      <w:pPr>
        <w:pStyle w:val="ListParagraph"/>
        <w:numPr>
          <w:ilvl w:val="0"/>
          <w:numId w:val="2"/>
        </w:numPr>
        <w:spacing w:after="80"/>
      </w:pPr>
      <w:r>
        <w:rPr>
          <w:sz w:val="21"/>
          <w:szCs w:val="21"/>
        </w:rPr>
        <w:t xml:space="preserve">1 Container Registry (murguiatemp), 2 workspaces de Log Analytics, 3 colecciones de puntos de restauración, 3 snapshots de disco, 1 Logic App, 1 namespace de Relay.</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5"/>
        <w:szCs w:val="15"/>
      </w:rPr>
      <w:t xml:space="preserve">Página </w:t>
    </w:r>
    <w:r>
      <w:rPr>
        <w:color w:val="666666"/>
        <w:sz w:val="15"/>
        <w:szCs w:val="15"/>
      </w:rPr>
      <w:fldChar w:fldCharType="begin"/>
      <w:instrText xml:space="preserve">PAGE</w:instrText>
      <w:fldChar w:fldCharType="separate"/>
      <w:fldChar w:fldCharType="end"/>
    </w:r>
    <w:r>
      <w:rPr>
        <w:color w:val="666666"/>
        <w:sz w:val="15"/>
        <w:szCs w:val="15"/>
      </w:rPr>
      <w:t xml:space="preserve"> de </w:t>
    </w:r>
    <w:r>
      <w:rPr>
        <w:color w:val="666666"/>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666666"/>
        <w:sz w:val="15"/>
        <w:szCs w:val="15"/>
      </w:rPr>
      <w:t xml:space="preserve">Propuesta de Migración Azure — Murguía | South Central US → Central US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99bbd3eb69105147b57c469df4640025aa881c7.png"/><Relationship Id="rId10" Type="http://schemas.openxmlformats.org/officeDocument/2006/relationships/image" Target="media/cfab8cd507f26bca0ef62fa799c822160713b33d.png"/><Relationship Id="rId11" Type="http://schemas.openxmlformats.org/officeDocument/2006/relationships/image" Target="media/2283ccdde2850c5a0aaaf8c46cedf6f240029461.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2026-09-15T03:19:55.966Z</dcterms:created>
  <dcterms:modified xsi:type="dcterms:W3CDTF">2026-09-15T03:19:55.967Z</dcterms:modified>
</cp:coreProperties>
</file>

<file path=docProps/custom.xml><?xml version="1.0" encoding="utf-8"?>
<Properties xmlns="http://schemas.openxmlformats.org/officeDocument/2006/custom-properties" xmlns:vt="http://schemas.openxmlformats.org/officeDocument/2006/docPropsVTypes"/>
</file>