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single" w:color="0F6CBD" w:sz="24"/>
              <w:bottom w:val="none" w:color="FFFFFF" w:sz="0"/>
              <w:right w:val="none" w:color="FFFFFF" w:sz="0"/>
            </w:tcBorders>
            <w:shd w:fill="F5F9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6"/>
                <w:szCs w:val="16"/>
              </w:rPr>
              <w:t xml:space="preserve">PROPUESTA DE SERVICIOS</w:t>
            </w:r>
          </w:p>
          <w:p>
            <w:pPr>
              <w:spacing w:after="4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48"/>
                <w:szCs w:val="48"/>
              </w:rPr>
              <w:t xml:space="preserve">Microsoft Azure</w:t>
            </w:r>
          </w:p>
          <w:p>
            <w:pPr>
              <w:spacing w:after="60" w:before="0" w:line="25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A"/>
                <w:sz w:val="22"/>
                <w:szCs w:val="22"/>
              </w:rPr>
              <w:t xml:space="preserve">Servicios alineados al Cloud Adoption Framework</w:t>
            </w:r>
          </w:p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7293"/>
                <w:sz w:val="18"/>
                <w:szCs w:val="18"/>
              </w:rPr>
              <w:t xml:space="preserve">Estrategia · Plan · Listo · Adopción · Gobierno · Administración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C7293"/>
          <w:sz w:val="12"/>
          <w:szCs w:val="12"/>
        </w:rPr>
        <w:t xml:space="preserve">POR QUÉ AZURE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20"/>
        <w:gridCol w:w="120"/>
        <w:gridCol w:w="3520"/>
        <w:gridCol w:w="120"/>
        <w:gridCol w:w="3520"/>
      </w:tblGrid>
      <w:tr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20"/>
                <w:szCs w:val="20"/>
              </w:rPr>
              <w:t xml:space="preserve">Velocidad</w:t>
            </w:r>
          </w:p>
          <w:p>
            <w:pPr>
              <w:spacing w:after="4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32"/>
                <w:szCs w:val="32"/>
              </w:rPr>
              <w:t xml:space="preserve">Minutos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Aprovisionar ambientes, escalar y lanzar servicios. Antes: semanas o meses.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20"/>
                <w:szCs w:val="20"/>
              </w:rPr>
              <w:t xml:space="preserve">Seguridad</w:t>
            </w:r>
          </w:p>
          <w:p>
            <w:pPr>
              <w:spacing w:after="4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32"/>
                <w:szCs w:val="32"/>
              </w:rPr>
              <w:t xml:space="preserve">+100 certif.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Cumplimiento internacional y una inversión de Microsoft &gt; 1,000 M USD/año en ciberseguridad.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20"/>
                <w:szCs w:val="20"/>
              </w:rPr>
              <w:t xml:space="preserve">Innovación</w:t>
            </w:r>
          </w:p>
          <w:p>
            <w:pPr>
              <w:spacing w:after="4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32"/>
                <w:szCs w:val="32"/>
              </w:rPr>
              <w:t xml:space="preserve">IA nativa</w:t>
            </w:r>
          </w:p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Azure OpenAI, Copilot, análisis de datos y automatización listos para el negocio.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C7293"/>
          <w:sz w:val="12"/>
          <w:szCs w:val="12"/>
        </w:rPr>
        <w:t xml:space="preserve">NUESTRO MARCO METODOLÓGICO  ·  CLOUD ADOPTION FRAMEWORK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83"/>
        <w:gridCol w:w="20"/>
        <w:gridCol w:w="1783"/>
        <w:gridCol w:w="20"/>
        <w:gridCol w:w="1783"/>
        <w:gridCol w:w="20"/>
        <w:gridCol w:w="1783"/>
        <w:gridCol w:w="20"/>
        <w:gridCol w:w="1783"/>
        <w:gridCol w:w="20"/>
        <w:gridCol w:w="1783"/>
      </w:tblGrid>
      <w:tr>
        <w:tc>
          <w:tcPr>
            <w:tcW w:type="dxa" w:w="1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22"/>
                <w:szCs w:val="22"/>
              </w:rPr>
              <w:t xml:space="preserve">01</w:t>
            </w:r>
          </w:p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Estrategia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color w:val="1E293B"/>
                <w:sz w:val="12"/>
                <w:szCs w:val="12"/>
              </w:rPr>
              <w:t xml:space="preserve">Alinear la nube con los objetivos del negocio.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1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22"/>
                <w:szCs w:val="22"/>
              </w:rPr>
              <w:t xml:space="preserve">02</w:t>
            </w:r>
          </w:p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Plan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color w:val="1E293B"/>
                <w:sz w:val="12"/>
                <w:szCs w:val="12"/>
              </w:rPr>
              <w:t xml:space="preserve">Descubrimiento, business case y roadmap.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1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22"/>
                <w:szCs w:val="22"/>
              </w:rPr>
              <w:t xml:space="preserve">03</w:t>
            </w:r>
          </w:p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Listo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color w:val="1E293B"/>
                <w:sz w:val="12"/>
                <w:szCs w:val="12"/>
              </w:rPr>
              <w:t xml:space="preserve">Landing Zone lista para recibir cargas.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1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22"/>
                <w:szCs w:val="22"/>
              </w:rPr>
              <w:t xml:space="preserve">04</w:t>
            </w:r>
          </w:p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Adoptar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color w:val="1E293B"/>
                <w:sz w:val="12"/>
                <w:szCs w:val="12"/>
              </w:rPr>
              <w:t xml:space="preserve">Migrar, modernizar e innovar.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1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22"/>
                <w:szCs w:val="22"/>
              </w:rPr>
              <w:t xml:space="preserve">05</w:t>
            </w:r>
          </w:p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Gobierno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color w:val="1E293B"/>
                <w:sz w:val="12"/>
                <w:szCs w:val="12"/>
              </w:rPr>
              <w:t xml:space="preserve">Políticas, control de costos, cumplimiento.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1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22"/>
                <w:szCs w:val="22"/>
              </w:rPr>
              <w:t xml:space="preserve">06</w:t>
            </w:r>
          </w:p>
          <w:p>
            <w:pPr>
              <w:spacing w:after="4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Seg. y Adm.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color w:val="1E293B"/>
                <w:sz w:val="12"/>
                <w:szCs w:val="12"/>
              </w:rPr>
              <w:t xml:space="preserve">Seguridad y operación 24/7.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C7293"/>
          <w:sz w:val="12"/>
          <w:szCs w:val="12"/>
        </w:rPr>
        <w:t xml:space="preserve">NUESTROS PAQUETES DE SERVICIOS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200"/>
        <w:gridCol w:w="53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2"/>
                <w:szCs w:val="12"/>
              </w:rPr>
              <w:t xml:space="preserve">PAQUETE 01  ·  </w:t>
            </w:r>
            <w:r>
              <w:rPr>
                <w:rFonts w:ascii="Calibri" w:cs="Calibri" w:eastAsia="Calibri" w:hAnsi="Calibri"/>
                <w:b/>
                <w:bCs/>
                <w:color w:val="0F6CBD"/>
                <w:sz w:val="12"/>
                <w:szCs w:val="12"/>
              </w:rPr>
              <w:t xml:space="preserve">MIGRACIÓN A AZURE</w:t>
            </w:r>
          </w:p>
          <w:p>
            <w:pPr>
              <w:spacing w:after="80" w:before="0" w:line="2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Onboarding, desde on-premises o desde otra nube. Un mismo destino.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Assessment, business case y roadmap por olas.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Landing Zone segura y estandarizada.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Ejecución rehost / refactor / replace / retire.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Optimización continua post-migración (FinOps).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2"/>
                <w:szCs w:val="12"/>
              </w:rPr>
              <w:t xml:space="preserve">PAQUETE 02  ·  </w:t>
            </w:r>
            <w:r>
              <w:rPr>
                <w:rFonts w:ascii="Calibri" w:cs="Calibri" w:eastAsia="Calibri" w:hAnsi="Calibri"/>
                <w:b/>
                <w:bCs/>
                <w:color w:val="0F6CBD"/>
                <w:sz w:val="12"/>
                <w:szCs w:val="12"/>
              </w:rPr>
              <w:t xml:space="preserve">DRP EN AZURE</w:t>
            </w:r>
          </w:p>
          <w:p>
            <w:pPr>
              <w:spacing w:after="80" w:before="0" w:line="2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Continuidad garantizada sin data center alterno físico.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BIA, definición de RTO/RPO por servicio.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Azure Site Recovery + Azure Backup inmutable.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Runbooks y pruebas de failover no disruptivas.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Protección real contra ransomware.</w:t>
            </w:r>
          </w:p>
        </w:tc>
      </w:tr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2"/>
                <w:szCs w:val="12"/>
              </w:rPr>
              <w:t xml:space="preserve">PAQUETE 03  ·  </w:t>
            </w:r>
            <w:r>
              <w:rPr>
                <w:rFonts w:ascii="Calibri" w:cs="Calibri" w:eastAsia="Calibri" w:hAnsi="Calibri"/>
                <w:b/>
                <w:bCs/>
                <w:color w:val="0F6CBD"/>
                <w:sz w:val="12"/>
                <w:szCs w:val="12"/>
              </w:rPr>
              <w:t xml:space="preserve">VDI CON AZURE</w:t>
            </w:r>
          </w:p>
          <w:p>
            <w:pPr>
              <w:spacing w:after="80" w:before="0" w:line="2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Trabajo híbrido seguro con AVD y Windows 365.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Diseño e implementación de escritorios virtuales.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Integración con Entra ID, Intune y Defender.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Copilot y Microsoft 365 optimizados nativamente.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Onboarding de usuarios en minutos.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2"/>
                <w:szCs w:val="12"/>
              </w:rPr>
              <w:t xml:space="preserve">PAQUETE 04  ·  </w:t>
            </w:r>
            <w:r>
              <w:rPr>
                <w:rFonts w:ascii="Calibri" w:cs="Calibri" w:eastAsia="Calibri" w:hAnsi="Calibri"/>
                <w:b/>
                <w:bCs/>
                <w:color w:val="0F6CBD"/>
                <w:sz w:val="12"/>
                <w:szCs w:val="12"/>
              </w:rPr>
              <w:t xml:space="preserve">BACKUP PARA PYME</w:t>
            </w:r>
          </w:p>
          <w:p>
            <w:pPr>
              <w:spacing w:after="80" w:before="0" w:line="2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A2540"/>
                <w:sz w:val="15"/>
                <w:szCs w:val="15"/>
              </w:rPr>
              <w:t xml:space="preserve">Respaldo integral con costo predecible y sin complejidad.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VMs, discos, bases de datos, redes y VNets.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M365: buzones, OneDrive, SharePoint, Teams.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Respaldos inmutables anti-ransomware.</w:t>
            </w:r>
          </w:p>
          <w:p>
            <w:pPr>
              <w:spacing w:after="40" w:line="24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0F6CBD"/>
                <w:sz w:val="14"/>
                <w:szCs w:val="14"/>
              </w:rPr>
              <w:t xml:space="preserve">•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Restauración asistida y pruebas periódicas.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C7293"/>
          <w:sz w:val="12"/>
          <w:szCs w:val="12"/>
        </w:rPr>
        <w:t xml:space="preserve">CÓMO TRABAJAMOS CONTIGO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200"/>
        <w:gridCol w:w="53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16"/>
                <w:szCs w:val="16"/>
              </w:rPr>
              <w:t xml:space="preserve">Cómo entregamos</w:t>
            </w:r>
          </w:p>
          <w:p>
            <w:pPr>
              <w:spacing w:after="4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3"/>
                <w:szCs w:val="13"/>
              </w:rPr>
              <w:t xml:space="preserve">Recursos propios: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consultores y arquitectos certificados en Azure, dedicados a tu proyecto.</w:t>
            </w:r>
          </w:p>
          <w:p>
            <w:pPr>
              <w:spacing w:after="4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3"/>
                <w:szCs w:val="13"/>
              </w:rPr>
              <w:t xml:space="preserve">Modelo mixto: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partners bajo nuestra gestión cuando el proyecto lo requiere.</w:t>
            </w:r>
          </w:p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3"/>
                <w:szCs w:val="13"/>
              </w:rPr>
              <w:t xml:space="preserve">Servicios administrados: </w:t>
            </w:r>
            <w:r>
              <w:rPr>
                <w:rFonts w:ascii="Calibri" w:cs="Calibri" w:eastAsia="Calibri" w:hAnsi="Calibri"/>
                <w:color w:val="1E293B"/>
                <w:sz w:val="13"/>
                <w:szCs w:val="13"/>
              </w:rPr>
              <w:t xml:space="preserve">operación continua con SLAs y reportes ejecutivos mensuales.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50"/>
              <w:jc w:val="left"/>
            </w:pPr>
            <w:r>
              <w:t xml:space="preserve"/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16"/>
                <w:szCs w:val="16"/>
              </w:rPr>
              <w:t xml:space="preserve">Esquemas de soporte</w:t>
            </w:r>
          </w:p>
          <w:p>
            <w:pPr>
              <w:spacing w:after="6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18"/>
                <w:szCs w:val="18"/>
              </w:rPr>
              <w:t xml:space="preserve">8x5  </w:t>
            </w:r>
            <w:r>
              <w:rPr>
                <w:rFonts w:ascii="Calibri" w:cs="Calibri" w:eastAsia="Calibri" w:hAnsi="Calibri"/>
                <w:color w:val="1E293B"/>
                <w:sz w:val="12"/>
                <w:szCs w:val="12"/>
              </w:rPr>
              <w:t xml:space="preserve">Horario laboral, mesa de ayuda y tickets. Ambientes no críticos 24/7.</w:t>
            </w:r>
          </w:p>
          <w:p>
            <w:pPr>
              <w:spacing w:after="0" w:before="0" w:line="25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0F6CBD"/>
                <w:sz w:val="18"/>
                <w:szCs w:val="18"/>
              </w:rPr>
              <w:t xml:space="preserve">24x7 </w:t>
            </w:r>
            <w:r>
              <w:rPr>
                <w:rFonts w:ascii="Calibri" w:cs="Calibri" w:eastAsia="Calibri" w:hAnsi="Calibri"/>
                <w:color w:val="1E293B"/>
                <w:sz w:val="12"/>
                <w:szCs w:val="12"/>
              </w:rPr>
              <w:t xml:space="preserve">Atención continua con SLAs por severidad y guardias activas. Cargas críticas.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 w:line="25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Empecemos juntos. </w:t>
            </w:r>
            <w:r>
              <w:rPr>
                <w:rFonts w:ascii="Calibri" w:cs="Calibri" w:eastAsia="Calibri" w:hAnsi="Calibri"/>
                <w:i/>
                <w:iCs/>
                <w:color w:val="C9DDEF"/>
                <w:sz w:val="14"/>
                <w:szCs w:val="14"/>
              </w:rPr>
              <w:t xml:space="preserve">Una sesión de 45 minutos es suficiente para elegir el paquete de arranque.</w:t>
            </w:r>
          </w:p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[Nombre de tu Empresa]  ·  [Nombre del ejecutivo]  ·  [correo]  ·  [teléfono]</w:t>
            </w:r>
          </w:p>
        </w:tc>
      </w:tr>
    </w:tbl>
    <w:sectPr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Onesheet - Servicios Azure</dc:title>
  <dc:creator>Onesheet</dc:creator>
  <cp:lastModifiedBy>Un-named</cp:lastModifiedBy>
  <cp:revision>1</cp:revision>
  <dcterms:created xsi:type="dcterms:W3CDTF">2026-07-13T04:41:55.891Z</dcterms:created>
  <dcterms:modified xsi:type="dcterms:W3CDTF">2026-07-13T04:41:55.891Z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