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40"/>
          <w:szCs w:val="40"/>
        </w:rPr>
        <w:t xml:space="preserve">Análisis Arquitectónico y</w:t>
      </w:r>
    </w:p>
    <w:p>
      <w:pPr>
        <w:spacing w:after="200"/>
        <w:jc w:val="center"/>
      </w:pPr>
      <w:r>
        <w:rPr>
          <w:b/>
          <w:bCs/>
          <w:color w:val="1F4E79"/>
          <w:sz w:val="40"/>
          <w:szCs w:val="40"/>
        </w:rPr>
        <w:t xml:space="preserve">Recomendaciones de Mejora</w:t>
      </w:r>
    </w:p>
    <w:p>
      <w:pPr>
        <w:spacing w:after="600"/>
        <w:jc w:val="center"/>
      </w:pPr>
      <w:r>
        <w:rPr>
          <w:b/>
          <w:bCs/>
          <w:color w:val="404040"/>
          <w:sz w:val="28"/>
          <w:szCs w:val="28"/>
        </w:rPr>
        <w:t xml:space="preserve">Infraestructura Azure — Central Pay (UAT)</w:t>
      </w:r>
    </w:p>
    <w:p>
      <w:pPr>
        <w:spacing w:after="200"/>
        <w:jc w:val="center"/>
      </w:pPr>
      <w:r>
        <w:rPr>
          <w:i/>
          <w:iCs/>
          <w:color w:val="606060"/>
          <w:sz w:val="22"/>
          <w:szCs w:val="22"/>
        </w:rPr>
        <w:t xml:space="preserve">Revisión de la Memoria Técnica original vs estado operativo actual,</w:t>
      </w:r>
    </w:p>
    <w:p>
      <w:pPr>
        <w:spacing w:after="200"/>
        <w:jc w:val="center"/>
      </w:pPr>
      <w:r>
        <w:rPr>
          <w:i/>
          <w:iCs/>
          <w:color w:val="606060"/>
          <w:sz w:val="22"/>
          <w:szCs w:val="22"/>
        </w:rPr>
        <w:t xml:space="preserve">con diagrama de arquitectura objetivo y plan de madurez</w:t>
      </w:r>
    </w:p>
    <w:p>
      <w:pPr>
        <w:spacing w:after="1000"/>
        <w:jc w:val="center"/>
      </w:pPr>
      <w:r>
        <w:rPr>
          <w:i/>
          <w:iCs/>
          <w:color w:val="808080"/>
          <w:sz w:val="18"/>
          <w:szCs w:val="18"/>
        </w:rPr>
        <w:t xml:space="preserve">Basado en: Memoria Técnica Azure Deploy (Bicentel/C3NTRO) + datos de costos Dic 2025 – Jun 2026</w:t>
      </w:r>
    </w:p>
    <w:p>
      <w:r>
        <w:br w:type="page"/>
      </w:r>
    </w:p>
    <w:p>
      <w:pPr>
        <w:pStyle w:val="Heading1"/>
        <w:spacing w:after="200" w:before="360"/>
      </w:pPr>
      <w:r>
        <w:t xml:space="preserve">1. Resumen Ejecutivo</w:t>
      </w:r>
    </w:p>
    <w:p>
      <w:pPr>
        <w:spacing w:after="120" w:line="300"/>
      </w:pPr>
      <w:r>
        <w:t xml:space="preserve">La Memoria Técnica entregada por Bicentel/C3NTRO documenta el despliegue inicial (diciembre 2024) de la infraestructura Azure para Central Pay: una pasarela de pagos integrada con dos proveedores regulados de transferencias en México (OPM y STP). El diseño original consta de 2 máquinas virtuales (una base de datos en Windows con SQL Server/MariaDB/IIS y un servidor web Linux con Apache/MySQL/PHP), un Azure Backup, una VPN Gateway sitio-a-sitio con dos túneles, y un Azure Firewall Basic.</w:t>
      </w:r>
    </w:p>
    <w:p>
      <w:pPr>
        <w:spacing w:after="120" w:line="300"/>
      </w:pPr>
      <w:r>
        <w:t xml:space="preserve">Al contrastar esa memoria con el estado real de la suscripción a junio 2026, se observan tres realidades:</w:t>
      </w:r>
    </w:p>
    <w:p>
      <w:pPr>
        <w:pStyle w:val="ListParagraph"/>
        <w:numPr>
          <w:ilvl w:val="0"/>
          <w:numId w:val="2"/>
        </w:numPr>
        <w:spacing w:after="80" w:line="280"/>
      </w:pPr>
      <w:r>
        <w:rPr>
          <w:b/>
          <w:bCs/>
        </w:rPr>
        <w:t xml:space="preserve">La infraestructura creció significativamente sin actualización documental: </w:t>
      </w:r>
      <w:r>
        <w:t xml:space="preserve">de 2 VMs documentadas hoy hay 7 VMs activas, y se agregó un Application Gateway con WAF en un Resource Group diferente ("wallets") que NO aparece en la memoria.</w:t>
      </w:r>
    </w:p>
    <w:p>
      <w:pPr>
        <w:pStyle w:val="ListParagraph"/>
        <w:numPr>
          <w:ilvl w:val="0"/>
          <w:numId w:val="2"/>
        </w:numPr>
        <w:spacing w:after="80" w:line="280"/>
      </w:pPr>
      <w:r>
        <w:rPr>
          <w:b/>
          <w:bCs/>
        </w:rPr>
        <w:t xml:space="preserve">El diseño original era razonable para su alcance, </w:t>
      </w:r>
      <w:r>
        <w:t xml:space="preserve">pero hoy presenta brechas de seguridad, gobernanza y operación que conviene cerrar antes de pasar el sistema a producción o de seguir escalándolo.</w:t>
      </w:r>
    </w:p>
    <w:p>
      <w:pPr>
        <w:pStyle w:val="ListParagraph"/>
        <w:numPr>
          <w:ilvl w:val="0"/>
          <w:numId w:val="2"/>
        </w:numPr>
        <w:spacing w:after="80" w:line="280"/>
      </w:pPr>
      <w:r>
        <w:rPr>
          <w:b/>
          <w:bCs/>
          <w:color w:val="C00000"/>
        </w:rPr>
        <w:t xml:space="preserve">Hay un problema documental crítico de seguridad: </w:t>
      </w:r>
      <w:r>
        <w:t xml:space="preserve">el propio PDF de la memoria contiene los PSK (claves precompartidas) de los túneles VPN en texto plano. Esto debe corregirse de inmediato.</w:t>
      </w:r>
    </w:p>
    <w:p>
      <w:pPr>
        <w:pStyle w:val="Heading2"/>
        <w:spacing w:after="160" w:before="280"/>
      </w:pPr>
      <w:r>
        <w:t xml:space="preserve">1.1 Qué quisieron implementar (intención original)</w:t>
      </w:r>
    </w:p>
    <w:p>
      <w:pPr>
        <w:spacing w:after="120" w:line="300"/>
      </w:pPr>
      <w:r>
        <w:t xml:space="preserve">El propósito documentado fue habilitar una infraestructura controlada en Azure South Central US donde correr los aplicativos de la pasarela de pagos de Central Pay, con conectividad segura sitio-a-sitio hacia dos proveedores externos (OPM: Operadora de Pagos Móviles de México, y STP: Sistema de Transferencias y Pagos), respaldos diarios, y una capa de filtrado de tráfico mediante Azure Firewall.</w:t>
      </w:r>
    </w:p>
    <w:p>
      <w:pPr>
        <w:pStyle w:val="Heading2"/>
        <w:spacing w:after="160" w:before="280"/>
      </w:pPr>
      <w:r>
        <w:t xml:space="preserve">1.2 Veredicto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F00" w:sz="6"/>
              <w:left w:val="single" w:color="BF6F00" w:sz="24"/>
              <w:bottom w:val="single" w:color="BF6F00" w:sz="6"/>
              <w:right w:val="single" w:color="BF6F00" w:sz="6"/>
            </w:tcBorders>
            <w:shd w:fill="FFF4E0" w:val="clear"/>
            <w:tcMar>
              <w:top w:type="dxa" w:w="160"/>
              <w:left w:type="dxa" w:w="200"/>
              <w:bottom w:type="dxa" w:w="160"/>
              <w:right w:type="dxa" w:w="200"/>
            </w:tcMar>
          </w:tcPr>
          <w:p>
            <w:pPr>
              <w:spacing w:after="100"/>
            </w:pPr>
            <w:r>
              <w:rPr>
                <w:b/>
                <w:bCs/>
                <w:color w:val="BF6F00"/>
                <w:sz w:val="22"/>
                <w:szCs w:val="22"/>
              </w:rPr>
              <w:t xml:space="preserve">El diseño inicial cumple su función básica, pero está sobre-simplificado para un sistema financiero regulado.</w:t>
            </w:r>
          </w:p>
          <w:p>
            <w:r>
              <w:rPr>
                <w:sz w:val="20"/>
                <w:szCs w:val="20"/>
              </w:rPr>
              <w:t xml:space="preserve">Una pasarela de pagos integrada con STP y OPM en México opera dentro de un marco regulatorio (CNBV, Banxico, lineamientos para Instituciones de Tecnología Financiera) que exige controles de seguridad, segregación de ambientes, gestión de secretos, alta disponibilidad y trazabilidad superiores a los que muestra la implementación documentada. La buena noticia es que la base es sólida y las mejoras pueden implementarse de forma incremental sin tirar lo construido.</w:t>
            </w:r>
          </w:p>
        </w:tc>
      </w:tr>
    </w:tbl>
    <w:p>
      <w:r>
        <w:br w:type="page"/>
      </w:r>
    </w:p>
    <w:p>
      <w:pPr>
        <w:pStyle w:val="Heading1"/>
        <w:spacing w:after="200" w:before="360"/>
      </w:pPr>
      <w:r>
        <w:t xml:space="preserve">2. ¿Qué se implementó? — Lectura de la Memoria Técnica</w:t>
      </w:r>
    </w:p>
    <w:p>
      <w:pPr>
        <w:pStyle w:val="Heading2"/>
        <w:spacing w:after="160" w:before="280"/>
      </w:pPr>
      <w:r>
        <w:t xml:space="preserve">2.1 Propósito del sistema</w:t>
      </w:r>
    </w:p>
    <w:p>
      <w:pPr>
        <w:spacing w:after="120" w:line="300"/>
      </w:pPr>
      <w:r>
        <w:t xml:space="preserve">Central Pay es una pasarela / procesador de pagos que necesita comunicarse con dos contrapartes financieras en México:</w:t>
      </w:r>
    </w:p>
    <w:p>
      <w:pPr>
        <w:pStyle w:val="ListParagraph"/>
        <w:numPr>
          <w:ilvl w:val="0"/>
          <w:numId w:val="2"/>
        </w:numPr>
        <w:spacing w:after="80" w:line="280"/>
      </w:pPr>
      <w:r>
        <w:rPr>
          <w:b/>
          <w:bCs/>
        </w:rPr>
        <w:t xml:space="preserve">STP (Sistema de Transferencias y Pagos): </w:t>
      </w:r>
      <w:r>
        <w:t xml:space="preserve">operador de transferencias SPEI en México, regulado por Banxico. Requiere túnel VPN dedicado y reglas estrictas de red.</w:t>
      </w:r>
    </w:p>
    <w:p>
      <w:pPr>
        <w:pStyle w:val="ListParagraph"/>
        <w:numPr>
          <w:ilvl w:val="0"/>
          <w:numId w:val="2"/>
        </w:numPr>
        <w:spacing w:after="80" w:line="280"/>
      </w:pPr>
      <w:r>
        <w:rPr>
          <w:b/>
          <w:bCs/>
        </w:rPr>
        <w:t xml:space="preserve">OPM (Operadora de Pagos Móviles de México): </w:t>
      </w:r>
      <w:r>
        <w:t xml:space="preserve">proveedor de servicios de pagos móviles. Requiere también túnel VPN dedicado.</w:t>
      </w:r>
    </w:p>
    <w:p>
      <w:pPr>
        <w:spacing w:after="120" w:line="300"/>
      </w:pPr>
      <w:r>
        <w:t xml:space="preserve">El sistema en Azure expone aplicaciones web (vmwebapp01 con Apache/PHP/MySQL en Ubuntu) y guarda transacciones en una base de datos (vmmariadb01 con SQL Server, MariaDB e IIS sobre Windows Server 2022). Ambas VMs originalmente sin IP pública directa, accedidas a través del firewall vía reglas DNAT.</w:t>
      </w:r>
    </w:p>
    <w:p>
      <w:pPr>
        <w:pStyle w:val="Heading2"/>
        <w:spacing w:after="160" w:before="280"/>
      </w:pPr>
      <w:r>
        <w:t xml:space="preserve">2.2 Componentes documentados en la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Componente</w:t>
            </w:r>
          </w:p>
        </w:tc>
        <w:tc>
          <w:tcPr>
            <w:tcW w:type="dxa" w:w="28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Recurso</w:t>
            </w:r>
          </w:p>
        </w:tc>
        <w:tc>
          <w:tcPr>
            <w:tcW w:type="dxa" w:w="436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Propósito documentado</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Suscripción Azure</w:t>
            </w:r>
          </w:p>
        </w:tc>
        <w:tc>
          <w:tcPr>
            <w:tcW w:type="dxa" w:w="2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Azure subscription 1 (5bd31629…)</w:t>
            </w:r>
          </w:p>
        </w:tc>
        <w:tc>
          <w:tcPr>
            <w:tcW w:type="dxa" w:w="43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Contenedor de los recursos</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Resource Group</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rg-cpay-uat</w:t>
            </w:r>
          </w:p>
        </w:tc>
        <w:tc>
          <w:tcPr>
            <w:tcW w:type="dxa" w:w="43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Agrupa todos los recursos del ambiente UAT</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VM 1 — Base de Datos</w:t>
            </w:r>
          </w:p>
        </w:tc>
        <w:tc>
          <w:tcPr>
            <w:tcW w:type="dxa" w:w="2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vmmariadb01 (Windows Server 2022)</w:t>
            </w:r>
          </w:p>
        </w:tc>
        <w:tc>
          <w:tcPr>
            <w:tcW w:type="dxa" w:w="43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SQL Server, MariaDB, IIS — IP privada 172.41.0.11</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VM 2 — Web/App</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vmwebapp01 (Ubuntu 24.04)</w:t>
            </w:r>
          </w:p>
        </w:tc>
        <w:tc>
          <w:tcPr>
            <w:tcW w:type="dxa" w:w="43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Apache, MySQL, PHP — IP privada 172.41.0.10</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Discos de datos</w:t>
            </w:r>
          </w:p>
        </w:tc>
        <w:tc>
          <w:tcPr>
            <w:tcW w:type="dxa" w:w="2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256 GB cada uno</w:t>
            </w:r>
          </w:p>
        </w:tc>
        <w:tc>
          <w:tcPr>
            <w:tcW w:type="dxa" w:w="43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Almacenamiento de aplicaciones y BD</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Backup</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Vault-cpay-uat</w:t>
            </w:r>
          </w:p>
        </w:tc>
        <w:tc>
          <w:tcPr>
            <w:tcW w:type="dxa" w:w="43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Respaldo diario 00:00, retención 30 días</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VPN Gateway</w:t>
            </w:r>
          </w:p>
        </w:tc>
        <w:tc>
          <w:tcPr>
            <w:tcW w:type="dxa" w:w="2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VNG-cpay-uat (SKU VpnGw1)</w:t>
            </w:r>
          </w:p>
        </w:tc>
        <w:tc>
          <w:tcPr>
            <w:tcW w:type="dxa" w:w="43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Gateway VPN basado en rutas, IP pública 52.171.210.64</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LNG 1 / LNG 2</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LNG-cpay-uat / LNG2-cpay-uat</w:t>
            </w:r>
          </w:p>
        </w:tc>
        <w:tc>
          <w:tcPr>
            <w:tcW w:type="dxa" w:w="43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Local Gateways hacia OPM y STP</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Conexiones</w:t>
            </w:r>
          </w:p>
        </w:tc>
        <w:tc>
          <w:tcPr>
            <w:tcW w:type="dxa" w:w="2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Connection-cpay-uat / Connection-stp-cpay-uat</w:t>
            </w:r>
          </w:p>
        </w:tc>
        <w:tc>
          <w:tcPr>
            <w:tcW w:type="dxa" w:w="43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Túneles IKEv2 a OPM y STP</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Azure Firewall</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FW-cpay-uat (SKU Basic)</w:t>
            </w:r>
          </w:p>
        </w:tc>
        <w:tc>
          <w:tcPr>
            <w:tcW w:type="dxa" w:w="43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Filtrado de tráfico, política Policy1-cpay-uat</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Tabla de rutas</w:t>
            </w:r>
          </w:p>
        </w:tc>
        <w:tc>
          <w:tcPr>
            <w:tcW w:type="dxa" w:w="2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Route-cpay-uat</w:t>
            </w:r>
          </w:p>
        </w:tc>
        <w:tc>
          <w:tcPr>
            <w:tcW w:type="dxa" w:w="43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Fuerza tráfico de las VMs a salir por el Firewall</w:t>
            </w:r>
          </w:p>
        </w:tc>
      </w:tr>
    </w:tbl>
    <w:p>
      <w:pPr>
        <w:pStyle w:val="Heading2"/>
        <w:spacing w:after="160" w:before="280"/>
      </w:pPr>
      <w:r>
        <w:t xml:space="preserve">2.3 Diseño de red planteado</w:t>
      </w:r>
    </w:p>
    <w:p>
      <w:pPr>
        <w:spacing w:after="120" w:line="300"/>
      </w:pPr>
      <w:r>
        <w:t xml:space="preserve">La memoria muestra un diseño donde:</w:t>
      </w:r>
    </w:p>
    <w:p>
      <w:pPr>
        <w:pStyle w:val="ListParagraph"/>
        <w:numPr>
          <w:ilvl w:val="0"/>
          <w:numId w:val="2"/>
        </w:numPr>
        <w:spacing w:after="80" w:line="280"/>
      </w:pPr>
      <w:r>
        <w:t xml:space="preserve">Las VMs viven en una subred privada (vnet-cpay-uat) sin IP pública directa.</w:t>
      </w:r>
    </w:p>
    <w:p>
      <w:pPr>
        <w:pStyle w:val="ListParagraph"/>
        <w:numPr>
          <w:ilvl w:val="0"/>
          <w:numId w:val="2"/>
        </w:numPr>
        <w:spacing w:after="80" w:line="280"/>
      </w:pPr>
      <w:r>
        <w:t xml:space="preserve">El acceso externo entra por el Firewall (IP pública 13.85.6.157) que hace DNAT a las VMs en puertos no estándar (3000→22, 3100→3389, 3300→80, 3400→443, 8443→8443).</w:t>
      </w:r>
    </w:p>
    <w:p>
      <w:pPr>
        <w:pStyle w:val="ListParagraph"/>
        <w:numPr>
          <w:ilvl w:val="0"/>
          <w:numId w:val="2"/>
        </w:numPr>
        <w:spacing w:after="80" w:line="280"/>
      </w:pPr>
      <w:r>
        <w:t xml:space="preserve">Una tabla de rutas (Route-cpay-uat) fuerza que TODO el tráfico saliente de las VMs (0.0.0.0/0) pase primero por la IP privada del Firewall (172.41.0.132), donde se aplican reglas de red y reglas de aplicación.</w:t>
      </w:r>
    </w:p>
    <w:p>
      <w:pPr>
        <w:pStyle w:val="ListParagraph"/>
        <w:numPr>
          <w:ilvl w:val="0"/>
          <w:numId w:val="2"/>
        </w:numPr>
        <w:spacing w:after="80" w:line="280"/>
      </w:pPr>
      <w:r>
        <w:t xml:space="preserve">La conectividad con los dos proveedores STP y OPM se hace mediante túneles IKEv2 Site-to-Site con cifrado PSK, terminados en el VPN Gateway VpnGw1.</w:t>
      </w:r>
    </w:p>
    <w:p>
      <w:pPr>
        <w:pStyle w:val="Heading2"/>
        <w:spacing w:after="160" w:before="280"/>
      </w:pPr>
      <w:r>
        <w:t xml:space="preserve">2.4 Lo que está bien diseñado (puntos 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6"/>
              <w:left w:val="single" w:color="548235" w:sz="24"/>
              <w:bottom w:val="single" w:color="548235" w:sz="6"/>
              <w:right w:val="single" w:color="548235" w:sz="6"/>
            </w:tcBorders>
            <w:shd w:fill="EFF6E5" w:val="clear"/>
            <w:tcMar>
              <w:top w:type="dxa" w:w="160"/>
              <w:left w:type="dxa" w:w="200"/>
              <w:bottom w:type="dxa" w:w="160"/>
              <w:right w:type="dxa" w:w="200"/>
            </w:tcMar>
          </w:tcPr>
          <w:p>
            <w:pPr>
              <w:spacing w:after="100"/>
            </w:pPr>
            <w:r>
              <w:rPr>
                <w:b/>
                <w:bCs/>
                <w:color w:val="548235"/>
                <w:sz w:val="22"/>
                <w:szCs w:val="22"/>
              </w:rPr>
              <w:t xml:space="preserve">Aspectos correctos de la implementación original</w:t>
            </w:r>
          </w:p>
          <w:p>
            <w:r>
              <w:rPr>
                <w:sz w:val="20"/>
                <w:szCs w:val="20"/>
              </w:rPr>
              <w:t xml:space="preserve">El diseño base sigue varias prácticas recomendadas de Azure: segregación de subredes (AzureFirewallSubnet, AzureFirewallManagementSubnet, GatewaySubnet, default), tabla de rutas forzando inspección del tráfico saliente por el Firewall, uso de IKEv2 sobre PSK para los túneles VPN, política única de firewall reusable (Policy1-cpay-uat), backup nativo con Azure Backup y retención definida (30 días). La arquitectura es coherente con el patrón hub-and-spoke simplificado.</w:t>
            </w:r>
          </w:p>
        </w:tc>
      </w:tr>
    </w:tbl>
    <w:p>
      <w:r>
        <w:br w:type="page"/>
      </w:r>
    </w:p>
    <w:p>
      <w:pPr>
        <w:pStyle w:val="Heading1"/>
        <w:spacing w:after="200" w:before="360"/>
      </w:pPr>
      <w:r>
        <w:t xml:space="preserve">3. Discrepancias entre la Memoria y el Estado Actual</w:t>
      </w:r>
    </w:p>
    <w:p>
      <w:pPr>
        <w:spacing w:after="120" w:line="300"/>
      </w:pPr>
      <w:r>
        <w:t xml:space="preserve">Al comparar la Memoria Técnica (diciembre 2024) con los datos de consumo y recursos observados entre diciembre 2025 y junio 2026, surgen diferencias importantes que indican que la infraestructura ha evolucionado sin actualización documental:</w:t>
      </w:r>
    </w:p>
    <w:p>
      <w:pPr>
        <w:pStyle w:val="Heading2"/>
        <w:spacing w:after="160" w:before="280"/>
      </w:pPr>
      <w:r>
        <w:t xml:space="preserve">3.1 Crecimiento de Máquinas Virtuales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3660"/>
      </w:tblGrid>
      <w:tr>
        <w:trPr>
          <w:tblHeader/>
        </w:trPr>
        <w:tc>
          <w:tcPr>
            <w:tcW w:type="dxa" w:w="18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VM</w:t>
            </w:r>
          </w:p>
        </w:tc>
        <w:tc>
          <w:tcPr>
            <w:tcW w:type="dxa" w:w="15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¿En memoria?</w:t>
            </w:r>
          </w:p>
        </w:tc>
        <w:tc>
          <w:tcPr>
            <w:tcW w:type="dxa" w:w="24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Estado actual</w:t>
            </w:r>
          </w:p>
        </w:tc>
        <w:tc>
          <w:tcPr>
            <w:tcW w:type="dxa" w:w="366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Comentario</w:t>
            </w:r>
          </w:p>
        </w:tc>
      </w:tr>
      <w:tr>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vmmariadb01</w:t>
            </w:r>
          </w:p>
        </w:tc>
        <w:tc>
          <w:tcPr>
            <w:tcW w:type="dxa" w:w="15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 Sí</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Activa, cambió SKU a D4ads v5</w:t>
            </w:r>
          </w:p>
        </w:tc>
        <w:tc>
          <w:tcPr>
            <w:tcW w:type="dxa" w:w="36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La memoria dice F4s; hoy corre D4ads v5</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vmwebapp01</w:t>
            </w:r>
          </w:p>
        </w:tc>
        <w:tc>
          <w:tcPr>
            <w:tcW w:type="dxa" w:w="15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 Sí</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 NO aparece en costos</w:t>
            </w:r>
          </w:p>
        </w:tc>
        <w:tc>
          <w:tcPr>
            <w:tcW w:type="dxa" w:w="36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Aparentemente eliminada o renombrada</w:t>
            </w:r>
          </w:p>
        </w:tc>
      </w:tr>
      <w:tr>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wmwebapp02</w:t>
            </w:r>
          </w:p>
        </w:tc>
        <w:tc>
          <w:tcPr>
            <w:tcW w:type="dxa" w:w="15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 No documentada</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Activa hasta enero 2026</w:t>
            </w:r>
          </w:p>
        </w:tc>
        <w:tc>
          <w:tcPr>
            <w:tcW w:type="dxa" w:w="36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Posible reemplazo de vmwebapp01</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vmwebapp03</w:t>
            </w:r>
          </w:p>
        </w:tc>
        <w:tc>
          <w:tcPr>
            <w:tcW w:type="dxa" w:w="15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 No documentada</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Activa</w:t>
            </w:r>
          </w:p>
        </w:tc>
        <w:tc>
          <w:tcPr>
            <w:tcW w:type="dxa" w:w="36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VM agregada después del diseño original</w:t>
            </w:r>
          </w:p>
        </w:tc>
      </w:tr>
      <w:tr>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vmwebapp04</w:t>
            </w:r>
          </w:p>
        </w:tc>
        <w:tc>
          <w:tcPr>
            <w:tcW w:type="dxa" w:w="15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 No documentada</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Activa</w:t>
            </w:r>
          </w:p>
        </w:tc>
        <w:tc>
          <w:tcPr>
            <w:tcW w:type="dxa" w:w="36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VM agregada después del diseño original</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wmwebapp05</w:t>
            </w:r>
          </w:p>
        </w:tc>
        <w:tc>
          <w:tcPr>
            <w:tcW w:type="dxa" w:w="15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 No documentada</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Activa</w:t>
            </w:r>
          </w:p>
        </w:tc>
        <w:tc>
          <w:tcPr>
            <w:tcW w:type="dxa" w:w="36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VM agregada después del diseño original</w:t>
            </w:r>
          </w:p>
        </w:tc>
      </w:tr>
      <w:tr>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kalpay</w:t>
            </w:r>
          </w:p>
        </w:tc>
        <w:tc>
          <w:tcPr>
            <w:tcW w:type="dxa" w:w="15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 No documentada</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Activa</w:t>
            </w:r>
          </w:p>
        </w:tc>
        <w:tc>
          <w:tcPr>
            <w:tcW w:type="dxa" w:w="36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VM con propósito no documentado</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cpay-dockge-1</w:t>
            </w:r>
          </w:p>
        </w:tc>
        <w:tc>
          <w:tcPr>
            <w:tcW w:type="dxa" w:w="15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 No documentada</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Activa (marzo 2026+)</w:t>
            </w:r>
          </w:p>
        </w:tc>
        <w:tc>
          <w:tcPr>
            <w:tcW w:type="dxa" w:w="36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Contenedores (Dockge), reciente</w:t>
            </w:r>
          </w:p>
        </w:tc>
      </w:tr>
    </w:tbl>
    <w:p>
      <w:pPr>
        <w:spacing w:after="120" w:line="300"/>
      </w:pPr>
      <w:r>
        <w:rPr>
          <w:b/>
          <w:bCs/>
        </w:rPr>
        <w:t xml:space="preserve">Implicación: </w:t>
      </w:r>
      <w:r>
        <w:t xml:space="preserve">el diseño documentado contemplaba 2 VMs; hoy hay 7. Esto significa que cualquier ingeniero nuevo que tome la operación lo hará SIN documentación actualizada de qué hace cada VM, qué puertos abre, qué dependencias tiene, ni en qué Resource Group debería estar.</w:t>
      </w:r>
    </w:p>
    <w:p>
      <w:pPr>
        <w:pStyle w:val="Heading2"/>
        <w:spacing w:after="160" w:before="280"/>
      </w:pPr>
      <w:r>
        <w:t xml:space="preserve">3.2 Componentes existentes NO documentados</w:t>
      </w:r>
    </w:p>
    <w:p>
      <w:pPr>
        <w:pStyle w:val="ListParagraph"/>
        <w:numPr>
          <w:ilvl w:val="0"/>
          <w:numId w:val="2"/>
        </w:numPr>
        <w:spacing w:after="80" w:line="280"/>
      </w:pPr>
      <w:r>
        <w:rPr>
          <w:i w:val="false"/>
          <w:iCs w:val="false"/>
        </w:rPr>
        <w:t xml:space="preserve">Application Gateway WAF (recurso </w:t>
      </w:r>
      <w:r>
        <w:t xml:space="preserve">waf</w:t>
      </w:r>
      <w:r>
        <w:rPr>
          <w:i w:val="false"/>
          <w:iCs w:val="false"/>
        </w:rPr>
        <w:t xml:space="preserve"> en RG </w:t>
      </w:r>
      <w:r>
        <w:t xml:space="preserve">wallets</w:t>
      </w:r>
      <w:r>
        <w:rPr>
          <w:b/>
          <w:bCs/>
        </w:rPr>
        <w:t xml:space="preserve">): </w:t>
      </w:r>
      <w:r>
        <w:t xml:space="preserve">este recurso es uno de los más caros de la suscripción (~$535/mes, ~$3,277 acumulados en 6 meses) y no aparece mencionado en la memoria técnica. Esto sugiere que se agregó después como medida de protección adicional para exposición web — pero sin documentar.</w:t>
      </w:r>
    </w:p>
    <w:p>
      <w:pPr>
        <w:pStyle w:val="ListParagraph"/>
        <w:numPr>
          <w:ilvl w:val="0"/>
          <w:numId w:val="2"/>
        </w:numPr>
        <w:spacing w:after="80" w:line="280"/>
      </w:pPr>
      <w:r>
        <w:rPr>
          <w:b/>
          <w:bCs/>
        </w:rPr>
        <w:t xml:space="preserve">Resource Group adicional "wallets": </w:t>
      </w:r>
      <w:r>
        <w:t xml:space="preserve">no documentado. Contiene el WAF, una Public IP propia y un workspace de Log Analytics (supervision-waf). Es decir, se levantó una arquitectura paralela.</w:t>
      </w:r>
    </w:p>
    <w:p>
      <w:pPr>
        <w:pStyle w:val="ListParagraph"/>
        <w:numPr>
          <w:ilvl w:val="0"/>
          <w:numId w:val="2"/>
        </w:numPr>
        <w:spacing w:after="80" w:line="280"/>
      </w:pPr>
      <w:r>
        <w:rPr>
          <w:b/>
          <w:bCs/>
        </w:rPr>
        <w:t xml:space="preserve">Resource Group "kalpay": </w:t>
      </w:r>
      <w:r>
        <w:t xml:space="preserve">no documentado. Contiene una VM kalpay, discos y snapshots. Propósito desconocido desde la memoria.</w:t>
      </w:r>
    </w:p>
    <w:p>
      <w:pPr>
        <w:pStyle w:val="ListParagraph"/>
        <w:numPr>
          <w:ilvl w:val="0"/>
          <w:numId w:val="2"/>
        </w:numPr>
        <w:spacing w:after="80" w:line="280"/>
      </w:pPr>
      <w:r>
        <w:rPr>
          <w:b/>
          <w:bCs/>
        </w:rPr>
        <w:t xml:space="preserve">Public IPs adicionales: </w:t>
      </w:r>
      <w:r>
        <w:t xml:space="preserve">kalpay-ip, kalpay-publicip, cpay-dockge-1-ip, pip-vnet-cpay-uat-southcentralus-default y default2 — varias parecen huérfanas o duplicadas.</w:t>
      </w:r>
    </w:p>
    <w:p>
      <w:pPr>
        <w:pStyle w:val="Heading2"/>
        <w:spacing w:after="160" w:before="280"/>
      </w:pPr>
      <w:r>
        <w:t xml:space="preserve">3.3 Incongruencias con la memoria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Aspecto</w:t>
            </w:r>
          </w:p>
        </w:tc>
        <w:tc>
          <w:tcPr>
            <w:tcW w:type="dxa" w:w="30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Memoria dice</w:t>
            </w:r>
          </w:p>
        </w:tc>
        <w:tc>
          <w:tcPr>
            <w:tcW w:type="dxa" w:w="396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Realidad actual</w:t>
            </w:r>
          </w:p>
        </w:tc>
      </w:tr>
      <w:tr>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IP pública de VMs</w:t>
            </w:r>
          </w:p>
        </w:tc>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N/A (todas privadas)</w:t>
            </w:r>
          </w:p>
        </w:tc>
        <w:tc>
          <w:tcPr>
            <w:tcW w:type="dxa" w:w="39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vmwebapp03, vmwebapp04 y vmwebapp05 tienen Public IP asignada</w:t>
            </w:r>
          </w:p>
        </w:tc>
      </w:tr>
      <w:tr>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Cantidad de VMs</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2 (vmmariadb01, vmwebapp01)</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7 VMs activas en distintos RGs</w:t>
            </w:r>
          </w:p>
        </w:tc>
      </w:tr>
      <w:tr>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Tráfico saliente</w:t>
            </w:r>
          </w:p>
        </w:tc>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Filtrado por Azure Firewall</w:t>
            </w:r>
          </w:p>
        </w:tc>
        <w:tc>
          <w:tcPr>
            <w:tcW w:type="dxa" w:w="39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Posiblemente roto: nuevas VMs y RGs podrían no estar en la tabla de rutas</w:t>
            </w:r>
          </w:p>
        </w:tc>
      </w:tr>
      <w:tr>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Capas de protección</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Sólo Azure Firewall</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Hoy también hay Application Gateway WAF (sin documentar la relación entre ambos)</w:t>
            </w:r>
          </w:p>
        </w:tc>
      </w:tr>
      <w:tr>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Versión del documento</w:t>
            </w:r>
          </w:p>
        </w:tc>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Diciembre 2024 (implícito)</w:t>
            </w:r>
          </w:p>
        </w:tc>
        <w:tc>
          <w:tcPr>
            <w:tcW w:type="dxa" w:w="39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No hay versión, ni control de cambios, ni revisión posterior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F00" w:sz="6"/>
              <w:left w:val="single" w:color="BF6F00" w:sz="24"/>
              <w:bottom w:val="single" w:color="BF6F00" w:sz="6"/>
              <w:right w:val="single" w:color="BF6F00" w:sz="6"/>
            </w:tcBorders>
            <w:shd w:fill="FFF4E0" w:val="clear"/>
            <w:tcMar>
              <w:top w:type="dxa" w:w="160"/>
              <w:left w:type="dxa" w:w="200"/>
              <w:bottom w:type="dxa" w:w="160"/>
              <w:right w:type="dxa" w:w="200"/>
            </w:tcMar>
          </w:tcPr>
          <w:p>
            <w:pPr>
              <w:spacing w:after="100"/>
            </w:pPr>
            <w:r>
              <w:rPr>
                <w:b/>
                <w:bCs/>
                <w:color w:val="BF6F00"/>
                <w:sz w:val="22"/>
                <w:szCs w:val="22"/>
              </w:rPr>
              <w:t xml:space="preserve">Riesgo operativo: deuda documental</w:t>
            </w:r>
          </w:p>
          <w:p>
            <w:r>
              <w:rPr>
                <w:sz w:val="20"/>
                <w:szCs w:val="20"/>
              </w:rPr>
              <w:t xml:space="preserve">Una pasarela de pagos integrada con SPEI (STP) y pagos móviles (OPM) no debería operar con documentación técnica desactualizada en 18+ meses. Si el responsable técnico actual deja la organización, el siguiente equipo enfrentará un "black box" — sabrán qué cuesta cada cosa, pero no qué hace ni por qué está ahí. Esta deuda documental debe regularizarse antes de continuar con nuevos despliegues.</w:t>
            </w:r>
          </w:p>
        </w:tc>
      </w:tr>
    </w:tbl>
    <w:p>
      <w:r>
        <w:br w:type="page"/>
      </w:r>
    </w:p>
    <w:p>
      <w:pPr>
        <w:pStyle w:val="Heading1"/>
        <w:spacing w:after="200" w:before="360"/>
      </w:pPr>
      <w:r>
        <w:t xml:space="preserve">4. Análisis Crítico — Seguridad y Diseño</w:t>
      </w:r>
    </w:p>
    <w:p>
      <w:pPr>
        <w:spacing w:after="120" w:line="300"/>
      </w:pPr>
      <w:r>
        <w:t xml:space="preserve">A continuación se presentan los hallazgos ordenados por severidad. Se identifica con 🔴 los que requieren acción inmediata, 🟠 los que requieren acción a corto plazo, y 🟡 los de mejora continua.</w:t>
      </w:r>
    </w:p>
    <w:p>
      <w:pPr>
        <w:pStyle w:val="Heading2"/>
        <w:spacing w:after="160" w:before="280"/>
      </w:pPr>
      <w:r>
        <w:t xml:space="preserve">4.1 🔴 Crítico — Secretos en texto plano en la memoria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24"/>
              <w:bottom w:val="single" w:color="C00000" w:sz="6"/>
              <w:right w:val="single" w:color="C00000" w:sz="6"/>
            </w:tcBorders>
            <w:shd w:fill="FCE4E4" w:val="clear"/>
            <w:tcMar>
              <w:top w:type="dxa" w:w="160"/>
              <w:left w:type="dxa" w:w="200"/>
              <w:bottom w:type="dxa" w:w="160"/>
              <w:right w:type="dxa" w:w="200"/>
            </w:tcMar>
          </w:tcPr>
          <w:p>
            <w:pPr>
              <w:spacing w:after="100"/>
            </w:pPr>
            <w:r>
              <w:rPr>
                <w:b/>
                <w:bCs/>
                <w:color w:val="C00000"/>
                <w:sz w:val="22"/>
                <w:szCs w:val="22"/>
              </w:rPr>
              <w:t xml:space="preserve">Hallazgo de seguridad documental urgente</w:t>
            </w:r>
          </w:p>
          <w:p>
            <w:r>
              <w:rPr>
                <w:sz w:val="20"/>
                <w:szCs w:val="20"/>
              </w:rPr>
              <w:t xml:space="preserve">La Memoria Técnica entregada (PDF que se está analizando) contiene los PSK (Pre-Shared Keys) de los dos túneles VPN — uno hacia OPM y otro hacia STP — escritos en texto plano dentro del documento. Esto significa que cualquier persona con acceso al PDF tiene las claves de cifrado de los túneles que conectan a la infraestructura con dos proveedores financieros regulados. Esto contraviene prácticas básicas de gestión de secretos y representa una exposición material en caso de filtración del documento.</w:t>
            </w:r>
          </w:p>
        </w:tc>
      </w:tr>
    </w:tbl>
    <w:p>
      <w:pPr>
        <w:pStyle w:val="Heading3"/>
        <w:spacing w:after="120" w:before="220"/>
      </w:pPr>
      <w:r>
        <w:t xml:space="preserve">Acción recomendada</w:t>
      </w:r>
    </w:p>
    <w:p>
      <w:pPr>
        <w:pStyle w:val="ListParagraph"/>
        <w:numPr>
          <w:ilvl w:val="0"/>
          <w:numId w:val="2"/>
        </w:numPr>
        <w:spacing w:after="80" w:line="280"/>
      </w:pPr>
      <w:r>
        <w:t xml:space="preserve">Rotar inmediatamente los dos PSK en coordinación con OPM y STP.</w:t>
      </w:r>
    </w:p>
    <w:p>
      <w:pPr>
        <w:pStyle w:val="ListParagraph"/>
        <w:numPr>
          <w:ilvl w:val="0"/>
          <w:numId w:val="2"/>
        </w:numPr>
        <w:spacing w:after="80" w:line="280"/>
      </w:pPr>
      <w:r>
        <w:t xml:space="preserve">Reemplazar la sección "PSK" del documento por una referencia: "Almacenado en Azure Key Vault: kv-cpay-uat / secret: vpn-psk-opm / vpn-psk-stp".</w:t>
      </w:r>
    </w:p>
    <w:p>
      <w:pPr>
        <w:pStyle w:val="ListParagraph"/>
        <w:numPr>
          <w:ilvl w:val="0"/>
          <w:numId w:val="2"/>
        </w:numPr>
        <w:spacing w:after="80" w:line="280"/>
      </w:pPr>
      <w:r>
        <w:t xml:space="preserve">Implementar Azure Key Vault con políticas de acceso (RBAC) y rotación periódica de secretos.</w:t>
      </w:r>
    </w:p>
    <w:p>
      <w:pPr>
        <w:pStyle w:val="ListParagraph"/>
        <w:numPr>
          <w:ilvl w:val="0"/>
          <w:numId w:val="2"/>
        </w:numPr>
        <w:spacing w:after="80" w:line="280"/>
      </w:pPr>
      <w:r>
        <w:t xml:space="preserve">Auditar quién ha tenido acceso a este PDF (cadena de custodia) y considerar notificación a los proveedores si aplica conforme a sus contratos.</w:t>
      </w:r>
    </w:p>
    <w:p>
      <w:pPr>
        <w:pStyle w:val="Heading2"/>
        <w:spacing w:after="160" w:before="280"/>
      </w:pPr>
      <w:r>
        <w:t xml:space="preserve">4.2 🔴 Crítico — Exposición directa de SSH y RDP a Internet</w:t>
      </w:r>
    </w:p>
    <w:p>
      <w:pPr>
        <w:spacing w:after="120" w:line="300"/>
      </w:pPr>
      <w:r>
        <w:t xml:space="preserve">Las reglas DNAT del Firewall publican el SSH de la VM Linux (puerto externo 3000 → interno 22) y el RDP de la VM Windows (puerto externo 3100 → interno 3389) directamente desde la IP pública del firewall hacia Internet. Cambiar el puerto externo no es seguridad — es "security through obscurity" — los escáneres de Internet probarán igual.</w:t>
      </w:r>
    </w:p>
    <w:p>
      <w:pPr>
        <w:pStyle w:val="Heading3"/>
        <w:spacing w:after="120" w:before="220"/>
      </w:pPr>
      <w:r>
        <w:t xml:space="preserve">Acción recomendada</w:t>
      </w:r>
    </w:p>
    <w:p>
      <w:pPr>
        <w:pStyle w:val="ListParagraph"/>
        <w:numPr>
          <w:ilvl w:val="0"/>
          <w:numId w:val="2"/>
        </w:numPr>
        <w:spacing w:after="80" w:line="280"/>
      </w:pPr>
      <w:r>
        <w:t xml:space="preserve">Eliminar las reglas DNAT que exponen SSH (3000) y RDP (3100) a *:* (cualquier origen).</w:t>
      </w:r>
    </w:p>
    <w:p>
      <w:pPr>
        <w:pStyle w:val="ListParagraph"/>
        <w:numPr>
          <w:ilvl w:val="0"/>
          <w:numId w:val="2"/>
        </w:numPr>
        <w:spacing w:after="80" w:line="280"/>
      </w:pPr>
      <w:r>
        <w:t xml:space="preserve">Implementar Azure Bastion (servicio gestionado para acceso SSH/RDP sin exponer puertos): costo aprox. $140/mes para SKU Basic, elimina ataques de fuerza bruta a SSH/RDP.</w:t>
      </w:r>
    </w:p>
    <w:p>
      <w:pPr>
        <w:pStyle w:val="ListParagraph"/>
        <w:numPr>
          <w:ilvl w:val="0"/>
          <w:numId w:val="2"/>
        </w:numPr>
        <w:spacing w:after="80" w:line="280"/>
      </w:pPr>
      <w:r>
        <w:t xml:space="preserve">Alternativa más económica: VPN Punto-a-Sitio (P2S) sobre el VPN Gateway existente para los administradores.</w:t>
      </w:r>
    </w:p>
    <w:p>
      <w:pPr>
        <w:pStyle w:val="ListParagraph"/>
        <w:numPr>
          <w:ilvl w:val="0"/>
          <w:numId w:val="2"/>
        </w:numPr>
        <w:spacing w:after="80" w:line="280"/>
      </w:pPr>
      <w:r>
        <w:t xml:space="preserve">Si por alguna razón se requiere exposición directa: restringir el origen (Source) a las IPs específicas de la oficina/administradores, NUNCA dejar en *.</w:t>
      </w:r>
    </w:p>
    <w:p>
      <w:pPr>
        <w:pStyle w:val="Heading2"/>
        <w:spacing w:after="160" w:before="280"/>
      </w:pPr>
      <w:r>
        <w:t xml:space="preserve">4.3 🔴 Crítico — Mezcla de roles en una sola VM</w:t>
      </w:r>
    </w:p>
    <w:p>
      <w:pPr>
        <w:spacing w:after="120" w:line="300"/>
      </w:pPr>
      <w:r>
        <w:t xml:space="preserve">La VM vmmariadb01 corre simultáneamente: SQL Server, MariaDB e IIS (Web Server) sobre Windows Server 2022. Esta es una violación del principio de separación de responsabilidades:</w:t>
      </w:r>
    </w:p>
    <w:p>
      <w:pPr>
        <w:pStyle w:val="ListParagraph"/>
        <w:numPr>
          <w:ilvl w:val="0"/>
          <w:numId w:val="2"/>
        </w:numPr>
        <w:spacing w:after="80" w:line="280"/>
      </w:pPr>
      <w:r>
        <w:t xml:space="preserve">Si IIS recibe una vulnerabilidad explotable, el atacante queda en el mismo host que las bases de datos.</w:t>
      </w:r>
    </w:p>
    <w:p>
      <w:pPr>
        <w:pStyle w:val="ListParagraph"/>
        <w:numPr>
          <w:ilvl w:val="0"/>
          <w:numId w:val="2"/>
        </w:numPr>
        <w:spacing w:after="80" w:line="280"/>
      </w:pPr>
      <w:r>
        <w:t xml:space="preserve">No se puede aplicar patching de BD sin afectar al Web Server.</w:t>
      </w:r>
    </w:p>
    <w:p>
      <w:pPr>
        <w:pStyle w:val="ListParagraph"/>
        <w:numPr>
          <w:ilvl w:val="0"/>
          <w:numId w:val="2"/>
        </w:numPr>
        <w:spacing w:after="80" w:line="280"/>
      </w:pPr>
      <w:r>
        <w:t xml:space="preserve">Los respaldos son del host completo, no granulares por servicio.</w:t>
      </w:r>
    </w:p>
    <w:p>
      <w:pPr>
        <w:pStyle w:val="ListParagraph"/>
        <w:numPr>
          <w:ilvl w:val="0"/>
          <w:numId w:val="2"/>
        </w:numPr>
        <w:spacing w:after="80" w:line="280"/>
      </w:pPr>
      <w:r>
        <w:t xml:space="preserve">Imposible escalar horizontalmente sólo el componente que lo necesite.</w:t>
      </w:r>
    </w:p>
    <w:p>
      <w:pPr>
        <w:pStyle w:val="Heading3"/>
        <w:spacing w:after="120" w:before="220"/>
      </w:pPr>
      <w:r>
        <w:t xml:space="preserve">Acción recomendada</w:t>
      </w:r>
    </w:p>
    <w:p>
      <w:pPr>
        <w:pStyle w:val="ListParagraph"/>
        <w:numPr>
          <w:ilvl w:val="0"/>
          <w:numId w:val="2"/>
        </w:numPr>
        <w:spacing w:after="80" w:line="280"/>
      </w:pPr>
      <w:r>
        <w:t xml:space="preserve">Separar BD y aplicaciones web en VMs distintas (o mejor: Azure Database for MariaDB / MySQL administrado para la BD).</w:t>
      </w:r>
    </w:p>
    <w:p>
      <w:pPr>
        <w:pStyle w:val="ListParagraph"/>
        <w:numPr>
          <w:ilvl w:val="0"/>
          <w:numId w:val="2"/>
        </w:numPr>
        <w:spacing w:after="80" w:line="280"/>
      </w:pPr>
      <w:r>
        <w:t xml:space="preserve">Para SQL Server, considerar Azure SQL Database (PaaS) o Azure SQL Managed Instance — eliminan la operación del motor y dan HA por defecto.</w:t>
      </w:r>
    </w:p>
    <w:p>
      <w:pPr>
        <w:pStyle w:val="ListParagraph"/>
        <w:numPr>
          <w:ilvl w:val="0"/>
          <w:numId w:val="2"/>
        </w:numPr>
        <w:spacing w:after="80" w:line="280"/>
      </w:pPr>
      <w:r>
        <w:t xml:space="preserve">Implementar progresivamente; no es necesario migrar todo en un solo paso.</w:t>
      </w:r>
    </w:p>
    <w:p>
      <w:pPr>
        <w:pStyle w:val="Heading2"/>
        <w:spacing w:after="160" w:before="280"/>
      </w:pPr>
      <w:r>
        <w:t xml:space="preserve">4.4 🟠 Alto — VPN sin redundancia para flujos financieros</w:t>
      </w:r>
    </w:p>
    <w:p>
      <w:pPr>
        <w:spacing w:after="120" w:line="300"/>
      </w:pPr>
      <w:r>
        <w:t xml:space="preserve">El VPN Gateway está desplegado en SKU VpnGw1 con un único túnel hacia cada proveedor. Para procesamiento de pagos con SPEI y pagos móviles, las mejores prácticas de la industria recomiendan:</w:t>
      </w:r>
    </w:p>
    <w:p>
      <w:pPr>
        <w:pStyle w:val="ListParagraph"/>
        <w:numPr>
          <w:ilvl w:val="0"/>
          <w:numId w:val="2"/>
        </w:numPr>
        <w:spacing w:after="80" w:line="280"/>
      </w:pPr>
      <w:r>
        <w:t xml:space="preserve">Túneles redundantes (Active-Active) por proveedor para tolerar fallas de un nodo del gateway o de un equipo en el proveedor.</w:t>
      </w:r>
    </w:p>
    <w:p>
      <w:pPr>
        <w:pStyle w:val="ListParagraph"/>
        <w:numPr>
          <w:ilvl w:val="0"/>
          <w:numId w:val="2"/>
        </w:numPr>
        <w:spacing w:after="80" w:line="280"/>
      </w:pPr>
      <w:r>
        <w:t xml:space="preserve">Considerar SKU VpnGw1AZ (Zone Redundant) que ofrece SLA de 99.95% vs 99.9% del actual.</w:t>
      </w:r>
    </w:p>
    <w:p>
      <w:pPr>
        <w:pStyle w:val="ListParagraph"/>
        <w:numPr>
          <w:ilvl w:val="0"/>
          <w:numId w:val="2"/>
        </w:numPr>
        <w:spacing w:after="80" w:line="280"/>
      </w:pPr>
      <w:r>
        <w:t xml:space="preserve">Para volúmenes importantes o requisitos de latencia más estrictos, evaluar ExpressRoute (conexión privada dedicada).</w:t>
      </w:r>
    </w:p>
    <w:p>
      <w:pPr>
        <w:pStyle w:val="ListParagraph"/>
        <w:numPr>
          <w:ilvl w:val="0"/>
          <w:numId w:val="2"/>
        </w:numPr>
        <w:spacing w:after="80" w:line="280"/>
      </w:pPr>
      <w:r>
        <w:t xml:space="preserve">Habilitar monitoreo proactivo del estado del túnel con Azure Monitor / Connection Monitor — alertas si un túnel se cae.</w:t>
      </w:r>
    </w:p>
    <w:p>
      <w:pPr>
        <w:pStyle w:val="Heading2"/>
        <w:spacing w:after="160" w:before="280"/>
      </w:pPr>
      <w:r>
        <w:t xml:space="preserve">4.5 🟠 Alto — Azure Firewall en SKU Basic para sistema financiero</w:t>
      </w:r>
    </w:p>
    <w:p>
      <w:pPr>
        <w:spacing w:after="120" w:line="300"/>
      </w:pPr>
      <w:r>
        <w:t xml:space="preserve">La memoria y el portal indican que se usa Azure Firewall SKU Basic. Este SKU está pensado para ambientes pequeños o SMB y tiene limitaciones importantes para una pasarela de pagos:</w:t>
      </w:r>
    </w:p>
    <w:p>
      <w:pPr>
        <w:pStyle w:val="ListParagraph"/>
        <w:numPr>
          <w:ilvl w:val="0"/>
          <w:numId w:val="2"/>
        </w:numPr>
        <w:spacing w:after="80" w:line="280"/>
      </w:pPr>
      <w:r>
        <w:t xml:space="preserve">Throughput limitado a ~250 Mbps.</w:t>
      </w:r>
    </w:p>
    <w:p>
      <w:pPr>
        <w:pStyle w:val="ListParagraph"/>
        <w:numPr>
          <w:ilvl w:val="0"/>
          <w:numId w:val="2"/>
        </w:numPr>
        <w:spacing w:after="80" w:line="280"/>
      </w:pPr>
      <w:r>
        <w:t xml:space="preserve">No soporta inspección TLS.</w:t>
      </w:r>
    </w:p>
    <w:p>
      <w:pPr>
        <w:pStyle w:val="ListParagraph"/>
        <w:numPr>
          <w:ilvl w:val="0"/>
          <w:numId w:val="2"/>
        </w:numPr>
        <w:spacing w:after="80" w:line="280"/>
      </w:pPr>
      <w:r>
        <w:t xml:space="preserve">No soporta IDPS (Intrusion Detection and Prevention System).</w:t>
      </w:r>
    </w:p>
    <w:p>
      <w:pPr>
        <w:pStyle w:val="ListParagraph"/>
        <w:numPr>
          <w:ilvl w:val="0"/>
          <w:numId w:val="2"/>
        </w:numPr>
        <w:spacing w:after="80" w:line="280"/>
      </w:pPr>
      <w:r>
        <w:t xml:space="preserve">No soporta Threat Intelligence-based filtering avanzado.</w:t>
      </w:r>
    </w:p>
    <w:p>
      <w:pPr>
        <w:pStyle w:val="ListParagraph"/>
        <w:numPr>
          <w:ilvl w:val="0"/>
          <w:numId w:val="2"/>
        </w:numPr>
        <w:spacing w:after="80" w:line="280"/>
      </w:pPr>
      <w:r>
        <w:t xml:space="preserve">SLA inferior al de los SKUs Standard/Premium.</w:t>
      </w:r>
    </w:p>
    <w:p>
      <w:pPr>
        <w:pStyle w:val="Heading3"/>
        <w:spacing w:after="120" w:before="220"/>
      </w:pPr>
      <w:r>
        <w:t xml:space="preserve">Acción recomendada</w:t>
      </w:r>
    </w:p>
    <w:p>
      <w:pPr>
        <w:pStyle w:val="ListParagraph"/>
        <w:numPr>
          <w:ilvl w:val="0"/>
          <w:numId w:val="2"/>
        </w:numPr>
        <w:spacing w:after="80" w:line="280"/>
      </w:pPr>
      <w:r>
        <w:t xml:space="preserve">Para UAT, Basic puede ser aceptable temporalmente; para producción, planear migración a Standard como mínimo, idealmente Premium si se requiere inspección TLS y IDPS (esperable en fintech).</w:t>
      </w:r>
    </w:p>
    <w:p>
      <w:pPr>
        <w:pStyle w:val="ListParagraph"/>
        <w:numPr>
          <w:ilvl w:val="0"/>
          <w:numId w:val="2"/>
        </w:numPr>
        <w:spacing w:after="80" w:line="280"/>
      </w:pPr>
      <w:r>
        <w:t xml:space="preserve">Documentar el análisis de gap entre el control actual y los controles requeridos por compliance (PCI-DSS si aplica, lineamientos CNBV, ISO 27001).</w:t>
      </w:r>
    </w:p>
    <w:p>
      <w:pPr>
        <w:pStyle w:val="Heading2"/>
        <w:spacing w:after="160" w:before="280"/>
      </w:pPr>
      <w:r>
        <w:t xml:space="preserve">4.6 🟠 Alto — Ausencia de segregación de ambientes</w:t>
      </w:r>
    </w:p>
    <w:p>
      <w:pPr>
        <w:spacing w:after="120" w:line="300"/>
      </w:pPr>
      <w:r>
        <w:t xml:space="preserve">Todo está en una sola suscripción ("Azure subscription 1") y predominantemente en un solo Resource Group (rg-cpay-uat). No hay separación clara entre Producción, UAT y Desarrollo. Para un sistema regulado esto es problemático porque:</w:t>
      </w:r>
    </w:p>
    <w:p>
      <w:pPr>
        <w:pStyle w:val="ListParagraph"/>
        <w:numPr>
          <w:ilvl w:val="0"/>
          <w:numId w:val="2"/>
        </w:numPr>
        <w:spacing w:after="80" w:line="280"/>
      </w:pPr>
      <w:r>
        <w:t xml:space="preserve">Un error de administración en UAT puede afectar producción si están mezclados.</w:t>
      </w:r>
    </w:p>
    <w:p>
      <w:pPr>
        <w:pStyle w:val="ListParagraph"/>
        <w:numPr>
          <w:ilvl w:val="0"/>
          <w:numId w:val="2"/>
        </w:numPr>
        <w:spacing w:after="80" w:line="280"/>
      </w:pPr>
      <w:r>
        <w:t xml:space="preserve">Auditorías de compliance esperan ver ambientes segregados.</w:t>
      </w:r>
    </w:p>
    <w:p>
      <w:pPr>
        <w:pStyle w:val="ListParagraph"/>
        <w:numPr>
          <w:ilvl w:val="0"/>
          <w:numId w:val="2"/>
        </w:numPr>
        <w:spacing w:after="80" w:line="280"/>
      </w:pPr>
      <w:r>
        <w:t xml:space="preserve">No se puede aplicar políticas de seguridad diferenciadas (más laxas en DEV, más estrictas en PROD).</w:t>
      </w:r>
    </w:p>
    <w:p>
      <w:pPr>
        <w:pStyle w:val="ListParagraph"/>
        <w:numPr>
          <w:ilvl w:val="0"/>
          <w:numId w:val="2"/>
        </w:numPr>
        <w:spacing w:after="80" w:line="280"/>
      </w:pPr>
      <w:r>
        <w:t xml:space="preserve">La gobernanza financiera (costos por ambiente) se vuelve confusa.</w:t>
      </w:r>
    </w:p>
    <w:p>
      <w:pPr>
        <w:pStyle w:val="Heading3"/>
        <w:spacing w:after="120" w:before="220"/>
      </w:pPr>
      <w:r>
        <w:t xml:space="preserve">Acción recomendada</w:t>
      </w:r>
    </w:p>
    <w:p>
      <w:pPr>
        <w:pStyle w:val="ListParagraph"/>
        <w:numPr>
          <w:ilvl w:val="0"/>
          <w:numId w:val="2"/>
        </w:numPr>
        <w:spacing w:after="80" w:line="280"/>
      </w:pPr>
      <w:r>
        <w:t xml:space="preserve">Crear suscripciones separadas: sub-cpay-prd, sub-cpay-uat, sub-cpay-dev — bajo un mismo Management Group.</w:t>
      </w:r>
    </w:p>
    <w:p>
      <w:pPr>
        <w:pStyle w:val="ListParagraph"/>
        <w:numPr>
          <w:ilvl w:val="0"/>
          <w:numId w:val="2"/>
        </w:numPr>
        <w:spacing w:after="80" w:line="280"/>
      </w:pPr>
      <w:r>
        <w:t xml:space="preserve">Aplicar Azure Policy diferenciada por ambiente (ej. impedir IPs públicas en PROD, exigir cifrado en reposo, etc.).</w:t>
      </w:r>
    </w:p>
    <w:p>
      <w:pPr>
        <w:pStyle w:val="ListParagraph"/>
        <w:numPr>
          <w:ilvl w:val="0"/>
          <w:numId w:val="2"/>
        </w:numPr>
        <w:spacing w:after="80" w:line="280"/>
      </w:pPr>
      <w:r>
        <w:t xml:space="preserve">Mantener la nomenclatura: rg-cpay-prd-network, rg-cpay-prd-compute, etc.</w:t>
      </w:r>
    </w:p>
    <w:p>
      <w:pPr>
        <w:pStyle w:val="Heading2"/>
        <w:spacing w:after="160" w:before="280"/>
      </w:pPr>
      <w:r>
        <w:t xml:space="preserve">4.7 🟡 Medio — Falta de gestión de identidad y acceso documentada</w:t>
      </w:r>
    </w:p>
    <w:p>
      <w:pPr>
        <w:pStyle w:val="ListParagraph"/>
        <w:numPr>
          <w:ilvl w:val="0"/>
          <w:numId w:val="2"/>
        </w:numPr>
        <w:spacing w:after="80" w:line="280"/>
      </w:pPr>
      <w:r>
        <w:t xml:space="preserve">La memoria menciona una sola cuenta de servicio (c3ntro@centralcpay.onmicrosoft.com) que administra todo. Esto es un anti-patrón: una cuenta compartida no permite trazabilidad individual.</w:t>
      </w:r>
    </w:p>
    <w:p>
      <w:pPr>
        <w:pStyle w:val="ListParagraph"/>
        <w:numPr>
          <w:ilvl w:val="0"/>
          <w:numId w:val="2"/>
        </w:numPr>
        <w:spacing w:after="80" w:line="280"/>
      </w:pPr>
      <w:r>
        <w:t xml:space="preserve">No se documenta uso de Azure AD Privileged Identity Management (PIM), MFA obligatorio, ni Conditional Access.</w:t>
      </w:r>
    </w:p>
    <w:p>
      <w:pPr>
        <w:pStyle w:val="ListParagraph"/>
        <w:numPr>
          <w:ilvl w:val="0"/>
          <w:numId w:val="2"/>
        </w:numPr>
        <w:spacing w:after="80" w:line="280"/>
      </w:pPr>
      <w:r>
        <w:t xml:space="preserve">Recomendación: implementar PIM con elevación temporal y MFA obligatoria para cualquier acceso al portal.</w:t>
      </w:r>
    </w:p>
    <w:p>
      <w:pPr>
        <w:pStyle w:val="Heading2"/>
        <w:spacing w:after="160" w:before="280"/>
      </w:pPr>
      <w:r>
        <w:t xml:space="preserve">4.8 🟡 Medio — Monitoreo y trazabilidad limitados</w:t>
      </w:r>
    </w:p>
    <w:p>
      <w:pPr>
        <w:pStyle w:val="ListParagraph"/>
        <w:numPr>
          <w:ilvl w:val="0"/>
          <w:numId w:val="2"/>
        </w:numPr>
        <w:spacing w:after="80" w:line="280"/>
      </w:pPr>
      <w:r>
        <w:t xml:space="preserve">Hay un workspace de Log Analytics (supervision-waf) pero el costo y los datos sugieren ingesta mínima (~$4/mes). Para un sistema financiero esto es muy poco.</w:t>
      </w:r>
    </w:p>
    <w:p>
      <w:pPr>
        <w:pStyle w:val="ListParagraph"/>
        <w:numPr>
          <w:ilvl w:val="0"/>
          <w:numId w:val="2"/>
        </w:numPr>
        <w:spacing w:after="80" w:line="280"/>
      </w:pPr>
      <w:r>
        <w:t xml:space="preserve">No se documentan alertas configuradas, dashboards operativos, ni envío de logs de Firewall y NSG a un SIEM.</w:t>
      </w:r>
    </w:p>
    <w:p>
      <w:pPr>
        <w:pStyle w:val="ListParagraph"/>
        <w:numPr>
          <w:ilvl w:val="0"/>
          <w:numId w:val="2"/>
        </w:numPr>
        <w:spacing w:after="80" w:line="280"/>
      </w:pPr>
      <w:r>
        <w:t xml:space="preserve">Recomendación: habilitar Diagnostic Settings en Firewall, VPN Gateway, NSGs y VMs enviando a Log Analytics; configurar alertas para eventos críticos (caída de túnel VPN, intentos de acceso fallidos, escalado anómalo de tráfico).</w:t>
      </w:r>
    </w:p>
    <w:p>
      <w:pPr>
        <w:pStyle w:val="Heading2"/>
        <w:spacing w:after="160" w:before="280"/>
      </w:pPr>
      <w:r>
        <w:t xml:space="preserve">4.9 🟡 Medio — Tabla de rutas posiblemente incompleta</w:t>
      </w:r>
    </w:p>
    <w:p>
      <w:pPr>
        <w:spacing w:after="120" w:line="300"/>
      </w:pPr>
      <w:r>
        <w:t xml:space="preserve">La memoria muestra Route-cpay-uat aplicada a la subred "default" de vnet-cpay-uat. Si las nuevas VMs (kalpay, cpay-dockge-1, etc.) viven en otras subredes o en otros vnets, podrían NO estar pasando por el firewall, anulando el control de tráfico saliente.</w:t>
      </w:r>
    </w:p>
    <w:p>
      <w:pPr>
        <w:pStyle w:val="Heading3"/>
        <w:spacing w:after="120" w:before="220"/>
      </w:pPr>
      <w:r>
        <w:t xml:space="preserve">Acción recomendada</w:t>
      </w:r>
    </w:p>
    <w:p>
      <w:pPr>
        <w:pStyle w:val="ListParagraph"/>
        <w:numPr>
          <w:ilvl w:val="0"/>
          <w:numId w:val="2"/>
        </w:numPr>
        <w:spacing w:after="80" w:line="280"/>
      </w:pPr>
      <w:r>
        <w:t xml:space="preserve">Auditar todas las subredes existentes y verificar que cada una tenga User Defined Route forzando 0.0.0.0/0 al Firewall.</w:t>
      </w:r>
    </w:p>
    <w:p>
      <w:pPr>
        <w:pStyle w:val="ListParagraph"/>
        <w:numPr>
          <w:ilvl w:val="0"/>
          <w:numId w:val="2"/>
        </w:numPr>
        <w:spacing w:after="80" w:line="280"/>
      </w:pPr>
      <w:r>
        <w:t xml:space="preserve">Validar con un test desde cada VM (curl ifconfig.me, por ejemplo) que la IP saliente sea la del Firewall.</w:t>
      </w:r>
    </w:p>
    <w:p>
      <w:pPr>
        <w:pStyle w:val="Heading2"/>
        <w:spacing w:after="160" w:before="280"/>
      </w:pPr>
      <w:r>
        <w:t xml:space="preserve">4.10 🟡 Medio — Etiquetado y gobierno débil</w:t>
      </w:r>
    </w:p>
    <w:p>
      <w:pPr>
        <w:pStyle w:val="ListParagraph"/>
        <w:numPr>
          <w:ilvl w:val="0"/>
          <w:numId w:val="2"/>
        </w:numPr>
        <w:spacing w:after="80" w:line="280"/>
      </w:pPr>
      <w:r>
        <w:t xml:space="preserve">Sólo se observa la etiqueta "Environment: UAT". Faltan etiquetas críticas: Owner, Application, CostCenter, DataClassification, Compliance.</w:t>
      </w:r>
    </w:p>
    <w:p>
      <w:pPr>
        <w:pStyle w:val="ListParagraph"/>
        <w:numPr>
          <w:ilvl w:val="0"/>
          <w:numId w:val="2"/>
        </w:numPr>
        <w:spacing w:after="80" w:line="280"/>
      </w:pPr>
      <w:r>
        <w:t xml:space="preserve">Sin tagging robusto, el reporting financiero (chargeback/showback) y la auditoría son imposibles a escala.</w:t>
      </w:r>
    </w:p>
    <w:p>
      <w:pPr>
        <w:pStyle w:val="ListParagraph"/>
        <w:numPr>
          <w:ilvl w:val="0"/>
          <w:numId w:val="2"/>
        </w:numPr>
        <w:spacing w:after="80" w:line="280"/>
      </w:pPr>
      <w:r>
        <w:t xml:space="preserve">Recomendación: definir un Tag Taxonomy (taxonomía de etiquetas) obligatoria y forzarla con Azure Policy.</w:t>
      </w:r>
    </w:p>
    <w:p>
      <w:r>
        <w:br w:type="page"/>
      </w:r>
    </w:p>
    <w:p>
      <w:pPr>
        <w:pStyle w:val="Heading1"/>
        <w:spacing w:after="200" w:before="360"/>
      </w:pPr>
      <w:r>
        <w:t xml:space="preserve">5. Recomendaciones de Mejora por Capa</w:t>
      </w:r>
    </w:p>
    <w:p>
      <w:pPr>
        <w:spacing w:after="120" w:line="300"/>
      </w:pPr>
      <w:r>
        <w:t xml:space="preserve">Para facilitar la priorización, las recomendaciones se agrupan por capa arquitectónica.</w:t>
      </w:r>
    </w:p>
    <w:p>
      <w:pPr>
        <w:pStyle w:val="Heading2"/>
        <w:spacing w:after="160" w:before="280"/>
      </w:pPr>
      <w:r>
        <w:t xml:space="preserve">5.1 Capa de Red y Seguridad Perimetral</w:t>
      </w:r>
    </w:p>
    <w:p>
      <w:pPr>
        <w:pStyle w:val="ListParagraph"/>
        <w:numPr>
          <w:ilvl w:val="0"/>
          <w:numId w:val="2"/>
        </w:numPr>
        <w:spacing w:after="80" w:line="280"/>
      </w:pPr>
      <w:r>
        <w:t xml:space="preserve">Documentar la relación entre Azure Firewall y Application Gateway WAF: ¿Front Door → WAF → Firewall → VMs? ¿O son rutas paralelas? Hoy no está claro.</w:t>
      </w:r>
    </w:p>
    <w:p>
      <w:pPr>
        <w:pStyle w:val="ListParagraph"/>
        <w:numPr>
          <w:ilvl w:val="0"/>
          <w:numId w:val="2"/>
        </w:numPr>
        <w:spacing w:after="80" w:line="280"/>
      </w:pPr>
      <w:r>
        <w:t xml:space="preserve">Implementar Azure Bastion (o VPN P2S) y eliminar los DNAT a SSH/RDP.</w:t>
      </w:r>
    </w:p>
    <w:p>
      <w:pPr>
        <w:pStyle w:val="ListParagraph"/>
        <w:numPr>
          <w:ilvl w:val="0"/>
          <w:numId w:val="2"/>
        </w:numPr>
        <w:spacing w:after="80" w:line="280"/>
      </w:pPr>
      <w:r>
        <w:t xml:space="preserve">Migrar Azure Firewall de Basic a Standard (o Premium en PROD), habilitar Threat Intelligence e IDPS.</w:t>
      </w:r>
    </w:p>
    <w:p>
      <w:pPr>
        <w:pStyle w:val="ListParagraph"/>
        <w:numPr>
          <w:ilvl w:val="0"/>
          <w:numId w:val="2"/>
        </w:numPr>
        <w:spacing w:after="80" w:line="280"/>
      </w:pPr>
      <w:r>
        <w:t xml:space="preserve">Configurar 2 túneles activos por proveedor (OPM y STP) — actualmente sólo hay uno.</w:t>
      </w:r>
    </w:p>
    <w:p>
      <w:pPr>
        <w:pStyle w:val="ListParagraph"/>
        <w:numPr>
          <w:ilvl w:val="0"/>
          <w:numId w:val="2"/>
        </w:numPr>
        <w:spacing w:after="80" w:line="280"/>
      </w:pPr>
      <w:r>
        <w:t xml:space="preserve">Habilitar DDoS Protection Standard para los Public IPs en producción.</w:t>
      </w:r>
    </w:p>
    <w:p>
      <w:pPr>
        <w:pStyle w:val="ListParagraph"/>
        <w:numPr>
          <w:ilvl w:val="0"/>
          <w:numId w:val="2"/>
        </w:numPr>
        <w:spacing w:after="80" w:line="280"/>
      </w:pPr>
      <w:r>
        <w:t xml:space="preserve">Implementar Network Watcher con Connection Monitor para los túneles VPN críticos.</w:t>
      </w:r>
    </w:p>
    <w:p>
      <w:pPr>
        <w:pStyle w:val="Heading2"/>
        <w:spacing w:after="160" w:before="280"/>
      </w:pPr>
      <w:r>
        <w:t xml:space="preserve">5.2 Capa de Cómputo</w:t>
      </w:r>
    </w:p>
    <w:p>
      <w:pPr>
        <w:pStyle w:val="ListParagraph"/>
        <w:numPr>
          <w:ilvl w:val="0"/>
          <w:numId w:val="2"/>
        </w:numPr>
        <w:spacing w:after="80" w:line="280"/>
      </w:pPr>
      <w:r>
        <w:t xml:space="preserve">Separar roles en VMs distintas (BD ≠ Web). Considerar mover BD a Azure SQL Database / Azure Database for MariaDB.</w:t>
      </w:r>
    </w:p>
    <w:p>
      <w:pPr>
        <w:pStyle w:val="ListParagraph"/>
        <w:numPr>
          <w:ilvl w:val="0"/>
          <w:numId w:val="2"/>
        </w:numPr>
        <w:spacing w:after="80" w:line="280"/>
      </w:pPr>
      <w:r>
        <w:t xml:space="preserve">Right-sizing trimestral con base en métricas reales de CPU/RAM.</w:t>
      </w:r>
    </w:p>
    <w:p>
      <w:pPr>
        <w:pStyle w:val="ListParagraph"/>
        <w:numPr>
          <w:ilvl w:val="0"/>
          <w:numId w:val="2"/>
        </w:numPr>
        <w:spacing w:after="80" w:line="280"/>
      </w:pPr>
      <w:r>
        <w:t xml:space="preserve">Estandarizar SKUs: hoy hay mezcla de F4s, F4s v2, D4ads v5, D2ads v7 — sin justificación documental.</w:t>
      </w:r>
    </w:p>
    <w:p>
      <w:pPr>
        <w:pStyle w:val="ListParagraph"/>
        <w:numPr>
          <w:ilvl w:val="0"/>
          <w:numId w:val="2"/>
        </w:numPr>
        <w:spacing w:after="80" w:line="280"/>
      </w:pPr>
      <w:r>
        <w:t xml:space="preserve">Para los aplicativos en contenedores (cpay-dockge-1) considerar migración a Azure Container Apps o AKS — menor costo operativo y autoscale nativo.</w:t>
      </w:r>
    </w:p>
    <w:p>
      <w:pPr>
        <w:pStyle w:val="ListParagraph"/>
        <w:numPr>
          <w:ilvl w:val="0"/>
          <w:numId w:val="2"/>
        </w:numPr>
        <w:spacing w:after="80" w:line="280"/>
      </w:pPr>
      <w:r>
        <w:t xml:space="preserve">Aplicar Azure Reserved Instances o Savings Plans a las VMs que deban quedar 24×7 (ahorra ~35%).</w:t>
      </w:r>
    </w:p>
    <w:p>
      <w:pPr>
        <w:pStyle w:val="Heading2"/>
        <w:spacing w:after="160" w:before="280"/>
      </w:pPr>
      <w:r>
        <w:t xml:space="preserve">5.3 Capa de Datos y Backups</w:t>
      </w:r>
    </w:p>
    <w:p>
      <w:pPr>
        <w:pStyle w:val="ListParagraph"/>
        <w:numPr>
          <w:ilvl w:val="0"/>
          <w:numId w:val="2"/>
        </w:numPr>
        <w:spacing w:after="80" w:line="280"/>
      </w:pPr>
      <w:r>
        <w:t xml:space="preserve">Validar que el backup de la BD sea consistente (application-consistent) y no sólo crash-consistent.</w:t>
      </w:r>
    </w:p>
    <w:p>
      <w:pPr>
        <w:pStyle w:val="ListParagraph"/>
        <w:numPr>
          <w:ilvl w:val="0"/>
          <w:numId w:val="2"/>
        </w:numPr>
        <w:spacing w:after="80" w:line="280"/>
      </w:pPr>
      <w:r>
        <w:t xml:space="preserve">Probar restauración periódicamente — un backup que no se restaura no es backup.</w:t>
      </w:r>
    </w:p>
    <w:p>
      <w:pPr>
        <w:pStyle w:val="ListParagraph"/>
        <w:numPr>
          <w:ilvl w:val="0"/>
          <w:numId w:val="2"/>
        </w:numPr>
        <w:spacing w:after="80" w:line="280"/>
      </w:pPr>
      <w:r>
        <w:t xml:space="preserve">Considerar Geo-Redundant Storage (GRS) para los backups críticos en producción.</w:t>
      </w:r>
    </w:p>
    <w:p>
      <w:pPr>
        <w:pStyle w:val="ListParagraph"/>
        <w:numPr>
          <w:ilvl w:val="0"/>
          <w:numId w:val="2"/>
        </w:numPr>
        <w:spacing w:after="80" w:line="280"/>
      </w:pPr>
      <w:r>
        <w:t xml:space="preserve">Definir y documentar RPO y RTO acordados con el negocio para cada componente.</w:t>
      </w:r>
    </w:p>
    <w:p>
      <w:pPr>
        <w:pStyle w:val="ListParagraph"/>
        <w:numPr>
          <w:ilvl w:val="0"/>
          <w:numId w:val="2"/>
        </w:numPr>
        <w:spacing w:after="80" w:line="280"/>
      </w:pPr>
      <w:r>
        <w:t xml:space="preserve">Política de retención por dato: transacciones de pago suelen requerir 5+ años (compliance), mientras que logs de aplicación pueden ser menos.</w:t>
      </w:r>
    </w:p>
    <w:p>
      <w:pPr>
        <w:pStyle w:val="Heading2"/>
        <w:spacing w:after="160" w:before="280"/>
      </w:pPr>
      <w:r>
        <w:t xml:space="preserve">5.4 Capa de Identidad y Acceso</w:t>
      </w:r>
    </w:p>
    <w:p>
      <w:pPr>
        <w:pStyle w:val="ListParagraph"/>
        <w:numPr>
          <w:ilvl w:val="0"/>
          <w:numId w:val="2"/>
        </w:numPr>
        <w:spacing w:after="80" w:line="280"/>
      </w:pPr>
      <w:r>
        <w:t xml:space="preserve">Migrar de cuenta compartida c3ntro@centralcpay.onmicrosoft.com a cuentas nominadas por persona.</w:t>
      </w:r>
    </w:p>
    <w:p>
      <w:pPr>
        <w:pStyle w:val="ListParagraph"/>
        <w:numPr>
          <w:ilvl w:val="0"/>
          <w:numId w:val="2"/>
        </w:numPr>
        <w:spacing w:after="80" w:line="280"/>
      </w:pPr>
      <w:r>
        <w:t xml:space="preserve">Implementar Azure AD PIM para roles privilegiados (Contributor, Owner) — acceso just-in-time.</w:t>
      </w:r>
    </w:p>
    <w:p>
      <w:pPr>
        <w:pStyle w:val="ListParagraph"/>
        <w:numPr>
          <w:ilvl w:val="0"/>
          <w:numId w:val="2"/>
        </w:numPr>
        <w:spacing w:after="80" w:line="280"/>
      </w:pPr>
      <w:r>
        <w:t xml:space="preserve">MFA obligatoria para todo acceso al portal de Azure.</w:t>
      </w:r>
    </w:p>
    <w:p>
      <w:pPr>
        <w:pStyle w:val="ListParagraph"/>
        <w:numPr>
          <w:ilvl w:val="0"/>
          <w:numId w:val="2"/>
        </w:numPr>
        <w:spacing w:after="80" w:line="280"/>
      </w:pPr>
      <w:r>
        <w:t xml:space="preserve">Definir RBAC granular: separar roles de Network Admin, VM Admin, Backup Operator, Security Reader.</w:t>
      </w:r>
    </w:p>
    <w:p>
      <w:pPr>
        <w:pStyle w:val="ListParagraph"/>
        <w:numPr>
          <w:ilvl w:val="0"/>
          <w:numId w:val="2"/>
        </w:numPr>
        <w:spacing w:after="80" w:line="280"/>
      </w:pPr>
      <w:r>
        <w:t xml:space="preserve">Auditoría: habilitar Azure AD Sign-in Logs y Audit Logs en Log Analytics.</w:t>
      </w:r>
    </w:p>
    <w:p>
      <w:pPr>
        <w:pStyle w:val="Heading2"/>
        <w:spacing w:after="160" w:before="280"/>
      </w:pPr>
      <w:r>
        <w:t xml:space="preserve">5.5 Capa de Secretos y Configuración</w:t>
      </w:r>
    </w:p>
    <w:p>
      <w:pPr>
        <w:pStyle w:val="ListParagraph"/>
        <w:numPr>
          <w:ilvl w:val="0"/>
          <w:numId w:val="2"/>
        </w:numPr>
        <w:spacing w:after="80" w:line="280"/>
      </w:pPr>
      <w:r>
        <w:t xml:space="preserve">Crear Azure Key Vault (kv-cpay-uat y kv-cpay-prd) y migrar TODOS los secretos: PSK de VPN, cadenas de conexión a BD, credenciales de servicios externos, certificados TLS.</w:t>
      </w:r>
    </w:p>
    <w:p>
      <w:pPr>
        <w:pStyle w:val="ListParagraph"/>
        <w:numPr>
          <w:ilvl w:val="0"/>
          <w:numId w:val="2"/>
        </w:numPr>
        <w:spacing w:after="80" w:line="280"/>
      </w:pPr>
      <w:r>
        <w:t xml:space="preserve">Reemplazar referencias en código y documentación por punteros al Key Vault.</w:t>
      </w:r>
    </w:p>
    <w:p>
      <w:pPr>
        <w:pStyle w:val="ListParagraph"/>
        <w:numPr>
          <w:ilvl w:val="0"/>
          <w:numId w:val="2"/>
        </w:numPr>
        <w:spacing w:after="80" w:line="280"/>
      </w:pPr>
      <w:r>
        <w:t xml:space="preserve">Habilitar Key Vault auditing y políticas de acceso granulares.</w:t>
      </w:r>
    </w:p>
    <w:p>
      <w:pPr>
        <w:pStyle w:val="ListParagraph"/>
        <w:numPr>
          <w:ilvl w:val="0"/>
          <w:numId w:val="2"/>
        </w:numPr>
        <w:spacing w:after="80" w:line="280"/>
      </w:pPr>
      <w:r>
        <w:t xml:space="preserve">Definir calendario de rotación de secretos (PSKs anuales como mínimo, secretos de servicio cada 90 días).</w:t>
      </w:r>
    </w:p>
    <w:p>
      <w:pPr>
        <w:pStyle w:val="Heading2"/>
        <w:spacing w:after="160" w:before="280"/>
      </w:pPr>
      <w:r>
        <w:t xml:space="preserve">5.6 Capa de Observabilidad</w:t>
      </w:r>
    </w:p>
    <w:p>
      <w:pPr>
        <w:pStyle w:val="ListParagraph"/>
        <w:numPr>
          <w:ilvl w:val="0"/>
          <w:numId w:val="2"/>
        </w:numPr>
        <w:spacing w:after="80" w:line="280"/>
      </w:pPr>
      <w:r>
        <w:t xml:space="preserve">Centralizar logs en Log Analytics: VMs (a través de Azure Monitor Agent), Firewall, VPN Gateway, Application Gateway, NSGs.</w:t>
      </w:r>
    </w:p>
    <w:p>
      <w:pPr>
        <w:pStyle w:val="ListParagraph"/>
        <w:numPr>
          <w:ilvl w:val="0"/>
          <w:numId w:val="2"/>
        </w:numPr>
        <w:spacing w:after="80" w:line="280"/>
      </w:pPr>
      <w:r>
        <w:t xml:space="preserve">Configurar alertas operativas: caída de túneles, CPU/RAM altas, fallos de backup, expiración de certificados.</w:t>
      </w:r>
    </w:p>
    <w:p>
      <w:pPr>
        <w:pStyle w:val="ListParagraph"/>
        <w:numPr>
          <w:ilvl w:val="0"/>
          <w:numId w:val="2"/>
        </w:numPr>
        <w:spacing w:after="80" w:line="280"/>
      </w:pPr>
      <w:r>
        <w:t xml:space="preserve">Implementar Application Insights en los aplicativos web para visibilidad end-to-end.</w:t>
      </w:r>
    </w:p>
    <w:p>
      <w:pPr>
        <w:pStyle w:val="ListParagraph"/>
        <w:numPr>
          <w:ilvl w:val="0"/>
          <w:numId w:val="2"/>
        </w:numPr>
        <w:spacing w:after="80" w:line="280"/>
      </w:pPr>
      <w:r>
        <w:t xml:space="preserve">Definir dashboards por audiencia: técnico (SREs), negocio (transacciones por minuto), financiero (consumo por servicio).</w:t>
      </w:r>
    </w:p>
    <w:p>
      <w:pPr>
        <w:pStyle w:val="Heading2"/>
        <w:spacing w:after="160" w:before="280"/>
      </w:pPr>
      <w:r>
        <w:t xml:space="preserve">5.7 Capa de Gobernanza y Cumplimiento</w:t>
      </w:r>
    </w:p>
    <w:p>
      <w:pPr>
        <w:pStyle w:val="ListParagraph"/>
        <w:numPr>
          <w:ilvl w:val="0"/>
          <w:numId w:val="2"/>
        </w:numPr>
        <w:spacing w:after="80" w:line="280"/>
      </w:pPr>
      <w:r>
        <w:t xml:space="preserve">Crear Management Group con sub-grupos por ambiente (PROD/UAT/DEV).</w:t>
      </w:r>
    </w:p>
    <w:p>
      <w:pPr>
        <w:pStyle w:val="ListParagraph"/>
        <w:numPr>
          <w:ilvl w:val="0"/>
          <w:numId w:val="2"/>
        </w:numPr>
        <w:spacing w:after="80" w:line="280"/>
      </w:pPr>
      <w:r>
        <w:t xml:space="preserve">Aplicar Azure Policy: tagging obligatorio, regiones permitidas, SKUs permitidos, cifrado en reposo, etc.</w:t>
      </w:r>
    </w:p>
    <w:p>
      <w:pPr>
        <w:pStyle w:val="ListParagraph"/>
        <w:numPr>
          <w:ilvl w:val="0"/>
          <w:numId w:val="2"/>
        </w:numPr>
        <w:spacing w:after="80" w:line="280"/>
      </w:pPr>
      <w:r>
        <w:t xml:space="preserve">Microsoft Defender for Cloud habilitado en plan Standard para todas las suscripciones — entrega evaluación continua de postura de seguridad y alertas de amenazas.</w:t>
      </w:r>
    </w:p>
    <w:p>
      <w:pPr>
        <w:pStyle w:val="ListParagraph"/>
        <w:numPr>
          <w:ilvl w:val="0"/>
          <w:numId w:val="2"/>
        </w:numPr>
        <w:spacing w:after="80" w:line="280"/>
      </w:pPr>
      <w:r>
        <w:t xml:space="preserve">Documentación viva: la memoria técnica debe versionarse en un repositorio (Git/Confluence) y actualizarse en cada cambio relevante. NUNCA contener secretos.</w:t>
      </w:r>
    </w:p>
    <w:p>
      <w:r>
        <w:br w:type="page"/>
      </w:r>
    </w:p>
    <w:p>
      <w:pPr>
        <w:pStyle w:val="Heading1"/>
        <w:spacing w:after="200" w:before="360"/>
      </w:pPr>
      <w:r>
        <w:t xml:space="preserve">6. Estado Recomendado — Arquitectura Objetivo</w:t>
      </w:r>
    </w:p>
    <w:p>
      <w:pPr>
        <w:spacing w:after="120" w:line="300"/>
      </w:pPr>
      <w:r>
        <w:t xml:space="preserve">Esta sección presenta el estado objetivo (target architecture) hacia el cual debería evolucionar la infraestructura de Central Pay. El diseño aplica las mejores prácticas identificadas en las secciones anteriores y se basa en el patrón Hub-and-Spoke recomendado por Microsoft para cargas empresariales reguladas.</w:t>
      </w:r>
    </w:p>
    <w:p>
      <w:pPr>
        <w:pStyle w:val="Heading2"/>
        <w:spacing w:after="160" w:before="280"/>
      </w:pPr>
      <w:r>
        <w:t xml:space="preserve">6.1 Diagrama de Arquitectura Objetivo</w:t>
      </w:r>
    </w:p>
    <w:p>
      <w:pPr>
        <w:spacing w:after="120" w:line="300"/>
      </w:pPr>
      <w:r>
        <w:t xml:space="preserve">El siguiente diagrama representa el estado objetivo completo. Se entrega en su propia página para mayor legibilidad:</w:t>
      </w:r>
    </w:p>
    <w:p>
      <w:pPr>
        <w:sectPr>
          <w:pgSz w:w="12240" w:h="15840" w:orient="portrait"/>
          <w:pgMar w:top="1440" w:right="1440" w:bottom="1440" w:left="1440" w:header="708" w:footer="708" w:gutter="0"/>
          <w:pgNumType/>
          <w:docGrid w:linePitch="360"/>
        </w:sectPr>
      </w:pPr>
    </w:p>
    <w:p>
      <w:pPr>
        <w:spacing w:after="200" w:before="100"/>
        <w:jc w:val="center"/>
      </w:pPr>
      <w:r>
        <w:rPr>
          <w:b/>
          <w:bCs/>
          <w:color w:val="1F4E79"/>
          <w:sz w:val="26"/>
          <w:szCs w:val="26"/>
        </w:rPr>
        <w:t xml:space="preserve">Figura 1 — Arquitectura Objetivo de Central Pay</w:t>
      </w:r>
    </w:p>
    <w:p>
      <w:pPr>
        <w:spacing w:after="100" w:before="100"/>
        <w:jc w:val="center"/>
      </w:pPr>
      <w:r>
        <w:drawing>
          <wp:inline distT="0" distB="0" distL="0" distR="0">
            <wp:extent cx="8572500"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6315075"/>
                    </a:xfrm>
                    <a:prstGeom prst="rect">
                      <a:avLst/>
                    </a:prstGeom>
                  </pic:spPr>
                </pic:pic>
              </a:graphicData>
            </a:graphic>
          </wp:inline>
        </w:drawing>
      </w:r>
    </w:p>
    <w:p>
      <w:pPr>
        <w:sectPr>
          <w:pgSz w:w="15840" w:h="12240" w:orient="landscape"/>
          <w:pgMar w:top="720" w:right="720" w:bottom="720" w:left="720" w:header="708" w:footer="708" w:gutter="0"/>
          <w:pgNumType/>
          <w:docGrid w:linePitch="360"/>
        </w:sectPr>
      </w:pPr>
    </w:p>
    <w:p>
      <w:pPr>
        <w:pStyle w:val="Heading2"/>
        <w:spacing w:after="160" w:before="280"/>
      </w:pPr>
      <w:r>
        <w:t xml:space="preserve">6.2 Lectura del Diagrama</w:t>
      </w:r>
    </w:p>
    <w:p>
      <w:pPr>
        <w:spacing w:after="120" w:line="300"/>
      </w:pPr>
      <w:r>
        <w:t xml:space="preserve">La arquitectura objetivo se organiza en cinco bloques:</w:t>
      </w:r>
    </w:p>
    <w:p>
      <w:pPr>
        <w:pStyle w:val="Heading3"/>
        <w:spacing w:after="120" w:before="220"/>
      </w:pPr>
      <w:r>
        <w:t xml:space="preserve">Management Group (mg-centralpay)</w:t>
      </w:r>
    </w:p>
    <w:p>
      <w:pPr>
        <w:spacing w:after="120" w:line="300"/>
      </w:pPr>
      <w:r>
        <w:t xml:space="preserve">Contenedor de nivel superior que agrupa todas las suscripciones bajo políticas comunes (Azure Policy, RBAC heredado, blueprints de gobernanza). Es donde se aplica el cumplimiento normativo y financiero de forma transversal.</w:t>
      </w:r>
    </w:p>
    <w:p>
      <w:pPr>
        <w:pStyle w:val="Heading3"/>
        <w:spacing w:after="120" w:before="220"/>
      </w:pPr>
      <w:r>
        <w:t xml:space="preserve">Suscripción Connectivity (Hub)</w:t>
      </w:r>
    </w:p>
    <w:p>
      <w:pPr>
        <w:spacing w:after="120" w:line="300"/>
      </w:pPr>
      <w:r>
        <w:t xml:space="preserve">Es la suscripción central que aloja todos los servicios de red compartidos. Sigue el patrón hub-and-spoke:</w:t>
      </w:r>
    </w:p>
    <w:p>
      <w:pPr>
        <w:pStyle w:val="ListParagraph"/>
        <w:numPr>
          <w:ilvl w:val="0"/>
          <w:numId w:val="2"/>
        </w:numPr>
        <w:spacing w:after="80" w:line="280"/>
      </w:pPr>
      <w:r>
        <w:t xml:space="preserve">Application Gateway WAF v2 — termina TLS y aplica reglas OWASP para tráfico HTTP/S público entrante.</w:t>
      </w:r>
    </w:p>
    <w:p>
      <w:pPr>
        <w:pStyle w:val="ListParagraph"/>
        <w:numPr>
          <w:ilvl w:val="0"/>
          <w:numId w:val="2"/>
        </w:numPr>
        <w:spacing w:after="80" w:line="280"/>
      </w:pPr>
      <w:r>
        <w:t xml:space="preserve">Azure Firewall (Premium en PROD, Standard en UAT) — inspecciona TODO el tráfico (norte-sur y este-oeste), aplica IDPS, TLS inspection y Threat Intelligence.</w:t>
      </w:r>
    </w:p>
    <w:p>
      <w:pPr>
        <w:pStyle w:val="ListParagraph"/>
        <w:numPr>
          <w:ilvl w:val="0"/>
          <w:numId w:val="2"/>
        </w:numPr>
        <w:spacing w:after="80" w:line="280"/>
      </w:pPr>
      <w:r>
        <w:t xml:space="preserve">VPN Gateway VpnGw1AZ Active-Active — dos túneles redundantes por cada proveedor (OPM, STP). Los PSK se leen desde Azure Key Vault (nunca de un documento).</w:t>
      </w:r>
    </w:p>
    <w:p>
      <w:pPr>
        <w:pStyle w:val="ListParagraph"/>
        <w:numPr>
          <w:ilvl w:val="0"/>
          <w:numId w:val="2"/>
        </w:numPr>
        <w:spacing w:after="80" w:line="280"/>
      </w:pPr>
      <w:r>
        <w:t xml:space="preserve">Azure Bastion — única vía de acceso administrativo a VMs vía SSH y RDP. Elimina la necesidad de DNAT y de IPs públicas en las VMs.</w:t>
      </w:r>
    </w:p>
    <w:p>
      <w:pPr>
        <w:pStyle w:val="ListParagraph"/>
        <w:numPr>
          <w:ilvl w:val="0"/>
          <w:numId w:val="2"/>
        </w:numPr>
        <w:spacing w:after="80" w:line="280"/>
      </w:pPr>
      <w:r>
        <w:t xml:space="preserve">DDoS Protection Standard y Private DNS Zones — soporte transversal a todos los spokes.</w:t>
      </w:r>
    </w:p>
    <w:p>
      <w:pPr>
        <w:pStyle w:val="ListParagraph"/>
        <w:numPr>
          <w:ilvl w:val="0"/>
          <w:numId w:val="2"/>
        </w:numPr>
        <w:spacing w:after="80" w:line="280"/>
      </w:pPr>
      <w:r>
        <w:t xml:space="preserve">Route Tables (UDRs) — fuerzan que todo el tráfico saliente de los spokes pase por el Firewall del Hub.</w:t>
      </w:r>
    </w:p>
    <w:p>
      <w:pPr>
        <w:pStyle w:val="Heading3"/>
        <w:spacing w:after="120" w:before="220"/>
      </w:pPr>
      <w:r>
        <w:t xml:space="preserve">Suscripción de Producción (sub-cpay-prd)</w:t>
      </w:r>
    </w:p>
    <w:p>
      <w:pPr>
        <w:spacing w:after="120" w:line="300"/>
      </w:pPr>
      <w:r>
        <w:t xml:space="preserve">Aloja la carga productiva en una arquitectura de tres capas claramente separadas:</w:t>
      </w:r>
    </w:p>
    <w:p>
      <w:pPr>
        <w:pStyle w:val="ListParagraph"/>
        <w:numPr>
          <w:ilvl w:val="0"/>
          <w:numId w:val="2"/>
        </w:numPr>
        <w:spacing w:after="80" w:line="280"/>
      </w:pPr>
      <w:r>
        <w:t xml:space="preserve">Web Tier (snet-web) — VMs escalables (VMSS) o Container Apps con Apache/Nginx. Sin IP pública, autoescalado por carga, Reserved Instances para la capacidad base.</w:t>
      </w:r>
    </w:p>
    <w:p>
      <w:pPr>
        <w:pStyle w:val="ListParagraph"/>
        <w:numPr>
          <w:ilvl w:val="0"/>
          <w:numId w:val="2"/>
        </w:numPr>
        <w:spacing w:after="80" w:line="280"/>
      </w:pPr>
      <w:r>
        <w:t xml:space="preserve">App Tier (snet-app) — microservicios y lógica de negocio en Azure Container Apps. Desacopla la capa web de los componentes de procesamiento de pagos.</w:t>
      </w:r>
    </w:p>
    <w:p>
      <w:pPr>
        <w:pStyle w:val="ListParagraph"/>
        <w:numPr>
          <w:ilvl w:val="0"/>
          <w:numId w:val="2"/>
        </w:numPr>
        <w:spacing w:after="80" w:line="280"/>
      </w:pPr>
      <w:r>
        <w:t xml:space="preserve">Data Tier (snet-data) — Azure SQL Database o Azure Database for MariaDB (servicio administrado), accesible sólo vía Private Endpoint. Geo-replicación a otra región para DR, backup automático con PITR (Point-In-Time Restore).</w:t>
      </w:r>
    </w:p>
    <w:p>
      <w:pPr>
        <w:pStyle w:val="Heading3"/>
        <w:spacing w:after="120" w:before="220"/>
      </w:pPr>
      <w:r>
        <w:t xml:space="preserve">Suscripción UAT (sub-cpay-uat)</w:t>
      </w:r>
    </w:p>
    <w:p>
      <w:pPr>
        <w:spacing w:after="120" w:line="300"/>
      </w:pPr>
      <w:r>
        <w:t xml:space="preserve">Réplica de la arquitectura de PROD pero con SKUs reducidos y políticas de costo agresivas:</w:t>
      </w:r>
    </w:p>
    <w:p>
      <w:pPr>
        <w:pStyle w:val="ListParagraph"/>
        <w:numPr>
          <w:ilvl w:val="0"/>
          <w:numId w:val="2"/>
        </w:numPr>
        <w:spacing w:after="80" w:line="280"/>
      </w:pPr>
      <w:r>
        <w:t xml:space="preserve">VMs en SKUs menores donde aplique.</w:t>
      </w:r>
    </w:p>
    <w:p>
      <w:pPr>
        <w:pStyle w:val="ListParagraph"/>
        <w:numPr>
          <w:ilvl w:val="0"/>
          <w:numId w:val="2"/>
        </w:numPr>
        <w:spacing w:after="80" w:line="280"/>
      </w:pPr>
      <w:r>
        <w:t xml:space="preserve">Apagado automático lunes a viernes a las 20:00 y todo el fin de semana — ahorro estimado ~70% sobre cómputo respecto a 24×7.</w:t>
      </w:r>
    </w:p>
    <w:p>
      <w:pPr>
        <w:pStyle w:val="ListParagraph"/>
        <w:numPr>
          <w:ilvl w:val="0"/>
          <w:numId w:val="2"/>
        </w:numPr>
        <w:spacing w:after="80" w:line="280"/>
      </w:pPr>
      <w:r>
        <w:t xml:space="preserve">Backup con LRS (no GRS) — menor costo.</w:t>
      </w:r>
    </w:p>
    <w:p>
      <w:pPr>
        <w:pStyle w:val="ListParagraph"/>
        <w:numPr>
          <w:ilvl w:val="0"/>
          <w:numId w:val="2"/>
        </w:numPr>
        <w:spacing w:after="80" w:line="280"/>
      </w:pPr>
      <w:r>
        <w:t xml:space="preserve">Sin DDoS Protection Standard.</w:t>
      </w:r>
    </w:p>
    <w:p>
      <w:pPr>
        <w:pStyle w:val="Heading3"/>
        <w:spacing w:after="120" w:before="220"/>
      </w:pPr>
      <w:r>
        <w:t xml:space="preserve">Suscripción DEV (sub-cpay-dev)</w:t>
      </w:r>
    </w:p>
    <w:p>
      <w:pPr>
        <w:spacing w:after="120" w:line="300"/>
      </w:pPr>
      <w:r>
        <w:t xml:space="preserve">Sandbox para desarrollo y pruebas. Sin datos productivos, políticas más laxas (pero MFA y RBAC siguen aplicando):</w:t>
      </w:r>
    </w:p>
    <w:p>
      <w:pPr>
        <w:pStyle w:val="ListParagraph"/>
        <w:numPr>
          <w:ilvl w:val="0"/>
          <w:numId w:val="2"/>
        </w:numPr>
        <w:spacing w:after="80" w:line="280"/>
      </w:pPr>
      <w:r>
        <w:t xml:space="preserve">VMs pequeñas, posibilidad de usar Spot VMs (descuento hasta 90%) para cargas no críticas.</w:t>
      </w:r>
    </w:p>
    <w:p>
      <w:pPr>
        <w:pStyle w:val="ListParagraph"/>
        <w:numPr>
          <w:ilvl w:val="0"/>
          <w:numId w:val="2"/>
        </w:numPr>
        <w:spacing w:after="80" w:line="280"/>
      </w:pPr>
      <w:r>
        <w:t xml:space="preserve">Pipelines de CI/CD (Azure DevOps o GitHub Actions) despliegan desde aquí a UAT y PROD.</w:t>
      </w:r>
    </w:p>
    <w:p>
      <w:pPr>
        <w:pStyle w:val="Heading3"/>
        <w:spacing w:after="120" w:before="220"/>
      </w:pPr>
      <w:r>
        <w:t xml:space="preserve">Suscripción Shared Services</w:t>
      </w:r>
    </w:p>
    <w:p>
      <w:pPr>
        <w:spacing w:after="120" w:line="300"/>
      </w:pPr>
      <w:r>
        <w:t xml:space="preserve">Centraliza servicios transversales que aplican a todos los ambientes:</w:t>
      </w:r>
    </w:p>
    <w:p>
      <w:pPr>
        <w:pStyle w:val="ListParagraph"/>
        <w:numPr>
          <w:ilvl w:val="0"/>
          <w:numId w:val="2"/>
        </w:numPr>
        <w:spacing w:after="80" w:line="280"/>
      </w:pPr>
      <w:r>
        <w:t xml:space="preserve">Azure Key Vault (kv-cpay-prd, kv-cpay-uat) — PSKs de VPN, cadenas de conexión a BD, certificados, credenciales. Acceso vía Managed Identity y RBAC. Rotación calendarizada.</w:t>
      </w:r>
    </w:p>
    <w:p>
      <w:pPr>
        <w:pStyle w:val="ListParagraph"/>
        <w:numPr>
          <w:ilvl w:val="0"/>
          <w:numId w:val="2"/>
        </w:numPr>
        <w:spacing w:after="80" w:line="280"/>
      </w:pPr>
      <w:r>
        <w:t xml:space="preserve">Log Analytics + Microsoft Sentinel — workspace central que ingiere logs de Firewall, WAF, NSG, VMs y Azure AD. Sentinel actúa como SIEM/SOAR para correlación y respuesta a incidentes.</w:t>
      </w:r>
    </w:p>
    <w:p>
      <w:pPr>
        <w:pStyle w:val="ListParagraph"/>
        <w:numPr>
          <w:ilvl w:val="0"/>
          <w:numId w:val="2"/>
        </w:numPr>
        <w:spacing w:after="80" w:line="280"/>
      </w:pPr>
      <w:r>
        <w:t xml:space="preserve">Entra ID + Privileged Identity Management (PIM) — identidades nominadas, MFA obligatoria, elevación de privilegios just-in-time, políticas de Conditional Access. Fin de la cuenta compartida c3ntro@.</w:t>
      </w:r>
    </w:p>
    <w:p>
      <w:pPr>
        <w:pStyle w:val="ListParagraph"/>
        <w:numPr>
          <w:ilvl w:val="0"/>
          <w:numId w:val="2"/>
        </w:numPr>
        <w:spacing w:after="80" w:line="280"/>
      </w:pPr>
      <w:r>
        <w:t xml:space="preserve">Backup Center + Azure Site Recovery — política unificada de backups con GRS en PROD y LRS en UAT. Pruebas de restauración periódicas. DR a otra región Azure.</w:t>
      </w:r>
    </w:p>
    <w:p>
      <w:pPr>
        <w:pStyle w:val="ListParagraph"/>
        <w:numPr>
          <w:ilvl w:val="0"/>
          <w:numId w:val="2"/>
        </w:numPr>
        <w:spacing w:after="80" w:line="280"/>
      </w:pPr>
      <w:r>
        <w:t xml:space="preserve">Gobernanza + FinOps — Azure Policy fuerza tagging y SKUs permitidos. Cost Management con presupuestos y alertas. Reserved Instances/Savings Plans. Microsoft Defender for Cloud para postura de seguridad continua.</w:t>
      </w:r>
    </w:p>
    <w:p>
      <w:pPr>
        <w:pStyle w:val="Heading2"/>
        <w:spacing w:after="160" w:before="280"/>
      </w:pPr>
      <w:r>
        <w:t xml:space="preserve">6.3 Comparativa Estado Actual vs Estado Objetivo</w:t>
      </w:r>
    </w:p>
    <w:p>
      <w:pPr>
        <w:spacing w:after="120" w:line="300"/>
      </w:pPr>
      <w:r>
        <w:t xml:space="preserve">La siguiente tabla resume las diferencias clave para facilitar la comunicación con stakeholders no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Dimensión</w:t>
            </w:r>
          </w:p>
        </w:tc>
        <w:tc>
          <w:tcPr>
            <w:tcW w:type="dxa" w:w="35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Estado Actual</w:t>
            </w:r>
          </w:p>
        </w:tc>
        <w:tc>
          <w:tcPr>
            <w:tcW w:type="dxa" w:w="366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r>
              <w:rPr>
                <w:b/>
                <w:bCs/>
                <w:color w:val="FFFFFF"/>
                <w:sz w:val="20"/>
                <w:szCs w:val="20"/>
              </w:rPr>
              <w:t xml:space="preserve">Estado Objetivo</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Organización</w:t>
            </w:r>
          </w:p>
        </w:tc>
        <w:tc>
          <w:tcPr>
            <w:tcW w:type="dxa" w:w="35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1 suscripción, 1 RG principal</w:t>
            </w:r>
          </w:p>
        </w:tc>
        <w:tc>
          <w:tcPr>
            <w:tcW w:type="dxa" w:w="36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Management Group + 4 suscripciones (Hub, PROD, UAT, DEV) + Shared Services</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Acceso administrativo</w:t>
            </w:r>
          </w:p>
        </w:tc>
        <w:tc>
          <w:tcPr>
            <w:tcW w:type="dxa" w:w="35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DNAT desde Internet a SSH:3000 y RDP:3100</w:t>
            </w:r>
          </w:p>
        </w:tc>
        <w:tc>
          <w:tcPr>
            <w:tcW w:type="dxa" w:w="36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Azure Bastion exclusivamente. Cero exposición de SSH/RDP</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Gestión de secretos</w:t>
            </w:r>
          </w:p>
        </w:tc>
        <w:tc>
          <w:tcPr>
            <w:tcW w:type="dxa" w:w="35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PSK en texto plano en PDF de la memoria</w:t>
            </w:r>
          </w:p>
        </w:tc>
        <w:tc>
          <w:tcPr>
            <w:tcW w:type="dxa" w:w="36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Azure Key Vault con Managed Identity, rotación calendarizada</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Capa de datos</w:t>
            </w:r>
          </w:p>
        </w:tc>
        <w:tc>
          <w:tcPr>
            <w:tcW w:type="dxa" w:w="35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BD en VM Windows junto con Web Server e IIS</w:t>
            </w:r>
          </w:p>
        </w:tc>
        <w:tc>
          <w:tcPr>
            <w:tcW w:type="dxa" w:w="36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Azure SQL DB / Database for MariaDB (PaaS) con Private Endpoint</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Capa web/app</w:t>
            </w:r>
          </w:p>
        </w:tc>
        <w:tc>
          <w:tcPr>
            <w:tcW w:type="dxa" w:w="35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Roles mezclados en VM única</w:t>
            </w:r>
          </w:p>
        </w:tc>
        <w:tc>
          <w:tcPr>
            <w:tcW w:type="dxa" w:w="36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Tiers separados: Web (VMSS/Container Apps), App (Container Apps), Data (PaaS)</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Firewall</w:t>
            </w:r>
          </w:p>
        </w:tc>
        <w:tc>
          <w:tcPr>
            <w:tcW w:type="dxa" w:w="35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Azure Firewall Basic (~250 Mbps, sin IDPS)</w:t>
            </w:r>
          </w:p>
        </w:tc>
        <w:tc>
          <w:tcPr>
            <w:tcW w:type="dxa" w:w="36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Azure Firewall Premium en PROD (IDPS + TLS inspection), Standard en UAT</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VPN</w:t>
            </w:r>
          </w:p>
        </w:tc>
        <w:tc>
          <w:tcPr>
            <w:tcW w:type="dxa" w:w="35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1 túnel por proveedor, SKU VpnGw1</w:t>
            </w:r>
          </w:p>
        </w:tc>
        <w:tc>
          <w:tcPr>
            <w:tcW w:type="dxa" w:w="36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2 túneles HA por proveedor, SKU VpnGw1AZ (zone redundant)</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Identidad</w:t>
            </w:r>
          </w:p>
        </w:tc>
        <w:tc>
          <w:tcPr>
            <w:tcW w:type="dxa" w:w="35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Cuenta compartida c3ntro@</w:t>
            </w:r>
          </w:p>
        </w:tc>
        <w:tc>
          <w:tcPr>
            <w:tcW w:type="dxa" w:w="36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Entra ID con cuentas nominadas, MFA, PIM, Conditional Access</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Observabilidad</w:t>
            </w:r>
          </w:p>
        </w:tc>
        <w:tc>
          <w:tcPr>
            <w:tcW w:type="dxa" w:w="35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Log Analytics con ingesta mínima (~$4/mes)</w:t>
            </w:r>
          </w:p>
        </w:tc>
        <w:tc>
          <w:tcPr>
            <w:tcW w:type="dxa" w:w="36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Log Analytics central + Microsoft Sentinel (SIEM/SOAR)</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Backup</w:t>
            </w:r>
          </w:p>
        </w:tc>
        <w:tc>
          <w:tcPr>
            <w:tcW w:type="dxa" w:w="35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Diario, retención 30 días, sin pruebas</w:t>
            </w:r>
          </w:p>
        </w:tc>
        <w:tc>
          <w:tcPr>
            <w:tcW w:type="dxa" w:w="36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Diario con políticas por ambiente, GRS en PROD, pruebas periódicas de restore, ASR para DR</w:t>
            </w:r>
          </w:p>
        </w:tc>
      </w:tr>
      <w:tr>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Gobernanza</w:t>
            </w:r>
          </w:p>
        </w:tc>
        <w:tc>
          <w:tcPr>
            <w:tcW w:type="dxa" w:w="35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Tagging mínimo (sólo Environment)</w:t>
            </w:r>
          </w:p>
        </w:tc>
        <w:tc>
          <w:tcPr>
            <w:tcW w:type="dxa" w:w="366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r>
              <w:rPr>
                <w:sz w:val="20"/>
                <w:szCs w:val="20"/>
              </w:rPr>
              <w:t xml:space="preserve">Azure Policy: tagging obligatorio + SKUs permitidos + Defender for Cloud</w:t>
            </w:r>
          </w:p>
        </w:tc>
      </w:tr>
      <w:tr>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Documentación</w:t>
            </w:r>
          </w:p>
        </w:tc>
        <w:tc>
          <w:tcPr>
            <w:tcW w:type="dxa" w:w="350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PDF estático 18+ meses sin actualizar</w:t>
            </w:r>
          </w:p>
        </w:tc>
        <w:tc>
          <w:tcPr>
            <w:tcW w:type="dxa" w:w="3660"/>
            <w:tcBorders>
              <w:top w:val="single" w:color="B0B0B0" w:sz="6"/>
              <w:left w:val="single" w:color="B0B0B0" w:sz="6"/>
              <w:bottom w:val="single" w:color="B0B0B0" w:sz="6"/>
              <w:right w:val="single" w:color="B0B0B0" w:sz="6"/>
            </w:tcBorders>
            <w:tcMar>
              <w:top w:type="dxa" w:w="100"/>
              <w:left w:type="dxa" w:w="140"/>
              <w:bottom w:type="dxa" w:w="100"/>
              <w:right w:type="dxa" w:w="140"/>
            </w:tcMar>
          </w:tcPr>
          <w:p>
            <w:r>
              <w:rPr>
                <w:sz w:val="20"/>
                <w:szCs w:val="20"/>
              </w:rPr>
              <w:t xml:space="preserve">Documentación viva en repositorio (Git/Confluence) con control de cambios</w:t>
            </w:r>
          </w:p>
        </w:tc>
      </w:tr>
    </w:tbl>
    <w:p>
      <w:pPr>
        <w:pStyle w:val="Heading2"/>
        <w:spacing w:after="160" w:before="280"/>
      </w:pPr>
      <w:r>
        <w:t xml:space="preserve">6.4 Beneficios esperados del estado objetivo</w:t>
      </w:r>
    </w:p>
    <w:p>
      <w:pPr>
        <w:pStyle w:val="ListParagraph"/>
        <w:numPr>
          <w:ilvl w:val="0"/>
          <w:numId w:val="2"/>
        </w:numPr>
        <w:spacing w:after="80" w:line="280"/>
      </w:pPr>
      <w:r>
        <w:rPr>
          <w:b/>
          <w:bCs/>
        </w:rPr>
        <w:t xml:space="preserve">Seguridad: </w:t>
      </w:r>
      <w:r>
        <w:t xml:space="preserve">elimina la exposición directa de SSH/RDP, centraliza secretos en Key Vault, habilita inspección profunda de tráfico (IDPS/TLS), añade SIEM con Sentinel para detección y respuesta.</w:t>
      </w:r>
    </w:p>
    <w:p>
      <w:pPr>
        <w:pStyle w:val="ListParagraph"/>
        <w:numPr>
          <w:ilvl w:val="0"/>
          <w:numId w:val="2"/>
        </w:numPr>
        <w:spacing w:after="80" w:line="280"/>
      </w:pPr>
      <w:r>
        <w:rPr>
          <w:b/>
          <w:bCs/>
        </w:rPr>
        <w:t xml:space="preserve">Cumplimiento: </w:t>
      </w:r>
      <w:r>
        <w:t xml:space="preserve">facilita auditorías de CNBV, ISO 27001 y PCI-DSS gracias a ambientes segregados, identidades nominadas, trazabilidad completa y postura medible con Defender for Cloud.</w:t>
      </w:r>
    </w:p>
    <w:p>
      <w:pPr>
        <w:pStyle w:val="ListParagraph"/>
        <w:numPr>
          <w:ilvl w:val="0"/>
          <w:numId w:val="2"/>
        </w:numPr>
        <w:spacing w:after="80" w:line="280"/>
      </w:pPr>
      <w:r>
        <w:rPr>
          <w:b/>
          <w:bCs/>
        </w:rPr>
        <w:t xml:space="preserve">Disponibilidad: </w:t>
      </w:r>
      <w:r>
        <w:t xml:space="preserve">VPN HA (99.95% SLA), BD administrada con HA por defecto, Geo-replicación a otra región, plan de DR validado.</w:t>
      </w:r>
    </w:p>
    <w:p>
      <w:pPr>
        <w:pStyle w:val="ListParagraph"/>
        <w:numPr>
          <w:ilvl w:val="0"/>
          <w:numId w:val="2"/>
        </w:numPr>
        <w:spacing w:after="80" w:line="280"/>
      </w:pPr>
      <w:r>
        <w:rPr>
          <w:b/>
          <w:bCs/>
        </w:rPr>
        <w:t xml:space="preserve">Costo: </w:t>
      </w:r>
      <w:r>
        <w:t xml:space="preserve">ambiente UAT con apagado automático (~70% ahorro en cómputo), Reserved Instances en PROD (~35% ahorro), Spot VMs en DEV (hasta 90% ahorro). Menos VMs gracias a servicios PaaS.</w:t>
      </w:r>
    </w:p>
    <w:p>
      <w:pPr>
        <w:pStyle w:val="ListParagraph"/>
        <w:numPr>
          <w:ilvl w:val="0"/>
          <w:numId w:val="2"/>
        </w:numPr>
        <w:spacing w:after="80" w:line="280"/>
      </w:pPr>
      <w:r>
        <w:rPr>
          <w:b/>
          <w:bCs/>
        </w:rPr>
        <w:t xml:space="preserve">Operación: </w:t>
      </w:r>
      <w:r>
        <w:t xml:space="preserve">menor carga operativa (PaaS), observabilidad centralizada, alertas proactivas, documentación viva. Nuevos ingenieros pueden incorporarse más rápido.</w:t>
      </w:r>
    </w:p>
    <w:p>
      <w:pPr>
        <w:pStyle w:val="Heading2"/>
        <w:spacing w:after="160" w:before="280"/>
      </w:pPr>
      <w:r>
        <w:t xml:space="preserve">6.5 Consideraciones para la transición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24"/>
              <w:bottom w:val="single" w:color="1F4E79" w:sz="6"/>
              <w:right w:val="single" w:color="1F4E79" w:sz="6"/>
            </w:tcBorders>
            <w:shd w:fill="E7EFF8" w:val="clear"/>
            <w:tcMar>
              <w:top w:type="dxa" w:w="160"/>
              <w:left w:type="dxa" w:w="200"/>
              <w:bottom w:type="dxa" w:w="160"/>
              <w:right w:type="dxa" w:w="200"/>
            </w:tcMar>
          </w:tcPr>
          <w:p>
            <w:pPr>
              <w:spacing w:after="100"/>
            </w:pPr>
            <w:r>
              <w:rPr>
                <w:b/>
                <w:bCs/>
                <w:color w:val="1F4E79"/>
                <w:sz w:val="22"/>
                <w:szCs w:val="22"/>
              </w:rPr>
              <w:t xml:space="preserve">Esta es una arquitectura objetivo, no un proyecto único</w:t>
            </w:r>
          </w:p>
          <w:p>
            <w:r>
              <w:rPr>
                <w:sz w:val="20"/>
                <w:szCs w:val="20"/>
              </w:rPr>
              <w:t xml:space="preserve">El paso de la arquitectura actual al estado objetivo NO debe ser un proyecto big-bang. La sección 7 (Plan de Madurez) presenta el camino incremental sugerido, en 4 fases. Cada fase entrega valor por separado y puede pausarse o ajustarse según los recursos disponibles. Lo importante es empezar por las acciones críticas de seguridad (Fase 0) en las próximas semanas.</w:t>
            </w:r>
          </w:p>
        </w:tc>
      </w:tr>
    </w:tbl>
    <w:p>
      <w:r>
        <w:br w:type="page"/>
      </w:r>
    </w:p>
    <w:p>
      <w:pPr>
        <w:pStyle w:val="Heading1"/>
        <w:spacing w:after="200" w:before="360"/>
      </w:pPr>
      <w:r>
        <w:t xml:space="preserve">7. Plan de Madurez Sugerido</w:t>
      </w:r>
    </w:p>
    <w:p>
      <w:pPr>
        <w:spacing w:after="120" w:line="300"/>
      </w:pPr>
      <w:r>
        <w:t xml:space="preserve">Las mejoras se agrupan en fases progresivas para no afectar la operación. Cada fase entrega valor por sí misma.</w:t>
      </w:r>
    </w:p>
    <w:p>
      <w:pPr>
        <w:pStyle w:val="Heading2"/>
        <w:spacing w:after="160" w:before="280"/>
      </w:pPr>
      <w:r>
        <w:t xml:space="preserve">Fase 0 — Acciones inmediatas (esta semana)</w:t>
      </w:r>
    </w:p>
    <w:p>
      <w:pPr>
        <w:pStyle w:val="ListParagraph"/>
        <w:numPr>
          <w:ilvl w:val="0"/>
          <w:numId w:val="2"/>
        </w:numPr>
        <w:spacing w:after="80" w:line="280"/>
      </w:pPr>
      <w:r>
        <w:t xml:space="preserve">🔴 Rotar PSKs de VPN en coordinación con OPM y STP.</w:t>
      </w:r>
    </w:p>
    <w:p>
      <w:pPr>
        <w:pStyle w:val="ListParagraph"/>
        <w:numPr>
          <w:ilvl w:val="0"/>
          <w:numId w:val="2"/>
        </w:numPr>
        <w:spacing w:after="80" w:line="280"/>
      </w:pPr>
      <w:r>
        <w:t xml:space="preserve">🔴 Eliminar reglas DNAT 3000 (SSH) y 3100 (RDP) o restringirlas por IP origen.</w:t>
      </w:r>
    </w:p>
    <w:p>
      <w:pPr>
        <w:pStyle w:val="ListParagraph"/>
        <w:numPr>
          <w:ilvl w:val="0"/>
          <w:numId w:val="2"/>
        </w:numPr>
        <w:spacing w:after="80" w:line="280"/>
      </w:pPr>
      <w:r>
        <w:t xml:space="preserve">🔴 Reemplazar la sección de PSKs en la Memoria Técnica por referencia a Key Vault.</w:t>
      </w:r>
    </w:p>
    <w:p>
      <w:pPr>
        <w:pStyle w:val="ListParagraph"/>
        <w:numPr>
          <w:ilvl w:val="0"/>
          <w:numId w:val="2"/>
        </w:numPr>
        <w:spacing w:after="80" w:line="280"/>
      </w:pPr>
      <w:r>
        <w:t xml:space="preserve">🔴 Auditar Tabla de Rutas: verificar que todas las VMs nuevas estén pasando por el Firewall.</w:t>
      </w:r>
    </w:p>
    <w:p>
      <w:pPr>
        <w:pStyle w:val="Heading2"/>
        <w:spacing w:after="160" w:before="280"/>
      </w:pPr>
      <w:r>
        <w:t xml:space="preserve">Fase 1 — Higiene operativa (primer mes)</w:t>
      </w:r>
    </w:p>
    <w:p>
      <w:pPr>
        <w:pStyle w:val="ListParagraph"/>
        <w:numPr>
          <w:ilvl w:val="0"/>
          <w:numId w:val="2"/>
        </w:numPr>
        <w:spacing w:after="80" w:line="280"/>
      </w:pPr>
      <w:r>
        <w:t xml:space="preserve">Habilitar Azure Bastion para acceso administrativo a VMs.</w:t>
      </w:r>
    </w:p>
    <w:p>
      <w:pPr>
        <w:pStyle w:val="ListParagraph"/>
        <w:numPr>
          <w:ilvl w:val="0"/>
          <w:numId w:val="2"/>
        </w:numPr>
        <w:spacing w:after="80" w:line="280"/>
      </w:pPr>
      <w:r>
        <w:t xml:space="preserve">Crear Azure Key Vault y migrar secretos existentes.</w:t>
      </w:r>
    </w:p>
    <w:p>
      <w:pPr>
        <w:pStyle w:val="ListParagraph"/>
        <w:numPr>
          <w:ilvl w:val="0"/>
          <w:numId w:val="2"/>
        </w:numPr>
        <w:spacing w:after="80" w:line="280"/>
      </w:pPr>
      <w:r>
        <w:t xml:space="preserve">Activar Microsoft Defender for Cloud (plan Standard) — gratis para evaluación inicial.</w:t>
      </w:r>
    </w:p>
    <w:p>
      <w:pPr>
        <w:pStyle w:val="ListParagraph"/>
        <w:numPr>
          <w:ilvl w:val="0"/>
          <w:numId w:val="2"/>
        </w:numPr>
        <w:spacing w:after="80" w:line="280"/>
      </w:pPr>
      <w:r>
        <w:t xml:space="preserve">Implementar tagging completo (Owner, Application, CostCenter, DataClassification).</w:t>
      </w:r>
    </w:p>
    <w:p>
      <w:pPr>
        <w:pStyle w:val="ListParagraph"/>
        <w:numPr>
          <w:ilvl w:val="0"/>
          <w:numId w:val="2"/>
        </w:numPr>
        <w:spacing w:after="80" w:line="280"/>
      </w:pPr>
      <w:r>
        <w:t xml:space="preserve">Configurar alertas básicas: estado de túneles VPN, fallos de backup, CPU&gt;85% sostenido.</w:t>
      </w:r>
    </w:p>
    <w:p>
      <w:pPr>
        <w:pStyle w:val="ListParagraph"/>
        <w:numPr>
          <w:ilvl w:val="0"/>
          <w:numId w:val="2"/>
        </w:numPr>
        <w:spacing w:after="80" w:line="280"/>
      </w:pPr>
      <w:r>
        <w:t xml:space="preserve">Documentar (en versión 2 de la Memoria Técnica) todas las VMs y RGs existentes, no sólo los originales.</w:t>
      </w:r>
    </w:p>
    <w:p>
      <w:pPr>
        <w:pStyle w:val="Heading2"/>
        <w:spacing w:after="160" w:before="280"/>
      </w:pPr>
      <w:r>
        <w:t xml:space="preserve">Fase 2 — Fortalecimiento de seguridad (mes 2-3)</w:t>
      </w:r>
    </w:p>
    <w:p>
      <w:pPr>
        <w:pStyle w:val="ListParagraph"/>
        <w:numPr>
          <w:ilvl w:val="0"/>
          <w:numId w:val="2"/>
        </w:numPr>
        <w:spacing w:after="80" w:line="280"/>
      </w:pPr>
      <w:r>
        <w:t xml:space="preserve">Migrar Azure Firewall a SKU Standard; evaluar Premium para producción.</w:t>
      </w:r>
    </w:p>
    <w:p>
      <w:pPr>
        <w:pStyle w:val="ListParagraph"/>
        <w:numPr>
          <w:ilvl w:val="0"/>
          <w:numId w:val="2"/>
        </w:numPr>
        <w:spacing w:after="80" w:line="280"/>
      </w:pPr>
      <w:r>
        <w:t xml:space="preserve">Implementar segundo túnel VPN por proveedor (alta disponibilidad).</w:t>
      </w:r>
    </w:p>
    <w:p>
      <w:pPr>
        <w:pStyle w:val="ListParagraph"/>
        <w:numPr>
          <w:ilvl w:val="0"/>
          <w:numId w:val="2"/>
        </w:numPr>
        <w:spacing w:after="80" w:line="280"/>
      </w:pPr>
      <w:r>
        <w:t xml:space="preserve">Centralizar logs en Log Analytics; conectar a SIEM si aplica.</w:t>
      </w:r>
    </w:p>
    <w:p>
      <w:pPr>
        <w:pStyle w:val="ListParagraph"/>
        <w:numPr>
          <w:ilvl w:val="0"/>
          <w:numId w:val="2"/>
        </w:numPr>
        <w:spacing w:after="80" w:line="280"/>
      </w:pPr>
      <w:r>
        <w:t xml:space="preserve">Implementar Azure AD PIM y MFA obligatoria.</w:t>
      </w:r>
    </w:p>
    <w:p>
      <w:pPr>
        <w:pStyle w:val="ListParagraph"/>
        <w:numPr>
          <w:ilvl w:val="0"/>
          <w:numId w:val="2"/>
        </w:numPr>
        <w:spacing w:after="80" w:line="280"/>
      </w:pPr>
      <w:r>
        <w:t xml:space="preserve">Documentar y probar plan de recuperación ante desastres (DR).</w:t>
      </w:r>
    </w:p>
    <w:p>
      <w:pPr>
        <w:pStyle w:val="Heading2"/>
        <w:spacing w:after="160" w:before="280"/>
      </w:pPr>
      <w:r>
        <w:t xml:space="preserve">Fase 3 — Rediseño arquitectónico (mes 3-6)</w:t>
      </w:r>
    </w:p>
    <w:p>
      <w:pPr>
        <w:pStyle w:val="ListParagraph"/>
        <w:numPr>
          <w:ilvl w:val="0"/>
          <w:numId w:val="2"/>
        </w:numPr>
        <w:spacing w:after="80" w:line="280"/>
      </w:pPr>
      <w:r>
        <w:t xml:space="preserve">Crear suscripciones separadas para PROD, UAT y DEV bajo Management Group.</w:t>
      </w:r>
    </w:p>
    <w:p>
      <w:pPr>
        <w:pStyle w:val="ListParagraph"/>
        <w:numPr>
          <w:ilvl w:val="0"/>
          <w:numId w:val="2"/>
        </w:numPr>
        <w:spacing w:after="80" w:line="280"/>
      </w:pPr>
      <w:r>
        <w:t xml:space="preserve">Migrar la base de datos a servicio administrado (Azure SQL DB o Azure Database for MariaDB).</w:t>
      </w:r>
    </w:p>
    <w:p>
      <w:pPr>
        <w:pStyle w:val="ListParagraph"/>
        <w:numPr>
          <w:ilvl w:val="0"/>
          <w:numId w:val="2"/>
        </w:numPr>
        <w:spacing w:after="80" w:line="280"/>
      </w:pPr>
      <w:r>
        <w:t xml:space="preserve">Separar roles de las VMs (no más BD + Web Server en el mismo host).</w:t>
      </w:r>
    </w:p>
    <w:p>
      <w:pPr>
        <w:pStyle w:val="ListParagraph"/>
        <w:numPr>
          <w:ilvl w:val="0"/>
          <w:numId w:val="2"/>
        </w:numPr>
        <w:spacing w:after="80" w:line="280"/>
      </w:pPr>
      <w:r>
        <w:t xml:space="preserve">Aplicar Reserved Instances/Savings Plans en cargas estables — ahorro de cómputo ~35%.</w:t>
      </w:r>
    </w:p>
    <w:p>
      <w:pPr>
        <w:pStyle w:val="ListParagraph"/>
        <w:numPr>
          <w:ilvl w:val="0"/>
          <w:numId w:val="2"/>
        </w:numPr>
        <w:spacing w:after="80" w:line="280"/>
      </w:pPr>
      <w:r>
        <w:t xml:space="preserve">Evaluar arquitectura hub-and-spoke con un Hub VNet central conteniendo el Firewall y VPN Gateway.</w:t>
      </w:r>
    </w:p>
    <w:p>
      <w:pPr>
        <w:pStyle w:val="Heading2"/>
        <w:spacing w:after="160" w:before="280"/>
      </w:pPr>
      <w:r>
        <w:t xml:space="preserve">Fase 4 — Optimización continua (mensual)</w:t>
      </w:r>
    </w:p>
    <w:p>
      <w:pPr>
        <w:pStyle w:val="ListParagraph"/>
        <w:numPr>
          <w:ilvl w:val="0"/>
          <w:numId w:val="2"/>
        </w:numPr>
        <w:spacing w:after="80" w:line="280"/>
      </w:pPr>
      <w:r>
        <w:t xml:space="preserve">FinOps: revisión mensual de costos vs presupuesto con stakeholders.</w:t>
      </w:r>
    </w:p>
    <w:p>
      <w:pPr>
        <w:pStyle w:val="ListParagraph"/>
        <w:numPr>
          <w:ilvl w:val="0"/>
          <w:numId w:val="2"/>
        </w:numPr>
        <w:spacing w:after="80" w:line="280"/>
      </w:pPr>
      <w:r>
        <w:t xml:space="preserve">Review de Azure Advisor (recomendaciones de costo, rendimiento, seguridad).</w:t>
      </w:r>
    </w:p>
    <w:p>
      <w:pPr>
        <w:pStyle w:val="ListParagraph"/>
        <w:numPr>
          <w:ilvl w:val="0"/>
          <w:numId w:val="2"/>
        </w:numPr>
        <w:spacing w:after="80" w:line="280"/>
      </w:pPr>
      <w:r>
        <w:t xml:space="preserve">Pen-testing y revisiones de seguridad periódicas.</w:t>
      </w:r>
    </w:p>
    <w:p>
      <w:pPr>
        <w:pStyle w:val="ListParagraph"/>
        <w:numPr>
          <w:ilvl w:val="0"/>
          <w:numId w:val="2"/>
        </w:numPr>
        <w:spacing w:after="80" w:line="280"/>
      </w:pPr>
      <w:r>
        <w:t xml:space="preserve">Actualización de la Memoria Técnica con control de cambios.</w:t>
      </w:r>
    </w:p>
    <w:p>
      <w:r>
        <w:br w:type="page"/>
      </w:r>
    </w:p>
    <w:p>
      <w:pPr>
        <w:pStyle w:val="Heading1"/>
        <w:spacing w:after="200" w:before="360"/>
      </w:pPr>
      <w:r>
        <w:t xml:space="preserve">8. Conclusiones</w:t>
      </w:r>
    </w:p>
    <w:p>
      <w:pPr>
        <w:spacing w:after="120" w:line="300"/>
      </w:pPr>
      <w:r>
        <w:t xml:space="preserve">La Memoria Técnica entregada por Bicentel/C3NTRO documenta correctamente la implementación inicial de la infraestructura de Central Pay en Azure, y refleja un diseño base coherente con los patrones recomendados de Microsoft para una integración VPN sitio-a-sitio con dos proveedores externos. Sin embargo, presenta tres tipos de problemas:</w:t>
      </w:r>
    </w:p>
    <w:p>
      <w:pPr>
        <w:pStyle w:val="ListParagraph"/>
        <w:numPr>
          <w:ilvl w:val="0"/>
          <w:numId w:val="2"/>
        </w:numPr>
        <w:spacing w:after="80" w:line="280"/>
      </w:pPr>
      <w:r>
        <w:rPr>
          <w:b/>
          <w:bCs/>
        </w:rPr>
        <w:t xml:space="preserve">Problemas de seguridad documental: </w:t>
      </w:r>
      <w:r>
        <w:t xml:space="preserve">los PSK de VPN están en texto plano y el documento se entrega con esa información. Esto debe corregirse de inmediato.</w:t>
      </w:r>
    </w:p>
    <w:p>
      <w:pPr>
        <w:pStyle w:val="ListParagraph"/>
        <w:numPr>
          <w:ilvl w:val="0"/>
          <w:numId w:val="2"/>
        </w:numPr>
        <w:spacing w:after="80" w:line="280"/>
      </w:pPr>
      <w:r>
        <w:rPr>
          <w:b/>
          <w:bCs/>
        </w:rPr>
        <w:t xml:space="preserve">Problemas de actualización: </w:t>
      </w:r>
      <w:r>
        <w:t xml:space="preserve">la infraestructura creció de 2 a 7 VMs, se agregó un Application Gateway WAF y nuevos Resource Groups, pero la documentación nunca se actualizó. Quien tome la operación hoy enfrenta una caja negra parcial.</w:t>
      </w:r>
    </w:p>
    <w:p>
      <w:pPr>
        <w:pStyle w:val="ListParagraph"/>
        <w:numPr>
          <w:ilvl w:val="0"/>
          <w:numId w:val="2"/>
        </w:numPr>
        <w:spacing w:after="80" w:line="280"/>
      </w:pPr>
      <w:r>
        <w:rPr>
          <w:b/>
          <w:bCs/>
        </w:rPr>
        <w:t xml:space="preserve">Problemas de diseño para el contexto regulado: </w:t>
      </w:r>
      <w:r>
        <w:t xml:space="preserve">para una pasarela de pagos integrada con SPEI (STP) y pagos móviles (OPM), el diseño actual carece de segregación de ambientes, redundancia en túneles VPN, separación de roles, gestión de secretos y observabilidad al nivel esperado por un sistema financiero.</w:t>
      </w:r>
    </w:p>
    <w:p>
      <w:pPr>
        <w:spacing w:after="120" w:line="300"/>
      </w:pPr>
      <w:r>
        <w:t xml:space="preserve">La buena noticia es que la base es sólida y las mejoras pueden implementarse de forma incremental hasta llegar al estado objetivo presentado en la Sección 6. El plan de madurez propuesto en la Sección 7 ordena las acciones de mayor a menor urgencia, comenzando por las correcciones críticas de seguridad (rotación de PSKs, eliminación de exposición directa de SSH/RDP) y avanzando hacia un estado objetivo alineado con buenas prácticas de Microsoft Azure para sistemas financieros regulados.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24"/>
              <w:bottom w:val="single" w:color="1F4E79" w:sz="6"/>
              <w:right w:val="single" w:color="1F4E79" w:sz="6"/>
            </w:tcBorders>
            <w:shd w:fill="E7EFF8" w:val="clear"/>
            <w:tcMar>
              <w:top w:type="dxa" w:w="160"/>
              <w:left w:type="dxa" w:w="200"/>
              <w:bottom w:type="dxa" w:w="160"/>
              <w:right w:type="dxa" w:w="200"/>
            </w:tcMar>
          </w:tcPr>
          <w:p>
            <w:pPr>
              <w:spacing w:after="100"/>
            </w:pPr>
            <w:r>
              <w:rPr>
                <w:b/>
                <w:bCs/>
                <w:color w:val="1F4E79"/>
                <w:sz w:val="22"/>
                <w:szCs w:val="22"/>
              </w:rPr>
              <w:t xml:space="preserve">Próximo paso recomendado</w:t>
            </w:r>
          </w:p>
          <w:p>
            <w:r>
              <w:rPr>
                <w:sz w:val="20"/>
                <w:szCs w:val="20"/>
              </w:rPr>
              <w:t xml:space="preserve">Acordar con el proveedor (Bicentel/C3NTRO) y el equipo interno cuáles de las acciones de la Fase 0 y Fase 1 entran en el alcance del contrato actual y cuáles requieren un proyecto adicional. Lo prioritario, en cualquier caso, es la rotación de PSKs y el endurecimiento del acceso administrativo (eliminación de DNAT a SSH/RDP, implementación de Bastion). El diagrama de la Sección 6 puede usarse como visión común de referencia entre todos los stakeholders.</w:t>
            </w:r>
          </w:p>
        </w:tc>
      </w:tr>
    </w:tbl>
    <w:p>
      <w:pPr>
        <w:spacing w:before="800"/>
        <w:jc w:val="center"/>
      </w:pPr>
      <w:r>
        <w:rPr>
          <w:i/>
          <w:iCs/>
          <w:color w:val="808080"/>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9309cd897c64722fa533533513f829d713f68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Arquitectónico Central Pay UAT v2 (con diagrama)</dc:title>
  <dc:creator>Análisis Arquitectónico Azure</dc:creator>
  <cp:lastModifiedBy>Un-named</cp:lastModifiedBy>
  <cp:revision>1</cp:revision>
  <dcterms:created xsi:type="dcterms:W3CDTF">2026-06-09T04:53:39.879Z</dcterms:created>
  <dcterms:modified xsi:type="dcterms:W3CDTF">2026-06-09T04:53:39.897Z</dcterms:modified>
</cp:coreProperties>
</file>

<file path=docProps/custom.xml><?xml version="1.0" encoding="utf-8"?>
<Properties xmlns="http://schemas.openxmlformats.org/officeDocument/2006/custom-properties" xmlns:vt="http://schemas.openxmlformats.org/officeDocument/2006/docPropsVTypes"/>
</file>