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¡Buenas tardes! Excelente pregunta, y tu propuesta va por buen camino. Te explico con detalle: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Searched the web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Searched the web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¡Muy buena pregunta! Tu propuesta es </w:t>
      </w:r>
      <w:r w:rsidDel="00000000" w:rsidR="00000000" w:rsidRPr="00000000">
        <w:rPr>
          <w:b w:val="1"/>
          <w:bCs w:val="1"/>
          <w:rtl w:val="0"/>
        </w:rPr>
        <w:t xml:space="preserve">correcta y válida</w:t>
      </w:r>
      <w:r w:rsidDel="00000000" w:rsidR="00000000" w:rsidRPr="00000000">
        <w:rPr>
          <w:rtl w:val="0"/>
        </w:rPr>
        <w:t xml:space="preserve">. Aquí te explico todo en detalle: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s9xqqzhmxn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Tu propuesta es correcta — y así lo confirma Microsoft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Shared Access Signature (SAS) es el mecanismo de autenticación para Event Hubs. El SAS token se genera desde una SAS key y es el método estándar para que publicadores externos — como sistemas on-premise — se identifiquen ante el Event Hub.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sí, usar un </w:t>
      </w:r>
      <w:r w:rsidDel="00000000" w:rsidR="00000000" w:rsidRPr="00000000">
        <w:rPr>
          <w:b w:val="1"/>
          <w:bCs w:val="1"/>
          <w:rtl w:val="0"/>
        </w:rPr>
        <w:t xml:space="preserve">Connection String con Shared Access Policy</w:t>
      </w:r>
      <w:r w:rsidDel="00000000" w:rsidR="00000000" w:rsidRPr="00000000">
        <w:rPr>
          <w:rtl w:val="0"/>
        </w:rPr>
        <w:t xml:space="preserve"> es la forma correcta para conectar un sistema on-premise como VMware.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agxdy1dse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¿Cómo funciona el protocolo por debajo?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más importante que debes saber para el ambiente on-premise es el protocolo y los puertos que se usan: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La conexión de Azure Event Hubs usa el protocolo </w:t>
      </w:r>
      <w:r w:rsidDel="00000000" w:rsidR="00000000" w:rsidRPr="00000000">
        <w:rPr>
          <w:b w:val="1"/>
          <w:bCs w:val="1"/>
          <w:rtl w:val="0"/>
        </w:rPr>
        <w:t xml:space="preserve">AMQP</w:t>
      </w:r>
      <w:r w:rsidDel="00000000" w:rsidR="00000000" w:rsidRPr="00000000">
        <w:rPr>
          <w:rtl w:val="0"/>
        </w:rPr>
        <w:t xml:space="preserve"> para conectarse. Esto puede requerir abrir los puertos de salida </w:t>
      </w:r>
      <w:r w:rsidDel="00000000" w:rsidR="00000000" w:rsidRPr="00000000">
        <w:rPr>
          <w:b w:val="1"/>
          <w:bCs w:val="1"/>
          <w:rtl w:val="0"/>
        </w:rPr>
        <w:t xml:space="preserve">5671</w:t>
      </w:r>
      <w:r w:rsidDel="00000000" w:rsidR="00000000" w:rsidRPr="00000000">
        <w:rPr>
          <w:rtl w:val="0"/>
        </w:rPr>
        <w:t xml:space="preserve"> (inseguro) y </w:t>
      </w:r>
      <w:r w:rsidDel="00000000" w:rsidR="00000000" w:rsidRPr="00000000">
        <w:rPr>
          <w:b w:val="1"/>
          <w:bCs w:val="1"/>
          <w:rtl w:val="0"/>
        </w:rPr>
        <w:t xml:space="preserve">5672</w:t>
      </w:r>
      <w:r w:rsidDel="00000000" w:rsidR="00000000" w:rsidRPr="00000000">
        <w:rPr>
          <w:rtl w:val="0"/>
        </w:rPr>
        <w:t xml:space="preserve"> (seguro) en tu firewall.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si en VMware el firewall corporativo bloquea esos puertos, hay una alternativa: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La opción </w:t>
      </w:r>
      <w:r w:rsidDel="00000000" w:rsidR="00000000" w:rsidRPr="00000000">
        <w:rPr>
          <w:b w:val="1"/>
          <w:bCs w:val="1"/>
          <w:rtl w:val="0"/>
        </w:rPr>
        <w:t xml:space="preserve">AMQP over WebSockets</w:t>
      </w:r>
      <w:r w:rsidDel="00000000" w:rsidR="00000000" w:rsidRPr="00000000">
        <w:rPr>
          <w:rtl w:val="0"/>
        </w:rPr>
        <w:t xml:space="preserve"> corre sobre el puerto TCP </w:t>
      </w:r>
      <w:r w:rsidDel="00000000" w:rsidR="00000000" w:rsidRPr="00000000">
        <w:rPr>
          <w:b w:val="1"/>
          <w:bCs w:val="1"/>
          <w:rtl w:val="0"/>
        </w:rPr>
        <w:t xml:space="preserve">443</w:t>
      </w:r>
      <w:r w:rsidDel="00000000" w:rsidR="00000000" w:rsidRPr="00000000">
        <w:rPr>
          <w:rtl w:val="0"/>
        </w:rPr>
        <w:t xml:space="preserve">, igual que el tráfico HTTPS, y es funcionalmente idéntica al AMQP estándar. Si se selecciona este modo, el puerto 443 es suficiente para toda la comunicación.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nbx2pm2nn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Las 3 opciones disponibles para conectar on-premise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33.039972874204"/>
        <w:gridCol w:w="1760.9584447877032"/>
        <w:gridCol w:w="3531.5133933617153"/>
        <w:tblGridChange w:id="0">
          <w:tblGrid>
            <w:gridCol w:w="3733.039972874204"/>
            <w:gridCol w:w="1760.9584447877032"/>
            <w:gridCol w:w="3531.513393361715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Protocolo / Puerto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¿Cuándo usarla?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Connection String + AMQP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TCP 5671 / 5672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Redes con puertos abiertos, menor latencia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Connection String + AMQP over WebSockets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TCP 443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Firewall corporativo restrictivo (solo HTTPS)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Connection String + HTTPS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TCP 443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Solo envío de eventos (no recepción)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xp5jn48n5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¿Hay alguna forma mejor que el Connection String para on-premise?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Sí, a nivel de seguridad existe una jerarquía:</w:t>
      </w:r>
    </w:p>
    <w:p w:rsidR="00000000" w:rsidDel="00000000" w:rsidP="00000000" w:rsidRDefault="00000000" w:rsidRPr="00000000" w14:paraId="00000020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Managed Identity  ← IDEAL (solo para recursos EN Azure)</w:t>
      </w:r>
    </w:p>
    <w:p w:rsidR="00000000" w:rsidDel="00000000" w:rsidP="00000000" w:rsidRDefault="00000000" w:rsidRPr="00000000" w14:paraId="00000021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     ↓</w:t>
      </w:r>
    </w:p>
    <w:p w:rsidR="00000000" w:rsidDel="00000000" w:rsidP="00000000" w:rsidRDefault="00000000" w:rsidRPr="00000000" w14:paraId="00000022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SAS con política dedicada (Listen-only o Send-only)  ← TU PROPUESTA ✅</w:t>
      </w:r>
    </w:p>
    <w:p w:rsidR="00000000" w:rsidDel="00000000" w:rsidP="00000000" w:rsidRDefault="00000000" w:rsidRPr="00000000" w14:paraId="00000023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     ↓</w:t>
      </w:r>
    </w:p>
    <w:p w:rsidR="00000000" w:rsidDel="00000000" w:rsidP="00000000" w:rsidRDefault="00000000" w:rsidRPr="00000000" w14:paraId="00000024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RootManageSharedAccessKey  ← NUNCA en producción ❌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El SAS access policy secret colocado directamente en el código es válido técnicamente, pero se debe evitar en producción. La práctica recomendada es usar </w:t>
      </w:r>
      <w:r w:rsidDel="00000000" w:rsidR="00000000" w:rsidRPr="00000000">
        <w:rPr>
          <w:b w:val="1"/>
          <w:bCs w:val="1"/>
          <w:rtl w:val="0"/>
        </w:rPr>
        <w:t xml:space="preserve">Managed Identities</w:t>
      </w:r>
      <w:r w:rsidDel="00000000" w:rsidR="00000000" w:rsidRPr="00000000">
        <w:rPr>
          <w:rtl w:val="0"/>
        </w:rPr>
        <w:t xml:space="preserve"> o guardar el secreto en un </w:t>
      </w:r>
      <w:r w:rsidDel="00000000" w:rsidR="00000000" w:rsidRPr="00000000">
        <w:rPr>
          <w:b w:val="1"/>
          <w:bCs w:val="1"/>
          <w:rtl w:val="0"/>
        </w:rPr>
        <w:t xml:space="preserve">Key Vault</w:t>
      </w:r>
      <w:r w:rsidDel="00000000" w:rsidR="00000000" w:rsidRPr="00000000">
        <w:rPr>
          <w:rtl w:val="0"/>
        </w:rPr>
        <w:t xml:space="preserve">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VMware es </w:t>
      </w:r>
      <w:r w:rsidDel="00000000" w:rsidR="00000000" w:rsidRPr="00000000">
        <w:rPr>
          <w:b w:val="1"/>
          <w:bCs w:val="1"/>
          <w:rtl w:val="0"/>
        </w:rPr>
        <w:t xml:space="preserve">on-premise</w:t>
      </w:r>
      <w:r w:rsidDel="00000000" w:rsidR="00000000" w:rsidRPr="00000000">
        <w:rPr>
          <w:rtl w:val="0"/>
        </w:rPr>
        <w:t xml:space="preserve"> (no es un recurso de Azure), </w:t>
      </w:r>
      <w:r w:rsidDel="00000000" w:rsidR="00000000" w:rsidRPr="00000000">
        <w:rPr>
          <w:b w:val="1"/>
          <w:bCs w:val="1"/>
          <w:rtl w:val="0"/>
        </w:rPr>
        <w:t xml:space="preserve">no puede usar Managed Identity</w:t>
      </w:r>
      <w:r w:rsidDel="00000000" w:rsidR="00000000" w:rsidRPr="00000000">
        <w:rPr>
          <w:rtl w:val="0"/>
        </w:rPr>
        <w:t xml:space="preserve"> — por lo tanto el Connection String con Shared Access Policy es la única opción correcta y viable para este escenario.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i5p3e55z3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Recomendaciones para hacerlo bien en producción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Crear una política dedicada con solo el permiso necesario: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2B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# Solo permiso Listen para que VMware lea los 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az eventhubs namespace authorization-rule create </w:t>
      </w:r>
      <w:r w:rsidDel="00000000" w:rsidR="00000000" w:rsidRPr="00000000">
        <w:rPr>
          <w:color w:val="2b303b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--name </w:t>
      </w:r>
      <w:r w:rsidDel="00000000" w:rsidR="00000000" w:rsidRPr="00000000">
        <w:rPr>
          <w:color w:val="008000"/>
          <w:rtl w:val="0"/>
        </w:rPr>
        <w:t xml:space="preserve">"vmware-onprem-listener"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--namespace-name </w:t>
      </w:r>
      <w:r w:rsidDel="00000000" w:rsidR="00000000" w:rsidRPr="00000000">
        <w:rPr>
          <w:color w:val="008000"/>
          <w:rtl w:val="0"/>
        </w:rPr>
        <w:t xml:space="preserve">"ehns-entra-basico"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--resource-group </w:t>
      </w:r>
      <w:r w:rsidDel="00000000" w:rsidR="00000000" w:rsidRPr="00000000">
        <w:rPr>
          <w:color w:val="008000"/>
          <w:rtl w:val="0"/>
        </w:rPr>
        <w:t xml:space="preserve">"rg-entra-basico"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--rights Listen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Obtener el Connection String: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3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az eventhubs namespace authorization-rule keys list </w:t>
      </w:r>
      <w:r w:rsidDel="00000000" w:rsidR="00000000" w:rsidRPr="00000000">
        <w:rPr>
          <w:color w:val="2b303b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--name </w:t>
      </w:r>
      <w:r w:rsidDel="00000000" w:rsidR="00000000" w:rsidRPr="00000000">
        <w:rPr>
          <w:color w:val="008000"/>
          <w:rtl w:val="0"/>
        </w:rPr>
        <w:t xml:space="preserve">"vmware-onprem-listener"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--namespace-name </w:t>
      </w:r>
      <w:r w:rsidDel="00000000" w:rsidR="00000000" w:rsidRPr="00000000">
        <w:rPr>
          <w:color w:val="008000"/>
          <w:rtl w:val="0"/>
        </w:rPr>
        <w:t xml:space="preserve">"ehns-entra-basico"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--resource-group </w:t>
      </w:r>
      <w:r w:rsidDel="00000000" w:rsidR="00000000" w:rsidRPr="00000000">
        <w:rPr>
          <w:color w:val="008000"/>
          <w:rtl w:val="0"/>
        </w:rPr>
        <w:t xml:space="preserve">"rg-entra-basico"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--query primaryConnectionString --output tsv</w:t>
      </w:r>
    </w:p>
    <w:p w:rsidR="00000000" w:rsidDel="00000000" w:rsidP="00000000" w:rsidRDefault="00000000" w:rsidRPr="00000000" w14:paraId="00000038">
      <w:pPr>
        <w:rPr>
          <w:color w:val="b34a00"/>
        </w:rPr>
      </w:pPr>
      <w:r w:rsidDel="00000000" w:rsidR="00000000" w:rsidRPr="00000000">
        <w:rPr>
          <w:color w:val="14181f"/>
          <w:rtl w:val="0"/>
        </w:rPr>
        <w:t xml:space="preserve">``</w:t>
      </w:r>
      <w:r w:rsidDel="00000000" w:rsidR="00000000" w:rsidRPr="00000000">
        <w:rPr>
          <w:color w:val="b34a00"/>
          <w:rtl w:val="0"/>
        </w:rPr>
        <w:t xml:space="preserve">`</w:t>
      </w:r>
    </w:p>
    <w:p w:rsidR="00000000" w:rsidDel="00000000" w:rsidP="00000000" w:rsidRDefault="00000000" w:rsidRPr="00000000" w14:paraId="00000039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**3. Guardar el Connection String en Azure Key Vault** — nunca en texto plano o en código fuente.</w:t>
      </w:r>
    </w:p>
    <w:p w:rsidR="00000000" w:rsidDel="00000000" w:rsidP="00000000" w:rsidRDefault="00000000" w:rsidRPr="00000000" w14:paraId="0000003B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b34a00"/>
        </w:rPr>
      </w:pPr>
      <w:r w:rsidDel="00000000" w:rsidR="00000000" w:rsidRPr="00000000">
        <w:rPr>
          <w:color w:val="b34a00"/>
          <w:rtl w:val="0"/>
        </w:rPr>
        <w:t xml:space="preserve">**4. En VMware, si el firewall bloquea los puertos </w:t>
      </w:r>
      <w:r w:rsidDel="00000000" w:rsidR="00000000" w:rsidRPr="00000000">
        <w:rPr>
          <w:color w:val="008080"/>
          <w:rtl w:val="0"/>
        </w:rPr>
        <w:t xml:space="preserve">5671</w:t>
      </w:r>
      <w:r w:rsidDel="00000000" w:rsidR="00000000" w:rsidRPr="00000000">
        <w:rPr>
          <w:color w:val="b34a00"/>
          <w:rtl w:val="0"/>
        </w:rPr>
        <w:t xml:space="preserve">/5672**, configurar el cliente para usar **AMQP over WebSockets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b34a00"/>
          <w:rtl w:val="0"/>
        </w:rPr>
        <w:t xml:space="preserve">puerto </w:t>
      </w:r>
      <w:r w:rsidDel="00000000" w:rsidR="00000000" w:rsidRPr="00000000">
        <w:rPr>
          <w:color w:val="008080"/>
          <w:rtl w:val="0"/>
        </w:rPr>
        <w:t xml:space="preserve">443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b34a00"/>
          <w:rtl w:val="0"/>
        </w:rPr>
        <w:t xml:space="preserve">**:</w:t>
      </w:r>
    </w:p>
    <w:p w:rsidR="00000000" w:rsidDel="00000000" w:rsidP="00000000" w:rsidRDefault="00000000" w:rsidRPr="00000000" w14:paraId="0000003D">
      <w:pPr>
        <w:rPr>
          <w:color w:val="14181f"/>
        </w:rPr>
      </w:pPr>
      <w:r w:rsidDel="00000000" w:rsidR="00000000" w:rsidRPr="00000000">
        <w:rPr>
          <w:color w:val="b34a00"/>
          <w:rtl w:val="0"/>
        </w:rPr>
        <w:t xml:space="preserve">`</w:t>
      </w:r>
      <w:r w:rsidDel="00000000" w:rsidR="00000000" w:rsidRPr="00000000">
        <w:rPr>
          <w:color w:val="14181f"/>
          <w:rtl w:val="0"/>
        </w:rPr>
        <w:t xml:space="preserve">``</w:t>
      </w:r>
    </w:p>
    <w:p w:rsidR="00000000" w:rsidDel="00000000" w:rsidP="00000000" w:rsidRDefault="00000000" w:rsidRPr="00000000" w14:paraId="0000003E">
      <w:pPr>
        <w:rPr>
          <w:color w:val="14181f"/>
        </w:rPr>
      </w:pPr>
      <w:r w:rsidDel="00000000" w:rsidR="00000000" w:rsidRPr="00000000">
        <w:rPr>
          <w:color w:val="b34a00"/>
          <w:rtl w:val="0"/>
        </w:rPr>
        <w:t xml:space="preserve">Endpoint</w:t>
      </w:r>
      <w:r w:rsidDel="00000000" w:rsidR="00000000" w:rsidRPr="00000000">
        <w:rPr>
          <w:color w:val="14181f"/>
          <w:rtl w:val="0"/>
        </w:rPr>
        <w:t xml:space="preserve">=sb://ehns-entra-basico.servicebus.windows.net/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14181f"/>
        </w:rPr>
      </w:pPr>
      <w:r w:rsidDel="00000000" w:rsidR="00000000" w:rsidRPr="00000000">
        <w:rPr>
          <w:color w:val="b34a00"/>
          <w:rtl w:val="0"/>
        </w:rPr>
        <w:t xml:space="preserve">SharedAccessKeyName</w:t>
      </w:r>
      <w:r w:rsidDel="00000000" w:rsidR="00000000" w:rsidRPr="00000000">
        <w:rPr>
          <w:color w:val="14181f"/>
          <w:rtl w:val="0"/>
        </w:rPr>
        <w:t xml:space="preserve">=vmware-onprem-listener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14181f"/>
        </w:rPr>
      </w:pPr>
      <w:r w:rsidDel="00000000" w:rsidR="00000000" w:rsidRPr="00000000">
        <w:rPr>
          <w:color w:val="b34a00"/>
          <w:rtl w:val="0"/>
        </w:rPr>
        <w:t xml:space="preserve">SharedAccessKey</w:t>
      </w:r>
      <w:r w:rsidDel="00000000" w:rsidR="00000000" w:rsidRPr="00000000">
        <w:rPr>
          <w:color w:val="14181f"/>
          <w:rtl w:val="0"/>
        </w:rPr>
        <w:t xml:space="preserve">=&lt;clave&gt;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14181f"/>
        </w:rPr>
      </w:pPr>
      <w:r w:rsidDel="00000000" w:rsidR="00000000" w:rsidRPr="00000000">
        <w:rPr>
          <w:color w:val="b34a00"/>
          <w:rtl w:val="0"/>
        </w:rPr>
        <w:t xml:space="preserve">TransportType</w:t>
      </w:r>
      <w:r w:rsidDel="00000000" w:rsidR="00000000" w:rsidRPr="00000000">
        <w:rPr>
          <w:color w:val="14181f"/>
          <w:rtl w:val="0"/>
        </w:rPr>
        <w:t xml:space="preserve">=AmqpWebSockets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f33p391zm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Resumen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00.189709637676"/>
        <w:gridCol w:w="4725.322101385947"/>
        <w:tblGridChange w:id="0">
          <w:tblGrid>
            <w:gridCol w:w="4300.189709637676"/>
            <w:gridCol w:w="4725.32210138594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¿Tu propuesta es correcta?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Sí, es el método estándar para on-premise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¿Hay algo mejor para on-premise?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 — Managed Identity solo aplica en Azure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¿Qué política usar?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Una dedicada con solo permiso Listen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¿Dónde guardar el Connection String?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Azure Key Vault, nunca en texto plano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¿Qué puerto abrir en el firewall de VMware?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5671/5672 (AMQP) o 443 (WebSockets)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earn.microsoft.com/en-us/azure/architecture/framework/services/messaging/event-hubs/operational-excellence" TargetMode="External"/><Relationship Id="rId10" Type="http://schemas.openxmlformats.org/officeDocument/2006/relationships/hyperlink" Target="https://learn.microsoft.com/en-us/azure/architecture/framework/services/messaging/event-hubs/operational-excellence" TargetMode="External"/><Relationship Id="rId13" Type="http://schemas.openxmlformats.org/officeDocument/2006/relationships/hyperlink" Target="https://learn.microsoft.com/en-us/azure/architecture/serverless/event-hubs-functions/performance-scale" TargetMode="External"/><Relationship Id="rId12" Type="http://schemas.openxmlformats.org/officeDocument/2006/relationships/hyperlink" Target="https://learn.microsoft.com/en-us/azure/architecture/serverless/event-hubs-functions/performance-scal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.microsoft.com/en-us/azure/well-architected/service-guides/azure-event-hubs" TargetMode="External"/><Relationship Id="rId5" Type="http://schemas.openxmlformats.org/officeDocument/2006/relationships/styles" Target="styles.xml"/><Relationship Id="rId6" Type="http://schemas.openxmlformats.org/officeDocument/2006/relationships/hyperlink" Target="https://learn.microsoft.com/en-us/azure/event-hubs/event-hubs-create" TargetMode="External"/><Relationship Id="rId7" Type="http://schemas.openxmlformats.org/officeDocument/2006/relationships/hyperlink" Target="https://learn.microsoft.com/en-us/azure/event-hubs/event-hubs-create" TargetMode="External"/><Relationship Id="rId8" Type="http://schemas.openxmlformats.org/officeDocument/2006/relationships/hyperlink" Target="https://learn.microsoft.com/en-us/azure/well-architected/service-guides/azure-event-hub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