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40"/>
        <w:jc w:val="center"/>
      </w:pPr>
      <w:r>
        <w:rPr>
          <w:rFonts w:ascii="Calibri" w:cs="Calibri" w:eastAsia="Calibri" w:hAnsi="Calibri"/>
          <w:b/>
          <w:bCs/>
          <w:color w:val="0D2137"/>
          <w:sz w:val="56"/>
          <w:szCs w:val="56"/>
        </w:rPr>
        <w:t xml:space="preserve">[NOMBRE DEL PROVEEDOR]</w:t>
      </w:r>
    </w:p>
    <w:p>
      <w:pPr>
        <w:pBdr>
          <w:bottom w:val="single" w:color="2979D9" w:sz="16" w:space="8"/>
        </w:pBdr>
        <w:spacing w:before="0" w:after="500"/>
        <w:jc w:val="center"/>
      </w:pPr>
      <w:r>
        <w:rPr>
          <w:rFonts w:ascii="Calibri" w:cs="Calibri" w:eastAsia="Calibri" w:hAnsi="Calibri"/>
          <w:color w:val="2979D9"/>
          <w:sz w:val="28"/>
          <w:szCs w:val="28"/>
        </w:rPr>
        <w:t xml:space="preserve">Microsoft Azure — Cloud Service Provider</w:t>
      </w:r>
    </w:p>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80"/>
        <w:jc w:val="center"/>
      </w:pPr>
      <w:r>
        <w:rPr>
          <w:rFonts w:ascii="Calibri" w:cs="Calibri" w:eastAsia="Calibri" w:hAnsi="Calibri"/>
          <w:b/>
          <w:bCs/>
          <w:color w:val="0D2137"/>
          <w:sz w:val="52"/>
          <w:szCs w:val="52"/>
        </w:rPr>
        <w:t xml:space="preserve">PROPUESTA DE IMPLEMENTACIÓN</w:t>
      </w:r>
    </w:p>
    <w:p>
      <w:pPr>
        <w:spacing w:before="0" w:after="120"/>
        <w:jc w:val="center"/>
      </w:pPr>
      <w:r>
        <w:rPr>
          <w:rFonts w:ascii="Calibri" w:cs="Calibri" w:eastAsia="Calibri" w:hAnsi="Calibri"/>
          <w:b/>
          <w:bCs/>
          <w:color w:val="2979D9"/>
          <w:sz w:val="48"/>
          <w:szCs w:val="48"/>
        </w:rPr>
        <w:t xml:space="preserve">Azure Landing Zone</w:t>
      </w:r>
    </w:p>
    <w:p>
      <w:pPr>
        <w:spacing w:before="0" w:after="600"/>
        <w:jc w:val="center"/>
      </w:pPr>
      <w:r>
        <w:rPr>
          <w:rFonts w:ascii="Calibri" w:cs="Calibri" w:eastAsia="Calibri" w:hAnsi="Calibri"/>
          <w:i/>
          <w:iCs/>
          <w:color w:val="455A64"/>
          <w:sz w:val="22"/>
          <w:szCs w:val="22"/>
        </w:rPr>
        <w:t xml:space="preserve">Enterprise-Scale · Cloud Adoption Framework · Well-Architected Framework</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6000"/>
        <w:tblBorders>
          <w:top w:val="none"/>
          <w:left w:val="none"/>
          <w:bottom w:val="none"/>
          <w:right w:val="none"/>
          <w:insideH w:val="single" w:color="auto" w:sz="4"/>
          <w:insideV w:val="single" w:color="auto" w:sz="4"/>
        </w:tblBorders>
      </w:tblPr>
      <w:tblGrid>
        <w:gridCol w:w="3000"/>
        <w:gridCol w:w="3000"/>
      </w:tblGrid>
      <w:tr>
        <w:tc>
          <w:tcPr>
            <w:tcW w:type="dxa" w:w="3000"/>
            <w:tcBorders>
              <w:top w:val="single" w:color="AAAAAA" w:sz="4"/>
              <w:left w:val="single" w:color="AAAAAA" w:sz="4"/>
              <w:bottom w:val="single" w:color="AAAAAA" w:sz="4"/>
              <w:right w:val="single" w:color="AAAAAA" w:sz="4"/>
            </w:tcBorders>
            <w:shd w:fill="0D2137"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BBDEFB"/>
                <w:sz w:val="18"/>
                <w:szCs w:val="18"/>
              </w:rPr>
              <w:t xml:space="preserve">Presentado a:</w:t>
            </w:r>
          </w:p>
        </w:tc>
        <w:tc>
          <w:tcPr>
            <w:tcW w:type="dxa" w:w="30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left"/>
            </w:pPr>
            <w:r>
              <w:rPr>
                <w:rFonts w:ascii="Calibri" w:cs="Calibri" w:eastAsia="Calibri" w:hAnsi="Calibri"/>
                <w:b/>
                <w:bCs/>
                <w:color w:val="FFFFFF"/>
                <w:sz w:val="20"/>
                <w:szCs w:val="20"/>
              </w:rPr>
              <w:t xml:space="preserve">[NOMBRE DE LA INSTITUCIÓN]</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455A64"/>
                <w:sz w:val="18"/>
                <w:szCs w:val="18"/>
              </w:rPr>
              <w:t xml:space="preserve">Fecha:</w:t>
            </w:r>
          </w:p>
        </w:tc>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20"/>
                <w:szCs w:val="20"/>
              </w:rPr>
              <w:t xml:space="preserve">[DD/MM/AAAA]</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455A64"/>
                <w:sz w:val="18"/>
                <w:szCs w:val="18"/>
              </w:rPr>
              <w:t xml:space="preserve">Versión:</w:t>
            </w:r>
          </w:p>
        </w:tc>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20"/>
                <w:szCs w:val="20"/>
              </w:rPr>
              <w:t xml:space="preserve">1.0 — Confidencial</w:t>
            </w:r>
          </w:p>
        </w:tc>
      </w:tr>
      <w:tr>
        <w:tc>
          <w:tcPr>
            <w:tcW w:type="dxa" w:w="3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455A64"/>
                <w:sz w:val="18"/>
                <w:szCs w:val="18"/>
              </w:rPr>
              <w:t xml:space="preserve">Vigencia de la propuesta:</w:t>
            </w:r>
          </w:p>
        </w:tc>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20"/>
                <w:szCs w:val="20"/>
              </w:rPr>
              <w:t xml:space="preserve">30 días naturales</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01</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Resumen Ejecutivo</w:t>
            </w:r>
          </w:p>
          <w:p>
            <w:pPr>
              <w:spacing w:before="0" w:after="0"/>
            </w:pPr>
            <w:r>
              <w:rPr>
                <w:rFonts w:ascii="Calibri" w:cs="Calibri" w:eastAsia="Calibri" w:hAnsi="Calibri"/>
                <w:i/>
                <w:iCs/>
                <w:color w:val="BBDEFB"/>
                <w:sz w:val="18"/>
                <w:szCs w:val="18"/>
              </w:rPr>
              <w:t xml:space="preserve">Visión general de la propuesta</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spacing w:before="60" w:after="60"/>
        <w:jc w:val="both"/>
      </w:pPr>
      <w:r>
        <w:rPr>
          <w:rFonts w:ascii="Calibri" w:cs="Calibri" w:eastAsia="Calibri" w:hAnsi="Calibri"/>
          <w:b w:val="false"/>
          <w:bCs w:val="false"/>
          <w:i w:val="false"/>
          <w:iCs w:val="false"/>
          <w:color w:val="0D0D0D"/>
          <w:sz w:val="20"/>
          <w:szCs w:val="20"/>
        </w:rPr>
        <w:t xml:space="preserve">La presente propuesta tiene como objetivo presentar a [NOMBRE DE LA INSTITUCIÓN] un plan integral para la implementación de una Azure Landing Zone (ALZ) empresarial, basada en los estándares de Microsoft Cloud Adoption Framework (CAF) y Well-Architected Framework (WAF). La solución está diseñada específicamente para instituciones financieras reguladas en México, considerando los lineamientos de la CNBV y la Circular Única de Bancos (CUB).</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tcBorders>
              <w:top w:val="single" w:color="2979D9" w:sz="8"/>
              <w:left w:val="single" w:color="AAAAAA" w:sz="4"/>
              <w:bottom w:val="single" w:color="AAAAAA" w:sz="4"/>
              <w:right w:val="single" w:color="AAAAAA" w:sz="4"/>
            </w:tcBorders>
            <w:shd w:fill="E3F2FD" w:val="clear"/>
            <w:tcMar>
              <w:top w:type="dxa" w:w="160"/>
              <w:left w:type="dxa" w:w="160"/>
              <w:bottom w:type="dxa" w:w="160"/>
              <w:right w:type="dxa" w:w="160"/>
            </w:tcMar>
            <w:vAlign w:val="center"/>
          </w:tcPr>
          <w:p>
            <w:pPr>
              <w:spacing w:before="0" w:after="40"/>
              <w:jc w:val="center"/>
            </w:pPr>
            <w:r>
              <w:rPr>
                <w:rFonts w:ascii="Calibri" w:cs="Calibri" w:eastAsia="Calibri" w:hAnsi="Calibri"/>
                <w:b/>
                <w:bCs/>
                <w:color w:val="2979D9"/>
                <w:sz w:val="64"/>
                <w:szCs w:val="64"/>
              </w:rPr>
              <w:t xml:space="preserve">12</w:t>
            </w:r>
          </w:p>
          <w:p>
            <w:pPr>
              <w:spacing w:before="0" w:after="0"/>
              <w:jc w:val="center"/>
            </w:pPr>
            <w:r>
              <w:rPr>
                <w:rFonts w:ascii="Calibri" w:cs="Calibri" w:eastAsia="Calibri" w:hAnsi="Calibri"/>
                <w:color w:val="0D2137"/>
                <w:sz w:val="18"/>
                <w:szCs w:val="18"/>
              </w:rPr>
              <w:t xml:space="preserve">semanas de implementación</w:t>
            </w:r>
          </w:p>
        </w:tc>
        <w:tc>
          <w:tcPr>
            <w:tcW w:type="dxa" w:w="2340"/>
            <w:tcBorders>
              <w:top w:val="single" w:color="00838F" w:sz="8"/>
              <w:left w:val="single" w:color="AAAAAA" w:sz="4"/>
              <w:bottom w:val="single" w:color="AAAAAA" w:sz="4"/>
              <w:right w:val="single" w:color="AAAAAA" w:sz="4"/>
            </w:tcBorders>
            <w:shd w:fill="E0F7FA" w:val="clear"/>
            <w:tcMar>
              <w:top w:type="dxa" w:w="160"/>
              <w:left w:type="dxa" w:w="160"/>
              <w:bottom w:type="dxa" w:w="160"/>
              <w:right w:type="dxa" w:w="160"/>
            </w:tcMar>
            <w:vAlign w:val="center"/>
          </w:tcPr>
          <w:p>
            <w:pPr>
              <w:spacing w:before="0" w:after="40"/>
              <w:jc w:val="center"/>
            </w:pPr>
            <w:r>
              <w:rPr>
                <w:rFonts w:ascii="Calibri" w:cs="Calibri" w:eastAsia="Calibri" w:hAnsi="Calibri"/>
                <w:b/>
                <w:bCs/>
                <w:color w:val="00838F"/>
                <w:sz w:val="64"/>
                <w:szCs w:val="64"/>
              </w:rPr>
              <w:t xml:space="preserve">7</w:t>
            </w:r>
          </w:p>
          <w:p>
            <w:pPr>
              <w:spacing w:before="0" w:after="0"/>
              <w:jc w:val="center"/>
            </w:pPr>
            <w:r>
              <w:rPr>
                <w:rFonts w:ascii="Calibri" w:cs="Calibri" w:eastAsia="Calibri" w:hAnsi="Calibri"/>
                <w:color w:val="0D2137"/>
                <w:sz w:val="18"/>
                <w:szCs w:val="18"/>
              </w:rPr>
              <w:t xml:space="preserve">fases estructuradas</w:t>
            </w:r>
          </w:p>
        </w:tc>
        <w:tc>
          <w:tcPr>
            <w:tcW w:type="dxa" w:w="2340"/>
            <w:tcBorders>
              <w:top w:val="single" w:color="2E7D32" w:sz="8"/>
              <w:left w:val="single" w:color="AAAAAA" w:sz="4"/>
              <w:bottom w:val="single" w:color="AAAAAA" w:sz="4"/>
              <w:right w:val="single" w:color="AAAAAA" w:sz="4"/>
            </w:tcBorders>
            <w:shd w:fill="E8F5E9" w:val="clear"/>
            <w:tcMar>
              <w:top w:type="dxa" w:w="160"/>
              <w:left w:type="dxa" w:w="160"/>
              <w:bottom w:type="dxa" w:w="160"/>
              <w:right w:type="dxa" w:w="160"/>
            </w:tcMar>
            <w:vAlign w:val="center"/>
          </w:tcPr>
          <w:p>
            <w:pPr>
              <w:spacing w:before="0" w:after="40"/>
              <w:jc w:val="center"/>
            </w:pPr>
            <w:r>
              <w:rPr>
                <w:rFonts w:ascii="Calibri" w:cs="Calibri" w:eastAsia="Calibri" w:hAnsi="Calibri"/>
                <w:b/>
                <w:bCs/>
                <w:color w:val="2E7D32"/>
                <w:sz w:val="48"/>
                <w:szCs w:val="48"/>
              </w:rPr>
              <w:t xml:space="preserve">99.9%</w:t>
            </w:r>
          </w:p>
          <w:p>
            <w:pPr>
              <w:spacing w:before="0" w:after="0"/>
              <w:jc w:val="center"/>
            </w:pPr>
            <w:r>
              <w:rPr>
                <w:rFonts w:ascii="Calibri" w:cs="Calibri" w:eastAsia="Calibri" w:hAnsi="Calibri"/>
                <w:color w:val="0D2137"/>
                <w:sz w:val="18"/>
                <w:szCs w:val="18"/>
              </w:rPr>
              <w:t xml:space="preserve">SLA disponibilidad ALZ</w:t>
            </w:r>
          </w:p>
        </w:tc>
        <w:tc>
          <w:tcPr>
            <w:tcW w:type="dxa" w:w="2340"/>
            <w:tcBorders>
              <w:top w:val="single" w:color="F9A825" w:sz="8"/>
              <w:left w:val="single" w:color="AAAAAA" w:sz="4"/>
              <w:bottom w:val="single" w:color="AAAAAA" w:sz="4"/>
              <w:right w:val="single" w:color="AAAAAA" w:sz="4"/>
            </w:tcBorders>
            <w:shd w:fill="FFFDE7" w:val="clear"/>
            <w:tcMar>
              <w:top w:type="dxa" w:w="160"/>
              <w:left w:type="dxa" w:w="160"/>
              <w:bottom w:type="dxa" w:w="160"/>
              <w:right w:type="dxa" w:w="160"/>
            </w:tcMar>
            <w:vAlign w:val="center"/>
          </w:tcPr>
          <w:p>
            <w:pPr>
              <w:spacing w:before="0" w:after="40"/>
              <w:jc w:val="center"/>
            </w:pPr>
            <w:r>
              <w:rPr>
                <w:rFonts w:ascii="Calibri" w:cs="Calibri" w:eastAsia="Calibri" w:hAnsi="Calibri"/>
                <w:b/>
                <w:bCs/>
                <w:color w:val="F9A825"/>
                <w:sz w:val="64"/>
                <w:szCs w:val="64"/>
              </w:rPr>
              <w:t xml:space="preserve">7</w:t>
            </w:r>
          </w:p>
          <w:p>
            <w:pPr>
              <w:spacing w:before="0" w:after="0"/>
              <w:jc w:val="center"/>
            </w:pPr>
            <w:r>
              <w:rPr>
                <w:rFonts w:ascii="Calibri" w:cs="Calibri" w:eastAsia="Calibri" w:hAnsi="Calibri"/>
                <w:color w:val="0D2137"/>
                <w:sz w:val="18"/>
                <w:szCs w:val="18"/>
              </w:rPr>
              <w:t xml:space="preserve">certificaciones en el equipo</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Propuesta de Valor</w:t>
      </w:r>
    </w:p>
    <w:p>
      <w:pPr>
        <w:spacing w:before="60" w:after="60"/>
        <w:jc w:val="both"/>
      </w:pPr>
      <w:r>
        <w:rPr>
          <w:rFonts w:ascii="Calibri" w:cs="Calibri" w:eastAsia="Calibri" w:hAnsi="Calibri"/>
          <w:b w:val="false"/>
          <w:bCs w:val="false"/>
          <w:i w:val="false"/>
          <w:iCs w:val="false"/>
          <w:color w:val="0D0D0D"/>
          <w:sz w:val="20"/>
          <w:szCs w:val="20"/>
        </w:rPr>
        <w:t xml:space="preserve">La implementación de la Azure Landing Zone representa el fundamento tecnológico sobre el cual la institución podrá operar, escalar y gobernar sus cargas de trabajo en la nube de manera segura, eficiente y alineada a la regulación financiera mexicana. Los beneficios clave son:</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single" w:color="2E7D32" w:sz="4"/>
              <w:left w:val="single" w:color="2E7D32" w:sz="4"/>
              <w:bottom w:val="single" w:color="2E7D32" w:sz="4"/>
              <w:right w:val="single" w:color="2E7D32" w:sz="4"/>
            </w:tcBorders>
            <w:shd w:fill="E8F5E9" w:val="clear"/>
            <w:tcMar>
              <w:top w:type="dxa" w:w="140"/>
              <w:left w:type="dxa" w:w="180"/>
              <w:bottom w:type="dxa" w:w="140"/>
              <w:right w:type="dxa" w:w="180"/>
            </w:tcMar>
          </w:tcPr>
          <w:p>
            <w:pPr>
              <w:spacing w:before="0" w:after="80"/>
            </w:pPr>
            <w:r>
              <w:rPr>
                <w:rFonts w:ascii="Calibri" w:cs="Calibri" w:eastAsia="Calibri" w:hAnsi="Calibri"/>
                <w:b/>
                <w:bCs/>
                <w:color w:val="2E7D32"/>
                <w:sz w:val="21"/>
                <w:szCs w:val="21"/>
              </w:rPr>
              <w:t xml:space="preserve">✔  Ventajas de la Solución</w:t>
            </w:r>
          </w:p>
          <w:p>
            <w:pPr>
              <w:spacing w:before="50" w:after="50"/>
              <w:ind w:left="400"/>
            </w:pPr>
            <w:r>
              <w:rPr>
                <w:rFonts w:ascii="Calibri" w:cs="Calibri" w:eastAsia="Calibri" w:hAnsi="Calibri"/>
                <w:b/>
                <w:bCs/>
                <w:color w:val="2E7D32"/>
                <w:sz w:val="20"/>
                <w:szCs w:val="20"/>
              </w:rPr>
              <w:t xml:space="preserve">✔  </w:t>
            </w:r>
            <w:r>
              <w:rPr>
                <w:rFonts w:ascii="Calibri" w:cs="Calibri" w:eastAsia="Calibri" w:hAnsi="Calibri"/>
                <w:color w:val="0D0D0D"/>
                <w:sz w:val="20"/>
                <w:szCs w:val="20"/>
              </w:rPr>
              <w:t xml:space="preserve">Fundación cloud segura y gobernada desde el día 1</w:t>
            </w:r>
          </w:p>
          <w:p>
            <w:pPr>
              <w:spacing w:before="50" w:after="50"/>
              <w:ind w:left="400"/>
            </w:pPr>
            <w:r>
              <w:rPr>
                <w:rFonts w:ascii="Calibri" w:cs="Calibri" w:eastAsia="Calibri" w:hAnsi="Calibri"/>
                <w:b/>
                <w:bCs/>
                <w:color w:val="2E7D32"/>
                <w:sz w:val="20"/>
                <w:szCs w:val="20"/>
              </w:rPr>
              <w:t xml:space="preserve">✔  </w:t>
            </w:r>
            <w:r>
              <w:rPr>
                <w:rFonts w:ascii="Calibri" w:cs="Calibri" w:eastAsia="Calibri" w:hAnsi="Calibri"/>
                <w:color w:val="0D0D0D"/>
                <w:sz w:val="20"/>
                <w:szCs w:val="20"/>
              </w:rPr>
              <w:t xml:space="preserve">Alineación regulatoria CNBV / CUB integrada</w:t>
            </w:r>
          </w:p>
          <w:p>
            <w:pPr>
              <w:spacing w:before="50" w:after="50"/>
              <w:ind w:left="400"/>
            </w:pPr>
            <w:r>
              <w:rPr>
                <w:rFonts w:ascii="Calibri" w:cs="Calibri" w:eastAsia="Calibri" w:hAnsi="Calibri"/>
                <w:b/>
                <w:bCs/>
                <w:color w:val="2E7D32"/>
                <w:sz w:val="20"/>
                <w:szCs w:val="20"/>
              </w:rPr>
              <w:t xml:space="preserve">✔  </w:t>
            </w:r>
            <w:r>
              <w:rPr>
                <w:rFonts w:ascii="Calibri" w:cs="Calibri" w:eastAsia="Calibri" w:hAnsi="Calibri"/>
                <w:color w:val="0D0D0D"/>
                <w:sz w:val="20"/>
                <w:szCs w:val="20"/>
              </w:rPr>
              <w:t xml:space="preserve">Reducción de riesgos operativos y de seguridad</w:t>
            </w:r>
          </w:p>
          <w:p>
            <w:pPr>
              <w:spacing w:before="50" w:after="50"/>
              <w:ind w:left="400"/>
            </w:pPr>
            <w:r>
              <w:rPr>
                <w:rFonts w:ascii="Calibri" w:cs="Calibri" w:eastAsia="Calibri" w:hAnsi="Calibri"/>
                <w:b/>
                <w:bCs/>
                <w:color w:val="2E7D32"/>
                <w:sz w:val="20"/>
                <w:szCs w:val="20"/>
              </w:rPr>
              <w:t xml:space="preserve">✔  </w:t>
            </w:r>
            <w:r>
              <w:rPr>
                <w:rFonts w:ascii="Calibri" w:cs="Calibri" w:eastAsia="Calibri" w:hAnsi="Calibri"/>
                <w:color w:val="0D0D0D"/>
                <w:sz w:val="20"/>
                <w:szCs w:val="20"/>
              </w:rPr>
              <w:t xml:space="preserve">Automatización con IaC (Bicep/Terraform)</w:t>
            </w:r>
          </w:p>
          <w:p>
            <w:pPr>
              <w:spacing w:before="50" w:after="50"/>
              <w:ind w:left="400"/>
            </w:pPr>
            <w:r>
              <w:rPr>
                <w:rFonts w:ascii="Calibri" w:cs="Calibri" w:eastAsia="Calibri" w:hAnsi="Calibri"/>
                <w:b/>
                <w:bCs/>
                <w:color w:val="2E7D32"/>
                <w:sz w:val="20"/>
                <w:szCs w:val="20"/>
              </w:rPr>
              <w:t xml:space="preserve">✔  </w:t>
            </w:r>
            <w:r>
              <w:rPr>
                <w:rFonts w:ascii="Calibri" w:cs="Calibri" w:eastAsia="Calibri" w:hAnsi="Calibri"/>
                <w:color w:val="0D0D0D"/>
                <w:sz w:val="20"/>
                <w:szCs w:val="20"/>
              </w:rPr>
              <w:t xml:space="preserve">Visibilidad completa de costos (FinOps)</w:t>
            </w:r>
          </w:p>
          <w:p>
            <w:pPr>
              <w:spacing w:before="50" w:after="50"/>
              <w:ind w:left="400"/>
            </w:pPr>
            <w:r>
              <w:rPr>
                <w:rFonts w:ascii="Calibri" w:cs="Calibri" w:eastAsia="Calibri" w:hAnsi="Calibri"/>
                <w:b/>
                <w:bCs/>
                <w:color w:val="2E7D32"/>
                <w:sz w:val="20"/>
                <w:szCs w:val="20"/>
              </w:rPr>
              <w:t xml:space="preserve">✔  </w:t>
            </w:r>
            <w:r>
              <w:rPr>
                <w:rFonts w:ascii="Calibri" w:cs="Calibri" w:eastAsia="Calibri" w:hAnsi="Calibri"/>
                <w:color w:val="0D0D0D"/>
                <w:sz w:val="20"/>
                <w:szCs w:val="20"/>
              </w:rPr>
              <w:t xml:space="preserve">Transferencia real de conocimiento al equipo interno</w:t>
            </w:r>
          </w:p>
        </w:tc>
        <w:tc>
          <w:tcPr>
            <w:tcW w:type="dxa" w:w="4680"/>
            <w:tcBorders>
              <w:top w:val="single" w:color="C62828" w:sz="4"/>
              <w:left w:val="single" w:color="C62828" w:sz="4"/>
              <w:bottom w:val="single" w:color="C62828" w:sz="4"/>
              <w:right w:val="single" w:color="C62828" w:sz="4"/>
            </w:tcBorders>
            <w:shd w:fill="FFEBEE" w:val="clear"/>
            <w:tcMar>
              <w:top w:type="dxa" w:w="140"/>
              <w:left w:type="dxa" w:w="180"/>
              <w:bottom w:type="dxa" w:w="140"/>
              <w:right w:type="dxa" w:w="180"/>
            </w:tcMar>
          </w:tcPr>
          <w:p>
            <w:pPr>
              <w:spacing w:before="0" w:after="80"/>
            </w:pPr>
            <w:r>
              <w:rPr>
                <w:rFonts w:ascii="Calibri" w:cs="Calibri" w:eastAsia="Calibri" w:hAnsi="Calibri"/>
                <w:b/>
                <w:bCs/>
                <w:color w:val="C62828"/>
                <w:sz w:val="21"/>
                <w:szCs w:val="21"/>
              </w:rPr>
              <w:t xml:space="preserve">✘  Riesgos de No Actuar</w:t>
            </w:r>
          </w:p>
          <w:p>
            <w:pPr>
              <w:spacing w:before="50" w:after="50"/>
              <w:ind w:left="400"/>
            </w:pPr>
            <w:r>
              <w:rPr>
                <w:rFonts w:ascii="Calibri" w:cs="Calibri" w:eastAsia="Calibri" w:hAnsi="Calibri"/>
                <w:b/>
                <w:bCs/>
                <w:color w:val="C62828"/>
                <w:sz w:val="20"/>
                <w:szCs w:val="20"/>
              </w:rPr>
              <w:t xml:space="preserve">✘  </w:t>
            </w:r>
            <w:r>
              <w:rPr>
                <w:rFonts w:ascii="Calibri" w:cs="Calibri" w:eastAsia="Calibri" w:hAnsi="Calibri"/>
                <w:color w:val="0D0D0D"/>
                <w:sz w:val="20"/>
                <w:szCs w:val="20"/>
              </w:rPr>
              <w:t xml:space="preserve">Infraestructura cloud no gobernada ni auditada</w:t>
            </w:r>
          </w:p>
          <w:p>
            <w:pPr>
              <w:spacing w:before="50" w:after="50"/>
              <w:ind w:left="400"/>
            </w:pPr>
            <w:r>
              <w:rPr>
                <w:rFonts w:ascii="Calibri" w:cs="Calibri" w:eastAsia="Calibri" w:hAnsi="Calibri"/>
                <w:b/>
                <w:bCs/>
                <w:color w:val="C62828"/>
                <w:sz w:val="20"/>
                <w:szCs w:val="20"/>
              </w:rPr>
              <w:t xml:space="preserve">✘  </w:t>
            </w:r>
            <w:r>
              <w:rPr>
                <w:rFonts w:ascii="Calibri" w:cs="Calibri" w:eastAsia="Calibri" w:hAnsi="Calibri"/>
                <w:color w:val="0D0D0D"/>
                <w:sz w:val="20"/>
                <w:szCs w:val="20"/>
              </w:rPr>
              <w:t xml:space="preserve">Incumplimiento regulatorio CNBV con exposición a multas</w:t>
            </w:r>
          </w:p>
          <w:p>
            <w:pPr>
              <w:spacing w:before="50" w:after="50"/>
              <w:ind w:left="400"/>
            </w:pPr>
            <w:r>
              <w:rPr>
                <w:rFonts w:ascii="Calibri" w:cs="Calibri" w:eastAsia="Calibri" w:hAnsi="Calibri"/>
                <w:b/>
                <w:bCs/>
                <w:color w:val="C62828"/>
                <w:sz w:val="20"/>
                <w:szCs w:val="20"/>
              </w:rPr>
              <w:t xml:space="preserve">✘  </w:t>
            </w:r>
            <w:r>
              <w:rPr>
                <w:rFonts w:ascii="Calibri" w:cs="Calibri" w:eastAsia="Calibri" w:hAnsi="Calibri"/>
                <w:color w:val="0D0D0D"/>
                <w:sz w:val="20"/>
                <w:szCs w:val="20"/>
              </w:rPr>
              <w:t xml:space="preserve">Costos cloud sin control ni optimización</w:t>
            </w:r>
          </w:p>
          <w:p>
            <w:pPr>
              <w:spacing w:before="50" w:after="50"/>
              <w:ind w:left="400"/>
            </w:pPr>
            <w:r>
              <w:rPr>
                <w:rFonts w:ascii="Calibri" w:cs="Calibri" w:eastAsia="Calibri" w:hAnsi="Calibri"/>
                <w:b/>
                <w:bCs/>
                <w:color w:val="C62828"/>
                <w:sz w:val="20"/>
                <w:szCs w:val="20"/>
              </w:rPr>
              <w:t xml:space="preserve">✘  </w:t>
            </w:r>
            <w:r>
              <w:rPr>
                <w:rFonts w:ascii="Calibri" w:cs="Calibri" w:eastAsia="Calibri" w:hAnsi="Calibri"/>
                <w:color w:val="0D0D0D"/>
                <w:sz w:val="20"/>
                <w:szCs w:val="20"/>
              </w:rPr>
              <w:t xml:space="preserve">Tiempo de provisión lento, proceso manual y error-prone</w:t>
            </w:r>
          </w:p>
          <w:p>
            <w:pPr>
              <w:spacing w:before="50" w:after="50"/>
              <w:ind w:left="400"/>
            </w:pPr>
            <w:r>
              <w:rPr>
                <w:rFonts w:ascii="Calibri" w:cs="Calibri" w:eastAsia="Calibri" w:hAnsi="Calibri"/>
                <w:b/>
                <w:bCs/>
                <w:color w:val="C62828"/>
                <w:sz w:val="20"/>
                <w:szCs w:val="20"/>
              </w:rPr>
              <w:t xml:space="preserve">✘  </w:t>
            </w:r>
            <w:r>
              <w:rPr>
                <w:rFonts w:ascii="Calibri" w:cs="Calibri" w:eastAsia="Calibri" w:hAnsi="Calibri"/>
                <w:color w:val="0D0D0D"/>
                <w:sz w:val="20"/>
                <w:szCs w:val="20"/>
              </w:rPr>
              <w:t xml:space="preserve">Superficie de ataque amplia sin seguridad base</w:t>
            </w:r>
          </w:p>
          <w:p>
            <w:pPr>
              <w:spacing w:before="50" w:after="50"/>
              <w:ind w:left="400"/>
            </w:pPr>
            <w:r>
              <w:rPr>
                <w:rFonts w:ascii="Calibri" w:cs="Calibri" w:eastAsia="Calibri" w:hAnsi="Calibri"/>
                <w:b/>
                <w:bCs/>
                <w:color w:val="C62828"/>
                <w:sz w:val="20"/>
                <w:szCs w:val="20"/>
              </w:rPr>
              <w:t xml:space="preserve">✘  </w:t>
            </w:r>
            <w:r>
              <w:rPr>
                <w:rFonts w:ascii="Calibri" w:cs="Calibri" w:eastAsia="Calibri" w:hAnsi="Calibri"/>
                <w:color w:val="0D0D0D"/>
                <w:sz w:val="20"/>
                <w:szCs w:val="20"/>
              </w:rPr>
              <w:t xml:space="preserve">Dependencia de un solo proveedor sin DR documentado</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02</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Objetivo del Proyecto</w:t>
            </w:r>
          </w:p>
          <w:p>
            <w:pPr>
              <w:spacing w:before="0" w:after="0"/>
            </w:pPr>
            <w:r>
              <w:rPr>
                <w:rFonts w:ascii="Calibri" w:cs="Calibri" w:eastAsia="Calibri" w:hAnsi="Calibri"/>
                <w:i/>
                <w:iCs/>
                <w:color w:val="BBDEFB"/>
                <w:sz w:val="18"/>
                <w:szCs w:val="18"/>
              </w:rPr>
              <w:t xml:space="preserve">Qué se busca lograr con esta implementación</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Objetivo General</w:t>
      </w:r>
    </w:p>
    <w:p>
      <w:pPr>
        <w:spacing w:before="60" w:after="60"/>
        <w:jc w:val="both"/>
      </w:pPr>
      <w:r>
        <w:rPr>
          <w:rFonts w:ascii="Calibri" w:cs="Calibri" w:eastAsia="Calibri" w:hAnsi="Calibri"/>
          <w:b w:val="false"/>
          <w:bCs w:val="false"/>
          <w:i w:val="false"/>
          <w:iCs w:val="false"/>
          <w:color w:val="0D0D0D"/>
          <w:sz w:val="20"/>
          <w:szCs w:val="20"/>
        </w:rPr>
        <w:t xml:space="preserve">Diseñar, implementar y documentar una Azure Landing Zone empresarial (Enterprise-Scale ALZ) en la plataforma Microsoft Azure, alineada al Cloud Adoption Framework (CAF) y Well-Architected Framework (WAF), que provea a [NOMBRE DE LA INSTITUCIÓN] una base de nube segura, gobernada, escalable y compatible con los requerimientos regulatorios del sector financiero mexicano, habilitando tanto la migración de ambientes pre-productivos (Lift &amp; Shift) como el desarrollo de nuevas soluciones en modelos PaaS y cloud-native.</w:t>
      </w:r>
    </w:p>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Objetivos Específicos</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Dimensión</w:t>
            </w:r>
          </w:p>
        </w:tc>
        <w:tc>
          <w:tcPr>
            <w:tcW w:type="dxa" w:w="53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Objetivo Específico</w:t>
            </w:r>
          </w:p>
        </w:tc>
        <w:tc>
          <w:tcPr>
            <w:tcW w:type="dxa" w:w="1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KPI de Éxito</w:t>
            </w:r>
          </w:p>
        </w:tc>
      </w:tr>
      <w:tr>
        <w:tc>
          <w:tcPr>
            <w:tcW w:type="dxa" w:w="2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  Arquitectura</w:t>
            </w:r>
          </w:p>
        </w:tc>
        <w:tc>
          <w:tcPr>
            <w:tcW w:type="dxa" w:w="5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Implementar la jerarquía de Management Groups, suscripciones y topología Hub &amp; Spoke conforme al estándar ALZ de Microsoft sin variantes propietarias.</w:t>
            </w:r>
          </w:p>
        </w:tc>
        <w:tc>
          <w:tcPr>
            <w:tcW w:type="dxa" w:w="18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ALZ validada vs CAF</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  Identidad</w:t>
            </w:r>
          </w:p>
        </w:tc>
        <w:tc>
          <w:tcPr>
            <w:tcW w:type="dxa" w:w="5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Integrar Entra ID con RBAC granular, MFA, Acceso Condicional y PIM aplicando el principio de privilegio mínimo en todos los accesos administrativos.</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0 cuentas sin MFA</w:t>
            </w:r>
          </w:p>
        </w:tc>
      </w:tr>
      <w:tr>
        <w:tc>
          <w:tcPr>
            <w:tcW w:type="dxa" w:w="2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  Conectividad</w:t>
            </w:r>
          </w:p>
        </w:tc>
        <w:tc>
          <w:tcPr>
            <w:tcW w:type="dxa" w:w="5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Establecer conectividad híbrida (VPN/ExpressRoute), firewall centralizado y DNS privado eliminando la exposición de recursos PaaS a internet público.</w:t>
            </w:r>
          </w:p>
        </w:tc>
        <w:tc>
          <w:tcPr>
            <w:tcW w:type="dxa" w:w="18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0 IPs públicas no autorizadas</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  Seguridad</w:t>
            </w:r>
          </w:p>
        </w:tc>
        <w:tc>
          <w:tcPr>
            <w:tcW w:type="dxa" w:w="5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Desplegar Defender for Cloud, Sentinel y CMK, alcanzando un Secure Score ≥ 75 puntos y mapear los controles técnicos con los lineamientos CNBV/CUB.</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Secure Score ≥ 75</w:t>
            </w:r>
          </w:p>
        </w:tc>
      </w:tr>
      <w:tr>
        <w:tc>
          <w:tcPr>
            <w:tcW w:type="dxa" w:w="2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  Monitoreo</w:t>
            </w:r>
          </w:p>
        </w:tc>
        <w:tc>
          <w:tcPr>
            <w:tcW w:type="dxa" w:w="5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Centralizar logs, métricas y alertas en Log Analytics + Azure Monitor + Sentinel, con dashboards operativos y runbooks de respuesta a incidentes.</w:t>
            </w:r>
          </w:p>
        </w:tc>
        <w:tc>
          <w:tcPr>
            <w:tcW w:type="dxa" w:w="18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100% recursos con Diagnostic Settings</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  FinOps</w:t>
            </w:r>
          </w:p>
        </w:tc>
        <w:tc>
          <w:tcPr>
            <w:tcW w:type="dxa" w:w="5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Implementar presupuestos, alertas de gasto, políticas de apagado automático y un reporte mensual ejecutivo que permita controlar y optimizar el gasto cloud.</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Desviación &lt; 10% vs presupuesto</w:t>
            </w:r>
          </w:p>
        </w:tc>
      </w:tr>
      <w:tr>
        <w:tc>
          <w:tcPr>
            <w:tcW w:type="dxa" w:w="2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  Cumplimiento</w:t>
            </w:r>
          </w:p>
        </w:tc>
        <w:tc>
          <w:tcPr>
            <w:tcW w:type="dxa" w:w="5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Generar evidencias documentadas del cumplimiento de controles regulatorios aplicables de CNBV/CUB para respaldo ante auditorías internas y externas.</w:t>
            </w:r>
          </w:p>
        </w:tc>
        <w:tc>
          <w:tcPr>
            <w:tcW w:type="dxa" w:w="18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Reporte de cumplimiento entregado</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  Conocimiento</w:t>
            </w:r>
          </w:p>
        </w:tc>
        <w:tc>
          <w:tcPr>
            <w:tcW w:type="dxa" w:w="5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Capacitar al equipo de TI de la institución para operar, mantener y evolucionar la plataforma de forma autónoma al término del proyecto.</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Evaluación ≥ 80% en talleres</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03</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Arquitectura Recomendada</w:t>
            </w:r>
          </w:p>
          <w:p>
            <w:pPr>
              <w:spacing w:before="0" w:after="0"/>
            </w:pPr>
            <w:r>
              <w:rPr>
                <w:rFonts w:ascii="Calibri" w:cs="Calibri" w:eastAsia="Calibri" w:hAnsi="Calibri"/>
                <w:i/>
                <w:iCs/>
                <w:color w:val="BBDEFB"/>
                <w:sz w:val="18"/>
                <w:szCs w:val="18"/>
              </w:rPr>
              <w:t xml:space="preserve">Enterprise-Scale Azure Landing Zone — Hub &amp; Spoke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tcBorders>
              <w:top w:val="none"/>
              <w:left w:val="none"/>
              <w:bottom w:val="none"/>
              <w:right w:val="none"/>
            </w:tcBorders>
            <w:shd w:fill="2979D9" w:val="clear"/>
            <w:tcMar>
              <w:top w:type="dxa" w:w="120"/>
              <w:left w:type="dxa" w:w="100"/>
              <w:bottom w:type="dxa" w:w="120"/>
              <w:right w:type="dxa" w:w="100"/>
            </w:tcMar>
          </w:tcPr>
          <w:p>
            <w:pPr>
              <w:spacing w:before="80" w:after="80"/>
              <w:jc w:val="left"/>
            </w:pPr>
            <w:r>
              <w:rPr>
                <w:rFonts w:ascii="Calibri" w:cs="Calibri" w:eastAsia="Calibri" w:hAnsi="Calibri"/>
                <w:b w:val="false"/>
                <w:bCs w:val="false"/>
                <w:i w:val="false"/>
                <w:iCs w:val="false"/>
                <w:color w:val="0D0D0D"/>
                <w:sz w:val="18"/>
                <w:szCs w:val="18"/>
              </w:rPr>
              <w:t xml:space="preserve"/>
            </w:r>
          </w:p>
        </w:tc>
        <w:tc>
          <w:tcPr>
            <w:tcW w:type="dxa" w:w="9080"/>
            <w:tcBorders>
              <w:top w:val="none"/>
              <w:left w:val="none"/>
              <w:bottom w:val="none"/>
              <w:right w:val="none"/>
            </w:tcBorders>
            <w:shd w:fill="E3F2FD" w:val="clear"/>
            <w:tcMar>
              <w:top w:type="dxa" w:w="140"/>
              <w:left w:type="dxa" w:w="200"/>
              <w:bottom w:type="dxa" w:w="140"/>
              <w:right w:type="dxa" w:w="200"/>
            </w:tcMar>
          </w:tcPr>
          <w:p>
            <w:pPr>
              <w:spacing w:before="0" w:after="60"/>
            </w:pPr>
            <w:r>
              <w:rPr>
                <w:rFonts w:ascii="Calibri" w:cs="Calibri" w:eastAsia="Calibri" w:hAnsi="Calibri"/>
                <w:b/>
                <w:bCs/>
                <w:color w:val="2979D9"/>
                <w:sz w:val="21"/>
                <w:szCs w:val="21"/>
              </w:rPr>
              <w:t xml:space="preserve">📌 Fundamento:  </w:t>
            </w:r>
            <w:r>
              <w:rPr>
                <w:rFonts w:ascii="Calibri" w:cs="Calibri" w:eastAsia="Calibri" w:hAnsi="Calibri"/>
                <w:color w:val="0D0D0D"/>
                <w:sz w:val="20"/>
                <w:szCs w:val="20"/>
              </w:rPr>
              <w:t xml:space="preserve">Toda la arquitectura sigue el estándar Enterprise-Scale ALZ de Microsoft sin customizaciones propietarias, garantizando soporte continuo y actualizaciones del fabricante.</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3.1  Diagrama Conceptual — Jerarquía de Management Groups</w:t>
      </w:r>
    </w:p>
    <w:p>
      <w:pPr>
        <w:spacing w:before="60" w:after="60"/>
        <w:jc w:val="both"/>
      </w:pPr>
      <w:r>
        <w:rPr>
          <w:rFonts w:ascii="Calibri" w:cs="Calibri" w:eastAsia="Calibri" w:hAnsi="Calibri"/>
          <w:b w:val="false"/>
          <w:bCs w:val="false"/>
          <w:i w:val="false"/>
          <w:iCs w:val="false"/>
          <w:color w:val="0D0D0D"/>
          <w:sz w:val="20"/>
          <w:szCs w:val="20"/>
        </w:rPr>
        <w:t xml:space="preserve">La siguiente tabla representa la jerarquía de gobierno propuesta, desde el grupo raíz hasta las suscripciones de carga de trabajo:</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2560"/>
        <w:gridCol w:w="1400"/>
      </w:tblGrid>
      <w:tr>
        <w:tc>
          <w:tcPr>
            <w:tcW w:type="dxa" w:w="14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Nivel</w:t>
            </w:r>
          </w:p>
        </w:tc>
        <w:tc>
          <w:tcPr>
            <w:tcW w:type="dxa" w:w="40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Management Group / Suscripción</w:t>
            </w:r>
          </w:p>
        </w:tc>
        <w:tc>
          <w:tcPr>
            <w:tcW w:type="dxa" w:w="25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Propósito</w:t>
            </w:r>
          </w:p>
        </w:tc>
        <w:tc>
          <w:tcPr>
            <w:tcW w:type="dxa" w:w="14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Políticas Asignadas</w:t>
            </w:r>
          </w:p>
        </w:tc>
      </w:tr>
      <w:tr>
        <w:tc>
          <w:tcPr>
            <w:tcW w:type="dxa" w:w="14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0</w:t>
            </w:r>
          </w:p>
        </w:tc>
        <w:tc>
          <w:tcPr>
            <w:tcW w:type="dxa" w:w="4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[INSTITUCIÓN] (Raíz)</w:t>
            </w:r>
          </w:p>
        </w:tc>
        <w:tc>
          <w:tcPr>
            <w:tcW w:type="dxa" w:w="2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Grupo raíz — políticas globales de cumplimiento</w:t>
            </w:r>
          </w:p>
        </w:tc>
        <w:tc>
          <w:tcPr>
            <w:tcW w:type="dxa" w:w="1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ISO 27001, NIST SP 800-53</w:t>
            </w:r>
          </w:p>
        </w:tc>
      </w:tr>
      <w:tr>
        <w:tc>
          <w:tcPr>
            <w:tcW w:type="dxa" w:w="1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1</w:t>
            </w:r>
          </w:p>
        </w:tc>
        <w:tc>
          <w:tcPr>
            <w:tcW w:type="dxa" w:w="4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 Platform</w:t>
            </w:r>
          </w:p>
        </w:tc>
        <w:tc>
          <w:tcPr>
            <w:tcW w:type="dxa" w:w="2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Servicios centrales: identidad, red, operaciones</w:t>
            </w:r>
          </w:p>
        </w:tc>
        <w:tc>
          <w:tcPr>
            <w:tcW w:type="dxa" w:w="1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Diagnósticos obligatorios</w:t>
            </w:r>
          </w:p>
        </w:tc>
      </w:tr>
      <w:tr>
        <w:tc>
          <w:tcPr>
            <w:tcW w:type="dxa" w:w="14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2</w:t>
            </w:r>
          </w:p>
        </w:tc>
        <w:tc>
          <w:tcPr>
            <w:tcW w:type="dxa" w:w="4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9"/>
                <w:szCs w:val="19"/>
              </w:rPr>
              <w:t xml:space="preserve">│  ├─ Identity (Sub.)</w:t>
            </w:r>
          </w:p>
        </w:tc>
        <w:tc>
          <w:tcPr>
            <w:tcW w:type="dxa" w:w="2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Entra ID Connect, DC en nube</w:t>
            </w:r>
          </w:p>
        </w:tc>
        <w:tc>
          <w:tcPr>
            <w:tcW w:type="dxa" w:w="1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Sin IPs públicas</w:t>
            </w:r>
          </w:p>
        </w:tc>
      </w:tr>
      <w:tr>
        <w:tc>
          <w:tcPr>
            <w:tcW w:type="dxa" w:w="1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2</w:t>
            </w:r>
          </w:p>
        </w:tc>
        <w:tc>
          <w:tcPr>
            <w:tcW w:type="dxa" w:w="4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9"/>
                <w:szCs w:val="19"/>
              </w:rPr>
              <w:t xml:space="preserve">│  ├─ Connectivity (Sub.)</w:t>
            </w:r>
          </w:p>
        </w:tc>
        <w:tc>
          <w:tcPr>
            <w:tcW w:type="dxa" w:w="2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Hub: Firewall, VPN GW, DNS privado</w:t>
            </w:r>
          </w:p>
        </w:tc>
        <w:tc>
          <w:tcPr>
            <w:tcW w:type="dxa" w:w="1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Sin bypass de firewall</w:t>
            </w:r>
          </w:p>
        </w:tc>
      </w:tr>
      <w:tr>
        <w:tc>
          <w:tcPr>
            <w:tcW w:type="dxa" w:w="14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2</w:t>
            </w:r>
          </w:p>
        </w:tc>
        <w:tc>
          <w:tcPr>
            <w:tcW w:type="dxa" w:w="4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9"/>
                <w:szCs w:val="19"/>
              </w:rPr>
              <w:t xml:space="preserve">│  └─ Management (Sub.)</w:t>
            </w:r>
          </w:p>
        </w:tc>
        <w:tc>
          <w:tcPr>
            <w:tcW w:type="dxa" w:w="2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Log Analytics, Sentinel, Monitor, Backup</w:t>
            </w:r>
          </w:p>
        </w:tc>
        <w:tc>
          <w:tcPr>
            <w:tcW w:type="dxa" w:w="1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Retención 90 días</w:t>
            </w:r>
          </w:p>
        </w:tc>
      </w:tr>
      <w:tr>
        <w:tc>
          <w:tcPr>
            <w:tcW w:type="dxa" w:w="1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1</w:t>
            </w:r>
          </w:p>
        </w:tc>
        <w:tc>
          <w:tcPr>
            <w:tcW w:type="dxa" w:w="4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 Landing Zones</w:t>
            </w:r>
          </w:p>
        </w:tc>
        <w:tc>
          <w:tcPr>
            <w:tcW w:type="dxa" w:w="2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Cargas de trabajo de negocio</w:t>
            </w:r>
          </w:p>
        </w:tc>
        <w:tc>
          <w:tcPr>
            <w:tcW w:type="dxa" w:w="1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Tags obligatorios, CMK</w:t>
            </w:r>
          </w:p>
        </w:tc>
      </w:tr>
      <w:tr>
        <w:tc>
          <w:tcPr>
            <w:tcW w:type="dxa" w:w="14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2</w:t>
            </w:r>
          </w:p>
        </w:tc>
        <w:tc>
          <w:tcPr>
            <w:tcW w:type="dxa" w:w="4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9"/>
                <w:szCs w:val="19"/>
              </w:rPr>
              <w:t xml:space="preserve">│  ├─ Corp-Prod (Sub.)</w:t>
            </w:r>
          </w:p>
        </w:tc>
        <w:tc>
          <w:tcPr>
            <w:tcW w:type="dxa" w:w="2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Aplicaciones productivas reguladas</w:t>
            </w:r>
          </w:p>
        </w:tc>
        <w:tc>
          <w:tcPr>
            <w:tcW w:type="dxa" w:w="1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Deny acceso público PaaS</w:t>
            </w:r>
          </w:p>
        </w:tc>
      </w:tr>
      <w:tr>
        <w:tc>
          <w:tcPr>
            <w:tcW w:type="dxa" w:w="1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2</w:t>
            </w:r>
          </w:p>
        </w:tc>
        <w:tc>
          <w:tcPr>
            <w:tcW w:type="dxa" w:w="4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9"/>
                <w:szCs w:val="19"/>
              </w:rPr>
              <w:t xml:space="preserve">│  └─ Corp-PreProd (Sub.)</w:t>
            </w:r>
          </w:p>
        </w:tc>
        <w:tc>
          <w:tcPr>
            <w:tcW w:type="dxa" w:w="2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QA/UAT y Lift &amp; Shift</w:t>
            </w:r>
          </w:p>
        </w:tc>
        <w:tc>
          <w:tcPr>
            <w:tcW w:type="dxa" w:w="1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Apagado automático 20:00h</w:t>
            </w:r>
          </w:p>
        </w:tc>
      </w:tr>
      <w:tr>
        <w:tc>
          <w:tcPr>
            <w:tcW w:type="dxa" w:w="14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455A64"/>
                <w:sz w:val="18"/>
                <w:szCs w:val="18"/>
              </w:rPr>
              <w:t xml:space="preserve">Nivel 1</w:t>
            </w:r>
          </w:p>
        </w:tc>
        <w:tc>
          <w:tcPr>
            <w:tcW w:type="dxa" w:w="4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 Sandbox</w:t>
            </w:r>
          </w:p>
        </w:tc>
        <w:tc>
          <w:tcPr>
            <w:tcW w:type="dxa" w:w="2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Innovación y pruebas con presupuesto acotado</w:t>
            </w:r>
          </w:p>
        </w:tc>
        <w:tc>
          <w:tcPr>
            <w:tcW w:type="dxa" w:w="14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Budget $X MXN/mes</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3.2  Topología de Red — Hub &amp; Spoke</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Componente</w:t>
            </w:r>
          </w:p>
        </w:tc>
        <w:tc>
          <w:tcPr>
            <w:tcW w:type="dxa" w:w="436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Descripción Técnica</w:t>
            </w:r>
          </w:p>
        </w:tc>
        <w:tc>
          <w:tcPr>
            <w:tcW w:type="dxa" w:w="220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SKU / Tier</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Hub VNet (Connectivity)</w:t>
            </w:r>
          </w:p>
        </w:tc>
        <w:tc>
          <w:tcPr>
            <w:tcW w:type="dxa" w:w="4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Red central. Todo el tráfico norte-sur y este-oeste pasa por aquí antes de llegar a los spokes.</w:t>
            </w:r>
          </w:p>
        </w:tc>
        <w:tc>
          <w:tcPr>
            <w:tcW w:type="dxa" w:w="22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10.0.0.0/16</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Azure Firewall Premium</w:t>
            </w:r>
          </w:p>
        </w:tc>
        <w:tc>
          <w:tcPr>
            <w:tcW w:type="dxa" w:w="4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Inspección de paquetes con IDPS, TLS inspection, FQDN filtering. Egress controlado obligatorio.</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Premium SKU</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VPN Gateway / ExpressRoute</w:t>
            </w:r>
          </w:p>
        </w:tc>
        <w:tc>
          <w:tcPr>
            <w:tcW w:type="dxa" w:w="4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Conectividad site-to-site con datacenter on-premises. Activo-activo para alta disponibilidad.</w:t>
            </w:r>
          </w:p>
        </w:tc>
        <w:tc>
          <w:tcPr>
            <w:tcW w:type="dxa" w:w="22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VpnGw2 / ER Standard</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Azure Private DNS</w:t>
            </w:r>
          </w:p>
        </w:tc>
        <w:tc>
          <w:tcPr>
            <w:tcW w:type="dxa" w:w="4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Resolución privada de todos los servicios PaaS. Elimina DNS público.</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10 zonas privadas</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DDoS Protection Standard</w:t>
            </w:r>
          </w:p>
        </w:tc>
        <w:tc>
          <w:tcPr>
            <w:tcW w:type="dxa" w:w="4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Protección ante ataques volumétricos en las VNets de producción.</w:t>
            </w:r>
          </w:p>
        </w:tc>
        <w:tc>
          <w:tcPr>
            <w:tcW w:type="dxa" w:w="22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Standard (Hub + Prod)</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Spoke Corp-Prod</w:t>
            </w:r>
          </w:p>
        </w:tc>
        <w:tc>
          <w:tcPr>
            <w:tcW w:type="dxa" w:w="4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VNet spoke para aplicaciones productivas. Conectada al hub via VNet Peering con UDR forzado.</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10.1.0.0/20</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Spoke Corp-PreProd</w:t>
            </w:r>
          </w:p>
        </w:tc>
        <w:tc>
          <w:tcPr>
            <w:tcW w:type="dxa" w:w="4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VNet spoke para ambientes de QA/UAT y lift &amp; shift.</w:t>
            </w:r>
          </w:p>
        </w:tc>
        <w:tc>
          <w:tcPr>
            <w:tcW w:type="dxa" w:w="22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10.2.0.0/20</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NSG + Flow Logs</w:t>
            </w:r>
          </w:p>
        </w:tc>
        <w:tc>
          <w:tcPr>
            <w:tcW w:type="dxa" w:w="4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Grupos de seguridad de red en todas las subnets con Flow Logs a Log Analytics.</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En todas las subnets</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Private Endpoints</w:t>
            </w:r>
          </w:p>
        </w:tc>
        <w:tc>
          <w:tcPr>
            <w:tcW w:type="dxa" w:w="4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Todos los servicios PaaS (Storage, SQL, Key Vault, ACR) expuestos solo internamente.</w:t>
            </w:r>
          </w:p>
        </w:tc>
        <w:tc>
          <w:tcPr>
            <w:tcW w:type="dxa" w:w="22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0838F"/>
                <w:sz w:val="18"/>
                <w:szCs w:val="18"/>
              </w:rPr>
              <w:t xml:space="preserve">~30 endpoints</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3.3  Pilares de la Arquitectura (Well-Architected Framework)</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Pilar WAF</w:t>
            </w:r>
          </w:p>
        </w:tc>
        <w:tc>
          <w:tcPr>
            <w:tcW w:type="dxa" w:w="51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Controles Implementados</w:t>
            </w:r>
          </w:p>
        </w:tc>
        <w:tc>
          <w:tcPr>
            <w:tcW w:type="dxa" w:w="22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Herramientas Azure</w:t>
            </w:r>
          </w:p>
        </w:tc>
      </w:tr>
      <w:tr>
        <w:tc>
          <w:tcPr>
            <w:tcW w:type="dxa" w:w="20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9"/>
                <w:szCs w:val="19"/>
              </w:rPr>
              <w:t xml:space="preserve">⚡ Fiabilidad</w:t>
            </w:r>
          </w:p>
        </w:tc>
        <w:tc>
          <w:tcPr>
            <w:tcW w:type="dxa" w:w="5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Zonas de disponibilidad, activo-activo en GW, backups probados, plan de DR con RTO/RPO definidos por carga de trabajo.</w:t>
            </w:r>
          </w:p>
        </w:tc>
        <w:tc>
          <w:tcPr>
            <w:tcW w:type="dxa" w:w="2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Site Recovery, Backup, Traffic Manager</w:t>
            </w:r>
          </w:p>
        </w:tc>
      </w:tr>
      <w:tr>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9"/>
                <w:szCs w:val="19"/>
              </w:rPr>
              <w:t xml:space="preserve">🔒 Seguridad</w:t>
            </w:r>
          </w:p>
        </w:tc>
        <w:tc>
          <w:tcPr>
            <w:tcW w:type="dxa" w:w="5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Zero Trust, CMK, Defender for Cloud, Sentinel, Conditional Access, PIM, Secure Score ≥ 75.</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Defender, Sentinel, Key Vault</w:t>
            </w:r>
          </w:p>
        </w:tc>
      </w:tr>
      <w:tr>
        <w:tc>
          <w:tcPr>
            <w:tcW w:type="dxa" w:w="20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9"/>
                <w:szCs w:val="19"/>
              </w:rPr>
              <w:t xml:space="preserve">💰 Optimización Costos</w:t>
            </w:r>
          </w:p>
        </w:tc>
        <w:tc>
          <w:tcPr>
            <w:tcW w:type="dxa" w:w="5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Reserved Instances, Budget Alerts, Advisor, apagado automático, rightsizing trimestral.</w:t>
            </w:r>
          </w:p>
        </w:tc>
        <w:tc>
          <w:tcPr>
            <w:tcW w:type="dxa" w:w="2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Cost Management, Advisor</w:t>
            </w:r>
          </w:p>
        </w:tc>
      </w:tr>
      <w:tr>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9"/>
                <w:szCs w:val="19"/>
              </w:rPr>
              <w:t xml:space="preserve">🛠️ Excelencia Operativa</w:t>
            </w:r>
          </w:p>
        </w:tc>
        <w:tc>
          <w:tcPr>
            <w:tcW w:type="dxa" w:w="5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IaC con Bicep/Terraform, CI/CD pipelines, runbooks, procesos ITSM, revisiones mensuales.</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Azure DevOps, Monitor, Policy</w:t>
            </w:r>
          </w:p>
        </w:tc>
      </w:tr>
      <w:tr>
        <w:tc>
          <w:tcPr>
            <w:tcW w:type="dxa" w:w="20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9"/>
                <w:szCs w:val="19"/>
              </w:rPr>
              <w:t xml:space="preserve">🚀 Rendimiento</w:t>
            </w:r>
          </w:p>
        </w:tc>
        <w:tc>
          <w:tcPr>
            <w:tcW w:type="dxa" w:w="5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Autoscaling, CDN para activos estáticos, caching con Redis, Private Endpoints para latencia mínima.</w:t>
            </w:r>
          </w:p>
        </w:tc>
        <w:tc>
          <w:tcPr>
            <w:tcW w:type="dxa" w:w="2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VMSS, Front Door, Redis Cache</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04</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Alcance del Proyecto</w:t>
            </w:r>
          </w:p>
          <w:p>
            <w:pPr>
              <w:spacing w:before="0" w:after="0"/>
            </w:pPr>
            <w:r>
              <w:rPr>
                <w:rFonts w:ascii="Calibri" w:cs="Calibri" w:eastAsia="Calibri" w:hAnsi="Calibri"/>
                <w:i/>
                <w:iCs/>
                <w:color w:val="BBDEFB"/>
                <w:sz w:val="18"/>
                <w:szCs w:val="18"/>
              </w:rPr>
              <w:t xml:space="preserve">Qué incluye y qué está fuera de esta propuesta</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4.1  Dentro del Alcance ✔</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565C0" w:sz="4"/>
              <w:left w:val="single" w:color="1565C0" w:sz="4"/>
              <w:bottom w:val="single" w:color="1565C0" w:sz="4"/>
              <w:right w:val="single" w:color="1565C0" w:sz="4"/>
            </w:tcBorders>
            <w:shd w:fill="2E7D32"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Área</w:t>
            </w:r>
          </w:p>
        </w:tc>
        <w:tc>
          <w:tcPr>
            <w:tcW w:type="dxa" w:w="6960"/>
            <w:tcBorders>
              <w:top w:val="single" w:color="1565C0" w:sz="4"/>
              <w:left w:val="single" w:color="1565C0" w:sz="4"/>
              <w:bottom w:val="single" w:color="1565C0" w:sz="4"/>
              <w:right w:val="single" w:color="1565C0" w:sz="4"/>
            </w:tcBorders>
            <w:shd w:fill="2E7D32"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Entregables Incluidos</w:t>
            </w:r>
          </w:p>
        </w:tc>
      </w:tr>
      <w:tr>
        <w:tc>
          <w:tcPr>
            <w:tcW w:type="dxa" w:w="24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bCs/>
                <w:color w:val="2E7D32"/>
                <w:sz w:val="18"/>
                <w:szCs w:val="18"/>
              </w:rPr>
              <w:t xml:space="preserve">Arquitectura &amp; Gobierno</w:t>
            </w:r>
          </w:p>
        </w:tc>
        <w:tc>
          <w:tcPr>
            <w:tcW w:type="dxa" w:w="69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Diseño e implementación de Management Groups, suscripciones (Identity, Connectivity, Management, Corp-Prod, Corp-PreProd, Sandbox), naming convention, tagging policy, Azure Policy en modo Enforce, Azure Blueprints / Deployment Stacks.</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2E7D32"/>
                <w:sz w:val="18"/>
                <w:szCs w:val="18"/>
              </w:rPr>
              <w:t xml:space="preserve">Identidad &amp; Acceso</w:t>
            </w:r>
          </w:p>
        </w:tc>
        <w:tc>
          <w:tcPr>
            <w:tcW w:type="dxa" w:w="69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Integración Entra ID, sincronización AD on-premises (si aplica), RBAC por suscripción, MFA y Acceso Condicional para administradores, PIM, Managed Identities, Break-glass accounts.</w:t>
            </w:r>
          </w:p>
        </w:tc>
      </w:tr>
      <w:tr>
        <w:tc>
          <w:tcPr>
            <w:tcW w:type="dxa" w:w="24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bCs/>
                <w:color w:val="2E7D32"/>
                <w:sz w:val="18"/>
                <w:szCs w:val="18"/>
              </w:rPr>
              <w:t xml:space="preserve">Networking</w:t>
            </w:r>
          </w:p>
        </w:tc>
        <w:tc>
          <w:tcPr>
            <w:tcW w:type="dxa" w:w="69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Hub &amp; Spoke, Azure Firewall Premium con IDPS, VPN Gateway activo-activo (o preparación para ExpressRoute), Private DNS Zones, Private Endpoints para servicios PaaS, NSGs + Flow Logs, DDoS Protection Standard en VNets producción.</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2E7D32"/>
                <w:sz w:val="18"/>
                <w:szCs w:val="18"/>
              </w:rPr>
              <w:t xml:space="preserve">Seguridad &amp; Cumplimiento</w:t>
            </w:r>
          </w:p>
        </w:tc>
        <w:tc>
          <w:tcPr>
            <w:tcW w:type="dxa" w:w="69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Defender for Cloud (Servers P2, Storage, SQL, Key Vault, App Service, Containers), Sentinel con conectores nativos y reglas analíticas base, CMK con Key Vault Premium (HSM), mapeo de controles CNBV/CUB, evidencias regulatorias.</w:t>
            </w:r>
          </w:p>
        </w:tc>
      </w:tr>
      <w:tr>
        <w:tc>
          <w:tcPr>
            <w:tcW w:type="dxa" w:w="24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bCs/>
                <w:color w:val="2E7D32"/>
                <w:sz w:val="18"/>
                <w:szCs w:val="18"/>
              </w:rPr>
              <w:t xml:space="preserve">Monitoreo &amp; Operación</w:t>
            </w:r>
          </w:p>
        </w:tc>
        <w:tc>
          <w:tcPr>
            <w:tcW w:type="dxa" w:w="69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Log Analytics Workspace centralizado (retención 90 días), Azure Monitor con alertas, Diagnostic Settings en todos los recursos, dashboards operativos (Workbooks), runbooks de operación base, Azure Backup con prueba de restauración, lineamientos de DR.</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2E7D32"/>
                <w:sz w:val="18"/>
                <w:szCs w:val="18"/>
              </w:rPr>
              <w:t xml:space="preserve">FinOps</w:t>
            </w:r>
          </w:p>
        </w:tc>
        <w:tc>
          <w:tcPr>
            <w:tcW w:type="dxa" w:w="69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Budgets por suscripción (alertas 70%/90%/100%), dashboards de costos por entorno y etiqueta, Azure Advisor, políticas de apagado automático, reporte mensual ejecutivo, recomendaciones de Reserved Instances.</w:t>
            </w:r>
          </w:p>
        </w:tc>
      </w:tr>
      <w:tr>
        <w:tc>
          <w:tcPr>
            <w:tcW w:type="dxa" w:w="24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bCs/>
                <w:color w:val="2E7D32"/>
                <w:sz w:val="18"/>
                <w:szCs w:val="18"/>
              </w:rPr>
              <w:t xml:space="preserve">IaC &amp; Automatización</w:t>
            </w:r>
          </w:p>
        </w:tc>
        <w:tc>
          <w:tcPr>
            <w:tcW w:type="dxa" w:w="69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Repositorio Git con módulos Bicep o Terraform según acuerdo, pipelines CI/CD (Azure DevOps o GitHub Actions), drift detection automatizado.</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2E7D32"/>
                <w:sz w:val="18"/>
                <w:szCs w:val="18"/>
              </w:rPr>
              <w:t xml:space="preserve">Transferencia de Conocimiento</w:t>
            </w:r>
          </w:p>
        </w:tc>
        <w:tc>
          <w:tcPr>
            <w:tcW w:type="dxa" w:w="69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2 talleres prácticos (operación ALZ + seguridad/Sentinel), material de capacitación, documentación técnica y operativa, evaluación del equipo.</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4.2  Fuera del Alcance ✘</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tcBorders>
              <w:top w:val="none"/>
              <w:left w:val="none"/>
              <w:bottom w:val="none"/>
              <w:right w:val="none"/>
            </w:tcBorders>
            <w:shd w:fill="C62828" w:val="clear"/>
            <w:tcMar>
              <w:top w:type="dxa" w:w="120"/>
              <w:left w:type="dxa" w:w="100"/>
              <w:bottom w:type="dxa" w:w="120"/>
              <w:right w:type="dxa" w:w="100"/>
            </w:tcMar>
          </w:tcPr>
          <w:p>
            <w:pPr>
              <w:spacing w:before="80" w:after="80"/>
              <w:jc w:val="left"/>
            </w:pPr>
            <w:r>
              <w:rPr>
                <w:rFonts w:ascii="Calibri" w:cs="Calibri" w:eastAsia="Calibri" w:hAnsi="Calibri"/>
                <w:b w:val="false"/>
                <w:bCs w:val="false"/>
                <w:i w:val="false"/>
                <w:iCs w:val="false"/>
                <w:color w:val="0D0D0D"/>
                <w:sz w:val="18"/>
                <w:szCs w:val="18"/>
              </w:rPr>
              <w:t xml:space="preserve"/>
            </w:r>
          </w:p>
        </w:tc>
        <w:tc>
          <w:tcPr>
            <w:tcW w:type="dxa" w:w="9080"/>
            <w:tcBorders>
              <w:top w:val="none"/>
              <w:left w:val="none"/>
              <w:bottom w:val="none"/>
              <w:right w:val="none"/>
            </w:tcBorders>
            <w:shd w:fill="FFEBEE" w:val="clear"/>
            <w:tcMar>
              <w:top w:type="dxa" w:w="140"/>
              <w:left w:type="dxa" w:w="200"/>
              <w:bottom w:type="dxa" w:w="140"/>
              <w:right w:type="dxa" w:w="200"/>
            </w:tcMar>
          </w:tcPr>
          <w:p>
            <w:pPr>
              <w:spacing w:before="0" w:after="60"/>
            </w:pPr>
            <w:r>
              <w:rPr>
                <w:rFonts w:ascii="Calibri" w:cs="Calibri" w:eastAsia="Calibri" w:hAnsi="Calibri"/>
                <w:b/>
                <w:bCs/>
                <w:color w:val="C62828"/>
                <w:sz w:val="21"/>
                <w:szCs w:val="21"/>
              </w:rPr>
              <w:t xml:space="preserve">⚠️ Importante:  </w:t>
            </w:r>
            <w:r>
              <w:rPr>
                <w:rFonts w:ascii="Calibri" w:cs="Calibri" w:eastAsia="Calibri" w:hAnsi="Calibri"/>
                <w:color w:val="0D0D0D"/>
                <w:sz w:val="20"/>
                <w:szCs w:val="20"/>
              </w:rPr>
              <w:t xml:space="preserve">Los siguientes puntos NO están incluidos en esta propuesta. Pueden ser objeto de un engagement adicional si la institución lo requiere.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1565C0" w:sz="4"/>
              <w:left w:val="single" w:color="1565C0" w:sz="4"/>
              <w:bottom w:val="single" w:color="1565C0" w:sz="4"/>
              <w:right w:val="single" w:color="1565C0" w:sz="4"/>
            </w:tcBorders>
            <w:shd w:fill="C62828"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Área Excluida</w:t>
            </w:r>
          </w:p>
        </w:tc>
        <w:tc>
          <w:tcPr>
            <w:tcW w:type="dxa" w:w="4560"/>
            <w:tcBorders>
              <w:top w:val="single" w:color="1565C0" w:sz="4"/>
              <w:left w:val="single" w:color="1565C0" w:sz="4"/>
              <w:bottom w:val="single" w:color="1565C0" w:sz="4"/>
              <w:right w:val="single" w:color="1565C0" w:sz="4"/>
            </w:tcBorders>
            <w:shd w:fill="C62828"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Detalle / Razón de Exclusión</w:t>
            </w:r>
          </w:p>
        </w:tc>
        <w:tc>
          <w:tcPr>
            <w:tcW w:type="dxa" w:w="1800"/>
            <w:tcBorders>
              <w:top w:val="single" w:color="1565C0" w:sz="4"/>
              <w:left w:val="single" w:color="1565C0" w:sz="4"/>
              <w:bottom w:val="single" w:color="1565C0" w:sz="4"/>
              <w:right w:val="single" w:color="1565C0" w:sz="4"/>
            </w:tcBorders>
            <w:shd w:fill="C62828"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Alternativa Sugerida</w:t>
            </w:r>
          </w:p>
        </w:tc>
      </w:tr>
      <w:tr>
        <w:tc>
          <w:tcPr>
            <w:tcW w:type="dxa" w:w="30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left"/>
            </w:pPr>
            <w:r>
              <w:rPr>
                <w:rFonts w:ascii="Calibri" w:cs="Calibri" w:eastAsia="Calibri" w:hAnsi="Calibri"/>
                <w:b/>
                <w:bCs/>
                <w:color w:val="C62828"/>
                <w:sz w:val="18"/>
                <w:szCs w:val="18"/>
              </w:rPr>
              <w:t xml:space="preserve">Migración de aplicaciones</w:t>
            </w:r>
          </w:p>
        </w:tc>
        <w:tc>
          <w:tcPr>
            <w:tcW w:type="dxa" w:w="4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La ALZ es la fundación; la migración efectiva de cargas de trabajo (VMs, bases de datos, aplicaciones) es un proyecto separado posterior a la LZ.</w:t>
            </w:r>
          </w:p>
        </w:tc>
        <w:tc>
          <w:tcPr>
            <w:tcW w:type="dxa" w:w="18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Fase 2 posterior</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C62828"/>
                <w:sz w:val="18"/>
                <w:szCs w:val="18"/>
              </w:rPr>
              <w:t xml:space="preserve">Desarrollo de aplicaciones</w:t>
            </w:r>
          </w:p>
        </w:tc>
        <w:tc>
          <w:tcPr>
            <w:tcW w:type="dxa" w:w="4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No incluye desarrollo, refactoring ni modernización de aplicaciones de negocio.</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Proyecto independiente</w:t>
            </w:r>
          </w:p>
        </w:tc>
      </w:tr>
      <w:tr>
        <w:tc>
          <w:tcPr>
            <w:tcW w:type="dxa" w:w="30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left"/>
            </w:pPr>
            <w:r>
              <w:rPr>
                <w:rFonts w:ascii="Calibri" w:cs="Calibri" w:eastAsia="Calibri" w:hAnsi="Calibri"/>
                <w:b/>
                <w:bCs/>
                <w:color w:val="C62828"/>
                <w:sz w:val="18"/>
                <w:szCs w:val="18"/>
              </w:rPr>
              <w:t xml:space="preserve">Licencias de software de terceros</w:t>
            </w:r>
          </w:p>
        </w:tc>
        <w:tc>
          <w:tcPr>
            <w:tcW w:type="dxa" w:w="4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Licencias de SO (Windows Server, RHEL), software de base de datos, ERP, etc.</w:t>
            </w:r>
          </w:p>
        </w:tc>
        <w:tc>
          <w:tcPr>
            <w:tcW w:type="dxa" w:w="18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Gestión del cliente</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C62828"/>
                <w:sz w:val="18"/>
                <w:szCs w:val="18"/>
              </w:rPr>
              <w:t xml:space="preserve">Configuración de aplicaciones</w:t>
            </w:r>
          </w:p>
        </w:tc>
        <w:tc>
          <w:tcPr>
            <w:tcW w:type="dxa" w:w="4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Setup interno de aplicaciones existentes (ERPs, core bancario, portales) que se alojarán en la LZ.</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Proyecto de migración</w:t>
            </w:r>
          </w:p>
        </w:tc>
      </w:tr>
      <w:tr>
        <w:tc>
          <w:tcPr>
            <w:tcW w:type="dxa" w:w="30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left"/>
            </w:pPr>
            <w:r>
              <w:rPr>
                <w:rFonts w:ascii="Calibri" w:cs="Calibri" w:eastAsia="Calibri" w:hAnsi="Calibri"/>
                <w:b/>
                <w:bCs/>
                <w:color w:val="C62828"/>
                <w:sz w:val="18"/>
                <w:szCs w:val="18"/>
              </w:rPr>
              <w:t xml:space="preserve">Auditoría formal CNBV</w:t>
            </w:r>
          </w:p>
        </w:tc>
        <w:tc>
          <w:tcPr>
            <w:tcW w:type="dxa" w:w="4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El proyecto genera evidencias técnicas pero NO realiza ni garantiza el resultado de auditorías regulatorias formales.</w:t>
            </w:r>
          </w:p>
        </w:tc>
        <w:tc>
          <w:tcPr>
            <w:tcW w:type="dxa" w:w="18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Firma de auditores</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C62828"/>
                <w:sz w:val="18"/>
                <w:szCs w:val="18"/>
              </w:rPr>
              <w:t xml:space="preserve">Soporte de Azure (Microsoft)</w:t>
            </w:r>
          </w:p>
        </w:tc>
        <w:tc>
          <w:tcPr>
            <w:tcW w:type="dxa" w:w="4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El soporte comercial de Azure (tickets con Microsoft) es contratado directamente por la institución según el plan elegido.</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Plan Support Azure</w:t>
            </w:r>
          </w:p>
        </w:tc>
      </w:tr>
      <w:tr>
        <w:tc>
          <w:tcPr>
            <w:tcW w:type="dxa" w:w="3000"/>
            <w:tcBorders>
              <w:top w:val="single" w:color="AAAAAA" w:sz="4"/>
              <w:left w:val="single" w:color="AAAAAA" w:sz="4"/>
              <w:bottom w:val="single" w:color="AAAAAA" w:sz="4"/>
              <w:right w:val="single" w:color="AAAAAA" w:sz="4"/>
            </w:tcBorders>
            <w:shd w:fill="FFEBEE" w:val="clear"/>
            <w:tcMar>
              <w:top w:type="dxa" w:w="90"/>
              <w:left w:type="dxa" w:w="130"/>
              <w:bottom w:type="dxa" w:w="90"/>
              <w:right w:type="dxa" w:w="130"/>
            </w:tcMar>
            <w:vAlign w:val="center"/>
          </w:tcPr>
          <w:p>
            <w:pPr>
              <w:spacing w:before="80" w:after="80"/>
              <w:jc w:val="left"/>
            </w:pPr>
            <w:r>
              <w:rPr>
                <w:rFonts w:ascii="Calibri" w:cs="Calibri" w:eastAsia="Calibri" w:hAnsi="Calibri"/>
                <w:b/>
                <w:bCs/>
                <w:color w:val="C62828"/>
                <w:sz w:val="18"/>
                <w:szCs w:val="18"/>
              </w:rPr>
              <w:t xml:space="preserve">Integración con sistemas on-prem</w:t>
            </w:r>
          </w:p>
        </w:tc>
        <w:tc>
          <w:tcPr>
            <w:tcW w:type="dxa" w:w="4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Configuraciones específicas de equipos físicos, switches, routers o firewalls del datacenter on-premises.</w:t>
            </w:r>
          </w:p>
        </w:tc>
        <w:tc>
          <w:tcPr>
            <w:tcW w:type="dxa" w:w="18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Equipo de redes interno</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C62828"/>
                <w:sz w:val="18"/>
                <w:szCs w:val="18"/>
              </w:rPr>
              <w:t xml:space="preserve">Ambientes distintos a los pactados</w:t>
            </w:r>
          </w:p>
        </w:tc>
        <w:tc>
          <w:tcPr>
            <w:tcW w:type="dxa" w:w="4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Cualquier suscripción, entorno o carga de trabajo no contemplada en el alcance acordado durante la Fase 1.</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Change Request formal</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05</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Supuestos y Restricciones</w:t>
            </w:r>
          </w:p>
          <w:p>
            <w:pPr>
              <w:spacing w:before="0" w:after="0"/>
            </w:pPr>
            <w:r>
              <w:rPr>
                <w:rFonts w:ascii="Calibri" w:cs="Calibri" w:eastAsia="Calibri" w:hAnsi="Calibri"/>
                <w:i/>
                <w:iCs/>
                <w:color w:val="BBDEFB"/>
                <w:sz w:val="18"/>
                <w:szCs w:val="18"/>
              </w:rPr>
              <w:t xml:space="preserve">Condiciones bajo las cuales se elabora esta propuesta</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5.1  Supuestos del Proyecto</w:t>
      </w:r>
    </w:p>
    <w:p>
      <w:pPr>
        <w:spacing w:before="60" w:after="60"/>
        <w:jc w:val="both"/>
      </w:pPr>
      <w:r>
        <w:rPr>
          <w:rFonts w:ascii="Calibri" w:cs="Calibri" w:eastAsia="Calibri" w:hAnsi="Calibri"/>
          <w:b w:val="false"/>
          <w:bCs w:val="false"/>
          <w:i w:val="false"/>
          <w:iCs w:val="false"/>
          <w:color w:val="0D0D0D"/>
          <w:sz w:val="20"/>
          <w:szCs w:val="20"/>
        </w:rPr>
        <w:t xml:space="preserve">Esta propuesta se elaboró bajo los siguientes supuestos. En caso de que alguno no se cumpla, el alcance, costo y/o cronograma podrán verse afectados:</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c>
          <w:tcPr>
            <w:tcW w:type="dxa" w:w="6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w:t>
            </w:r>
          </w:p>
        </w:tc>
        <w:tc>
          <w:tcPr>
            <w:tcW w:type="dxa" w:w="51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Supuesto</w:t>
            </w:r>
          </w:p>
        </w:tc>
        <w:tc>
          <w:tcPr>
            <w:tcW w:type="dxa" w:w="36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Impacto si No Se Cumple</w:t>
            </w:r>
          </w:p>
        </w:tc>
      </w:tr>
      <w:tr>
        <w:tc>
          <w:tcPr>
            <w:tcW w:type="dxa" w:w="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S-01</w:t>
            </w:r>
          </w:p>
        </w:tc>
        <w:tc>
          <w:tcPr>
            <w:tcW w:type="dxa" w:w="5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La institución ya cuenta con una suscripción de Azure activa o puede activarla antes del kick-off. Se asignará a [Nombre del Proveedor] el rol de CSP o acceso delegado (Azure Lighthouse).</w:t>
            </w:r>
          </w:p>
        </w:tc>
        <w:tc>
          <w:tcPr>
            <w:tcW w:type="dxa" w:w="36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Retraso en el arranque del proyecto</w:t>
            </w:r>
          </w:p>
        </w:tc>
      </w:tr>
      <w:tr>
        <w:tc>
          <w:tcPr>
            <w:tcW w:type="dxa" w:w="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S-02</w:t>
            </w:r>
          </w:p>
        </w:tc>
        <w:tc>
          <w:tcPr>
            <w:tcW w:type="dxa" w:w="5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Existe patrocinio ejecutivo y un responsable técnico designado por la institución que participará en revisiones semanales y tomará decisiones técnicas en un plazo máximo de 3 días hábiles.</w:t>
            </w:r>
          </w:p>
        </w:tc>
        <w:tc>
          <w:tcPr>
            <w:tcW w:type="dxa" w:w="3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Riesgo de bloqueos en el cronograma</w:t>
            </w:r>
          </w:p>
        </w:tc>
      </w:tr>
      <w:tr>
        <w:tc>
          <w:tcPr>
            <w:tcW w:type="dxa" w:w="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S-03</w:t>
            </w:r>
          </w:p>
        </w:tc>
        <w:tc>
          <w:tcPr>
            <w:tcW w:type="dxa" w:w="5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El volumen de infraestructura a migrar es de tipo mediano: 20–60 VMs con un promedio de 4 vCPU / 16 GB RAM y discos Premium SSD de 256 GB.</w:t>
            </w:r>
          </w:p>
        </w:tc>
        <w:tc>
          <w:tcPr>
            <w:tcW w:type="dxa" w:w="36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Ajuste en costos de infraestructura</w:t>
            </w:r>
          </w:p>
        </w:tc>
      </w:tr>
      <w:tr>
        <w:tc>
          <w:tcPr>
            <w:tcW w:type="dxa" w:w="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S-04</w:t>
            </w:r>
          </w:p>
        </w:tc>
        <w:tc>
          <w:tcPr>
            <w:tcW w:type="dxa" w:w="5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La institución no cuenta con directorio on-premises (Entra ID puro) O bien dispone de un Active Directory Windows Server 2016+ para sincronización con Entra ID Connect.</w:t>
            </w:r>
          </w:p>
        </w:tc>
        <w:tc>
          <w:tcPr>
            <w:tcW w:type="dxa" w:w="3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Rediseño del modelo de identidad</w:t>
            </w:r>
          </w:p>
        </w:tc>
      </w:tr>
      <w:tr>
        <w:tc>
          <w:tcPr>
            <w:tcW w:type="dxa" w:w="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S-05</w:t>
            </w:r>
          </w:p>
        </w:tc>
        <w:tc>
          <w:tcPr>
            <w:tcW w:type="dxa" w:w="5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La conectividad híbrida se implementará vía VPN Gateway en esta fase. La migración a ExpressRoute, de requerirlo, será objeto de un engagement posterior.</w:t>
            </w:r>
          </w:p>
        </w:tc>
        <w:tc>
          <w:tcPr>
            <w:tcW w:type="dxa" w:w="36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Adicional de alcance y costo</w:t>
            </w:r>
          </w:p>
        </w:tc>
      </w:tr>
      <w:tr>
        <w:tc>
          <w:tcPr>
            <w:tcW w:type="dxa" w:w="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S-06</w:t>
            </w:r>
          </w:p>
        </w:tc>
        <w:tc>
          <w:tcPr>
            <w:tcW w:type="dxa" w:w="5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El equipo técnico de la institución tiene conocimientos básicos de Azure y dispondrá de al menos 4 horas semanales para participar en talleres y revisiones.</w:t>
            </w:r>
          </w:p>
        </w:tc>
        <w:tc>
          <w:tcPr>
            <w:tcW w:type="dxa" w:w="3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Extensión de la fase de capacitación</w:t>
            </w:r>
          </w:p>
        </w:tc>
      </w:tr>
      <w:tr>
        <w:tc>
          <w:tcPr>
            <w:tcW w:type="dxa" w:w="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S-07</w:t>
            </w:r>
          </w:p>
        </w:tc>
        <w:tc>
          <w:tcPr>
            <w:tcW w:type="dxa" w:w="5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Los servidores DNS del datacenter on-premises están documentados y son accesibles. No se realizará migración de DNS en esta fase.</w:t>
            </w:r>
          </w:p>
        </w:tc>
        <w:tc>
          <w:tcPr>
            <w:tcW w:type="dxa" w:w="36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Retraso en configuración de Private DNS</w:t>
            </w:r>
          </w:p>
        </w:tc>
      </w:tr>
      <w:tr>
        <w:tc>
          <w:tcPr>
            <w:tcW w:type="dxa" w:w="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S-08</w:t>
            </w:r>
          </w:p>
        </w:tc>
        <w:tc>
          <w:tcPr>
            <w:tcW w:type="dxa" w:w="5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Los requerimientos regulatorios CNBV/CUB aplicables a esta implementación serán proporcionados por el área de Cumplimiento de la institución antes del inicio de la Fase 4.</w:t>
            </w:r>
          </w:p>
        </w:tc>
        <w:tc>
          <w:tcPr>
            <w:tcW w:type="dxa" w:w="3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Riesgo en evidencias regulatorias</w:t>
            </w:r>
          </w:p>
        </w:tc>
      </w:tr>
      <w:tr>
        <w:tc>
          <w:tcPr>
            <w:tcW w:type="dxa" w:w="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S-09</w:t>
            </w:r>
          </w:p>
        </w:tc>
        <w:tc>
          <w:tcPr>
            <w:tcW w:type="dxa" w:w="5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El presupuesto de consumo de Azure está aprobado y disponible para el inicio del proyecto. [Nombre del Proveedor] actuará como CSP facturando el consumo en MXN.</w:t>
            </w:r>
          </w:p>
        </w:tc>
        <w:tc>
          <w:tcPr>
            <w:tcW w:type="dxa" w:w="3600"/>
            <w:tcBorders>
              <w:top w:val="single" w:color="AAAAAA" w:sz="4"/>
              <w:left w:val="single" w:color="AAAAAA" w:sz="4"/>
              <w:bottom w:val="single" w:color="AAAAAA" w:sz="4"/>
              <w:right w:val="single" w:color="AAAAAA" w:sz="4"/>
            </w:tcBorders>
            <w:shd w:fill="FFF3E0"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Bloqueo de recursos de plataforma</w:t>
            </w:r>
          </w:p>
        </w:tc>
      </w:tr>
      <w:tr>
        <w:tc>
          <w:tcPr>
            <w:tcW w:type="dxa" w:w="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8"/>
                <w:szCs w:val="18"/>
              </w:rPr>
              <w:t xml:space="preserve">S-10</w:t>
            </w:r>
          </w:p>
        </w:tc>
        <w:tc>
          <w:tcPr>
            <w:tcW w:type="dxa" w:w="5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Los ambientes sandbox y pre-productivos utilizarán políticas menos restrictivas pero igualmente documentadas. El ambiente productivo aplicará políticas en modo Enforce desde el inicio.</w:t>
            </w:r>
          </w:p>
        </w:tc>
        <w:tc>
          <w:tcPr>
            <w:tcW w:type="dxa" w:w="3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E65100"/>
                <w:sz w:val="17"/>
                <w:szCs w:val="17"/>
              </w:rPr>
              <w:t xml:space="preserve">Riesgo de políticas conflictivas</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5.2  Restricciones Conocidas</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565C0" w:sz="4"/>
              <w:left w:val="single" w:color="1565C0" w:sz="4"/>
              <w:bottom w:val="single" w:color="1565C0" w:sz="4"/>
              <w:right w:val="single" w:color="1565C0" w:sz="4"/>
            </w:tcBorders>
            <w:shd w:fill="455A64"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Restricción</w:t>
            </w:r>
          </w:p>
        </w:tc>
        <w:tc>
          <w:tcPr>
            <w:tcW w:type="dxa" w:w="5860"/>
            <w:tcBorders>
              <w:top w:val="single" w:color="1565C0" w:sz="4"/>
              <w:left w:val="single" w:color="1565C0" w:sz="4"/>
              <w:bottom w:val="single" w:color="1565C0" w:sz="4"/>
              <w:right w:val="single" w:color="1565C0" w:sz="4"/>
            </w:tcBorders>
            <w:shd w:fill="455A64"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Descripción</w:t>
            </w:r>
          </w:p>
        </w:tc>
      </w:tr>
      <w:tr>
        <w:tc>
          <w:tcPr>
            <w:tcW w:type="dxa" w:w="3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Región Azure</w:t>
            </w:r>
          </w:p>
        </w:tc>
        <w:tc>
          <w:tcPr>
            <w:tcW w:type="dxa" w:w="5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Mexico Central es la región primaria. Para DR/backup, se utilizará South Central US o East US 2 (más cercanas y con paridad de servicios para la región).</w:t>
            </w:r>
          </w:p>
        </w:tc>
      </w:tr>
      <w:tr>
        <w:tc>
          <w:tcPr>
            <w:tcW w:type="dxa" w:w="3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Regulación CNBV</w:t>
            </w:r>
          </w:p>
        </w:tc>
        <w:tc>
          <w:tcPr>
            <w:tcW w:type="dxa" w:w="5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Toda decisión arquitectónica que afecte el manejo de datos sensibles deberá ser validada con el área de Cumplimiento antes de su implementación.</w:t>
            </w:r>
          </w:p>
        </w:tc>
      </w:tr>
      <w:tr>
        <w:tc>
          <w:tcPr>
            <w:tcW w:type="dxa" w:w="3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Cambios en el alcance</w:t>
            </w:r>
          </w:p>
        </w:tc>
        <w:tc>
          <w:tcPr>
            <w:tcW w:type="dxa" w:w="5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Cualquier solicitud de cambio (CR) fuera del alcance acordado deberá seguir el proceso formal: solicitud escrita → evaluación de impacto → aprobación → ajuste de contrato.</w:t>
            </w:r>
          </w:p>
        </w:tc>
      </w:tr>
      <w:tr>
        <w:tc>
          <w:tcPr>
            <w:tcW w:type="dxa" w:w="3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Credenciales y accesos</w:t>
            </w:r>
          </w:p>
        </w:tc>
        <w:tc>
          <w:tcPr>
            <w:tcW w:type="dxa" w:w="5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[Nombre del Proveedor] operará con cuentas de servicio dedicadas con privilegio mínimo. No se almacenarán credenciales de la institución en sistemas del proveedor.</w:t>
            </w:r>
          </w:p>
        </w:tc>
      </w:tr>
      <w:tr>
        <w:tc>
          <w:tcPr>
            <w:tcW w:type="dxa" w:w="3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0D0D"/>
                <w:sz w:val="18"/>
                <w:szCs w:val="18"/>
              </w:rPr>
              <w:t xml:space="preserve">Ventanas de mantenimiento</w:t>
            </w:r>
          </w:p>
        </w:tc>
        <w:tc>
          <w:tcPr>
            <w:tcW w:type="dxa" w:w="5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Las actividades de implementación en ambientes productivos se realizarán en ventanas de cambio acordadas previamente con el área de operaciones de la institución.</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06</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Estimación de Recursos Humanos</w:t>
            </w:r>
          </w:p>
          <w:p>
            <w:pPr>
              <w:spacing w:before="0" w:after="0"/>
            </w:pPr>
            <w:r>
              <w:rPr>
                <w:rFonts w:ascii="Calibri" w:cs="Calibri" w:eastAsia="Calibri" w:hAnsi="Calibri"/>
                <w:i/>
                <w:iCs/>
                <w:color w:val="BBDEFB"/>
                <w:sz w:val="18"/>
                <w:szCs w:val="18"/>
              </w:rPr>
              <w:t xml:space="preserve">Equipo de proyecto y esfuerzo por fase</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6.1  Estructura del Equipo de Proyecto</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60"/>
        <w:gridCol w:w="1800"/>
        <w:gridCol w:w="1300"/>
      </w:tblGrid>
      <w:tr>
        <w:tc>
          <w:tcPr>
            <w:tcW w:type="dxa" w:w="26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Rol</w:t>
            </w:r>
          </w:p>
        </w:tc>
        <w:tc>
          <w:tcPr>
            <w:tcW w:type="dxa" w:w="36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Responsabilidades Clave</w:t>
            </w:r>
          </w:p>
        </w:tc>
        <w:tc>
          <w:tcPr>
            <w:tcW w:type="dxa" w:w="1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Certificaciones</w:t>
            </w:r>
          </w:p>
        </w:tc>
        <w:tc>
          <w:tcPr>
            <w:tcW w:type="dxa" w:w="13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Dedicación</w:t>
            </w:r>
          </w:p>
        </w:tc>
      </w:tr>
      <w:tr>
        <w:tc>
          <w:tcPr>
            <w:tcW w:type="dxa" w:w="2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Arquitecto Principal Azure</w:t>
            </w:r>
          </w:p>
        </w:tc>
        <w:tc>
          <w:tcPr>
            <w:tcW w:type="dxa" w:w="36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Liderazgo técnico, diseño HLD/LLD, revisión WAF, decisiones de arquitectura, validación final.</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AZ-305, AZ-104</w:t>
            </w:r>
          </w:p>
        </w:tc>
        <w:tc>
          <w:tcPr>
            <w:tcW w:type="dxa" w:w="13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100% F1-F7</w:t>
            </w:r>
          </w:p>
        </w:tc>
      </w:tr>
      <w:tr>
        <w:tc>
          <w:tcPr>
            <w:tcW w:type="dxa" w:w="2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Ingeniero de Red &amp; Conectividad</w:t>
            </w:r>
          </w:p>
        </w:tc>
        <w:tc>
          <w:tcPr>
            <w:tcW w:type="dxa" w:w="36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Hub &amp; Spoke, Firewall, VPN Gateway, NSG, Private DNS, Private Endpoints, flujos de tráfico.</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AZ-700</w:t>
            </w:r>
          </w:p>
        </w:tc>
        <w:tc>
          <w:tcPr>
            <w:tcW w:type="dxa" w:w="1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80% F2-F5</w:t>
            </w:r>
          </w:p>
        </w:tc>
      </w:tr>
      <w:tr>
        <w:tc>
          <w:tcPr>
            <w:tcW w:type="dxa" w:w="2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Especialista en Seguridad</w:t>
            </w:r>
          </w:p>
        </w:tc>
        <w:tc>
          <w:tcPr>
            <w:tcW w:type="dxa" w:w="36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Entra ID, PIM, RBAC, Defender for Cloud, Sentinel, CMK, Conditional Access, mapeo CNBV.</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SC-100, SC-200, SC-300</w:t>
            </w:r>
          </w:p>
        </w:tc>
        <w:tc>
          <w:tcPr>
            <w:tcW w:type="dxa" w:w="13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80% F3-F5</w:t>
            </w:r>
          </w:p>
        </w:tc>
      </w:tr>
      <w:tr>
        <w:tc>
          <w:tcPr>
            <w:tcW w:type="dxa" w:w="2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Ingeniero DevOps / IaC</w:t>
            </w:r>
          </w:p>
        </w:tc>
        <w:tc>
          <w:tcPr>
            <w:tcW w:type="dxa" w:w="36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Módulos Bicep/Terraform, pipelines CI/CD, Automation Account, Azure Policy, drift detection.</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AZ-400</w:t>
            </w:r>
          </w:p>
        </w:tc>
        <w:tc>
          <w:tcPr>
            <w:tcW w:type="dxa" w:w="1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80% F3-F5</w:t>
            </w:r>
          </w:p>
        </w:tc>
      </w:tr>
      <w:tr>
        <w:tc>
          <w:tcPr>
            <w:tcW w:type="dxa" w:w="2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Project Manager</w:t>
            </w:r>
          </w:p>
        </w:tc>
        <w:tc>
          <w:tcPr>
            <w:tcW w:type="dxa" w:w="36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Planificación, seguimiento, comunicación, gestión de riesgos y cambios, reportes ejecutivos.</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PMP / PMI-ACP</w:t>
            </w:r>
          </w:p>
        </w:tc>
        <w:tc>
          <w:tcPr>
            <w:tcW w:type="dxa" w:w="13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50% F1-F7</w:t>
            </w:r>
          </w:p>
        </w:tc>
      </w:tr>
      <w:tr>
        <w:tc>
          <w:tcPr>
            <w:tcW w:type="dxa" w:w="2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Consultor FinOps</w:t>
            </w:r>
          </w:p>
        </w:tc>
        <w:tc>
          <w:tcPr>
            <w:tcW w:type="dxa" w:w="36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Presupuestos, Cost Management, Advisor, Reserved Instances, reporte mensual ejecutivo.</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FinOps Practitioner</w:t>
            </w:r>
          </w:p>
        </w:tc>
        <w:tc>
          <w:tcPr>
            <w:tcW w:type="dxa" w:w="1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40% F5-F7</w:t>
            </w:r>
          </w:p>
        </w:tc>
      </w:tr>
      <w:tr>
        <w:tc>
          <w:tcPr>
            <w:tcW w:type="dxa" w:w="26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Especialista en Cumplimiento</w:t>
            </w:r>
          </w:p>
        </w:tc>
        <w:tc>
          <w:tcPr>
            <w:tcW w:type="dxa" w:w="36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Mapeo de controles CNBV/CUB, generación de evidencias regulatorias, revisión de políticas.</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1565C0"/>
                <w:sz w:val="17"/>
                <w:szCs w:val="17"/>
              </w:rPr>
              <w:t xml:space="preserve">CISA / CISSP</w:t>
            </w:r>
          </w:p>
        </w:tc>
        <w:tc>
          <w:tcPr>
            <w:tcW w:type="dxa" w:w="13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7"/>
                <w:szCs w:val="17"/>
              </w:rPr>
              <w:t xml:space="preserve">30% F4-F6</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6.2  Estimación de Esfuerzo por Fase (días-hombre)</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900"/>
        <w:gridCol w:w="900"/>
        <w:gridCol w:w="900"/>
        <w:gridCol w:w="900"/>
        <w:gridCol w:w="700"/>
        <w:gridCol w:w="760"/>
        <w:gridCol w:w="1000"/>
      </w:tblGrid>
      <w:tr>
        <w:tc>
          <w:tcPr>
            <w:tcW w:type="dxa" w:w="2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Fase</w:t>
            </w:r>
          </w:p>
        </w:tc>
        <w:tc>
          <w:tcPr>
            <w:tcW w:type="dxa" w:w="10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Arquitecto</w:t>
            </w:r>
          </w:p>
        </w:tc>
        <w:tc>
          <w:tcPr>
            <w:tcW w:type="dxa" w:w="9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Ing. Red</w:t>
            </w:r>
          </w:p>
        </w:tc>
        <w:tc>
          <w:tcPr>
            <w:tcW w:type="dxa" w:w="9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Seguridad</w:t>
            </w:r>
          </w:p>
        </w:tc>
        <w:tc>
          <w:tcPr>
            <w:tcW w:type="dxa" w:w="9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DevOps</w:t>
            </w:r>
          </w:p>
        </w:tc>
        <w:tc>
          <w:tcPr>
            <w:tcW w:type="dxa" w:w="9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PM</w:t>
            </w:r>
          </w:p>
        </w:tc>
        <w:tc>
          <w:tcPr>
            <w:tcW w:type="dxa" w:w="7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FinOps</w:t>
            </w:r>
          </w:p>
        </w:tc>
        <w:tc>
          <w:tcPr>
            <w:tcW w:type="dxa" w:w="7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Cumpl.</w:t>
            </w:r>
          </w:p>
        </w:tc>
        <w:tc>
          <w:tcPr>
            <w:tcW w:type="dxa" w:w="1000"/>
            <w:tcBorders>
              <w:top w:val="single" w:color="1565C0" w:sz="4"/>
              <w:left w:val="single" w:color="1565C0" w:sz="4"/>
              <w:bottom w:val="single" w:color="1565C0" w:sz="4"/>
              <w:right w:val="single" w:color="1565C0"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TOTAL</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F1 — Discovery &amp; Assessment</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6</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2</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2</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2</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4</w:t>
            </w:r>
          </w:p>
        </w:tc>
        <w:tc>
          <w:tcPr>
            <w:tcW w:type="dxa" w:w="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8"/>
                <w:szCs w:val="18"/>
              </w:rPr>
              <w:t xml:space="preserve">0</w:t>
            </w:r>
          </w:p>
        </w:tc>
        <w:tc>
          <w:tcPr>
            <w:tcW w:type="dxa" w:w="7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1</w:t>
            </w:r>
          </w:p>
        </w:tc>
        <w:tc>
          <w:tcPr>
            <w:tcW w:type="dxa" w:w="10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20"/>
                <w:szCs w:val="20"/>
              </w:rPr>
              <w:t xml:space="preserve">17</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F2 — Diseño de Arquitectura</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8</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4</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3</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2</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3</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8"/>
                <w:szCs w:val="18"/>
              </w:rPr>
              <w:t xml:space="preserve">0</w:t>
            </w:r>
          </w:p>
        </w:tc>
        <w:tc>
          <w:tcPr>
            <w:tcW w:type="dxa" w:w="7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2</w:t>
            </w:r>
          </w:p>
        </w:tc>
        <w:tc>
          <w:tcPr>
            <w:tcW w:type="dxa" w:w="10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20"/>
                <w:szCs w:val="20"/>
              </w:rPr>
              <w:t xml:space="preserve">22</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F3 — Implementación Core IaC</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8</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6</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4</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8</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3</w:t>
            </w:r>
          </w:p>
        </w:tc>
        <w:tc>
          <w:tcPr>
            <w:tcW w:type="dxa" w:w="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8"/>
                <w:szCs w:val="18"/>
              </w:rPr>
              <w:t xml:space="preserve">0</w:t>
            </w:r>
          </w:p>
        </w:tc>
        <w:tc>
          <w:tcPr>
            <w:tcW w:type="dxa" w:w="7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8"/>
                <w:szCs w:val="18"/>
              </w:rPr>
              <w:t xml:space="preserve">0</w:t>
            </w:r>
          </w:p>
        </w:tc>
        <w:tc>
          <w:tcPr>
            <w:tcW w:type="dxa" w:w="10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20"/>
                <w:szCs w:val="20"/>
              </w:rPr>
              <w:t xml:space="preserve">29</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F4 — Seguridad &amp; Cumplimiento</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4</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2</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8</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4</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2</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8"/>
                <w:szCs w:val="18"/>
              </w:rPr>
              <w:t xml:space="preserve">0</w:t>
            </w:r>
          </w:p>
        </w:tc>
        <w:tc>
          <w:tcPr>
            <w:tcW w:type="dxa" w:w="7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4</w:t>
            </w:r>
          </w:p>
        </w:tc>
        <w:tc>
          <w:tcPr>
            <w:tcW w:type="dxa" w:w="10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20"/>
                <w:szCs w:val="20"/>
              </w:rPr>
              <w:t xml:space="preserve">24</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F5 — Monitoreo &amp; FinOps</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3</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1</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2</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4</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2</w:t>
            </w:r>
          </w:p>
        </w:tc>
        <w:tc>
          <w:tcPr>
            <w:tcW w:type="dxa" w:w="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4</w:t>
            </w:r>
          </w:p>
        </w:tc>
        <w:tc>
          <w:tcPr>
            <w:tcW w:type="dxa" w:w="7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1</w:t>
            </w:r>
          </w:p>
        </w:tc>
        <w:tc>
          <w:tcPr>
            <w:tcW w:type="dxa" w:w="10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20"/>
                <w:szCs w:val="20"/>
              </w:rPr>
              <w:t xml:space="preserve">17</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F6 — Pruebas &amp; Validación UAT</w:t>
            </w:r>
          </w:p>
        </w:tc>
        <w:tc>
          <w:tcPr>
            <w:tcW w:type="dxa" w:w="1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4</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2</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2</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2</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3</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1</w:t>
            </w:r>
          </w:p>
        </w:tc>
        <w:tc>
          <w:tcPr>
            <w:tcW w:type="dxa" w:w="7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2</w:t>
            </w:r>
          </w:p>
        </w:tc>
        <w:tc>
          <w:tcPr>
            <w:tcW w:type="dxa" w:w="10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20"/>
                <w:szCs w:val="20"/>
              </w:rPr>
              <w:t xml:space="preserve">16</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F7 — Transferencia de Conocimiento</w:t>
            </w:r>
          </w:p>
        </w:tc>
        <w:tc>
          <w:tcPr>
            <w:tcW w:type="dxa" w:w="10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5</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1</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2</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1</w:t>
            </w:r>
          </w:p>
        </w:tc>
        <w:tc>
          <w:tcPr>
            <w:tcW w:type="dxa" w:w="9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3</w:t>
            </w:r>
          </w:p>
        </w:tc>
        <w:tc>
          <w:tcPr>
            <w:tcW w:type="dxa" w:w="7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8"/>
                <w:szCs w:val="18"/>
              </w:rPr>
              <w:t xml:space="preserve">1</w:t>
            </w:r>
          </w:p>
        </w:tc>
        <w:tc>
          <w:tcPr>
            <w:tcW w:type="dxa" w:w="7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CFD8DC"/>
                <w:sz w:val="18"/>
                <w:szCs w:val="18"/>
              </w:rPr>
              <w:t xml:space="preserve">0</w:t>
            </w:r>
          </w:p>
        </w:tc>
        <w:tc>
          <w:tcPr>
            <w:tcW w:type="dxa" w:w="10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20"/>
                <w:szCs w:val="20"/>
              </w:rPr>
              <w:t xml:space="preserve">13</w:t>
            </w:r>
          </w:p>
        </w:tc>
      </w:tr>
      <w:tr>
        <w:tc>
          <w:tcPr>
            <w:tcW w:type="dxa" w:w="2800"/>
            <w:tcBorders>
              <w:top w:val="single" w:color="AAAAAA" w:sz="4"/>
              <w:left w:val="single" w:color="AAAAAA" w:sz="4"/>
              <w:bottom w:val="single" w:color="AAAAAA" w:sz="4"/>
              <w:right w:val="single" w:color="AAAAAA" w:sz="4"/>
            </w:tcBorders>
            <w:shd w:fill="0D2137" w:val="clear"/>
            <w:tcMar>
              <w:top w:type="dxa" w:w="90"/>
              <w:left w:type="dxa" w:w="130"/>
              <w:bottom w:type="dxa" w:w="90"/>
              <w:right w:type="dxa" w:w="130"/>
            </w:tcMar>
            <w:vAlign w:val="center"/>
          </w:tcPr>
          <w:p>
            <w:pPr>
              <w:spacing w:before="80" w:after="80"/>
              <w:jc w:val="left"/>
            </w:pPr>
            <w:r>
              <w:rPr>
                <w:rFonts w:ascii="Calibri" w:cs="Calibri" w:eastAsia="Calibri" w:hAnsi="Calibri"/>
                <w:b/>
                <w:bCs/>
                <w:color w:val="FFFFFF"/>
                <w:sz w:val="18"/>
                <w:szCs w:val="18"/>
              </w:rPr>
              <w:t xml:space="preserve">TOTAL</w:t>
            </w:r>
          </w:p>
        </w:tc>
        <w:tc>
          <w:tcPr>
            <w:tcW w:type="dxa" w:w="10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8"/>
                <w:szCs w:val="18"/>
              </w:rPr>
              <w:t xml:space="preserve">38</w:t>
            </w:r>
          </w:p>
        </w:tc>
        <w:tc>
          <w:tcPr>
            <w:tcW w:type="dxa" w:w="9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8"/>
                <w:szCs w:val="18"/>
              </w:rPr>
              <w:t xml:space="preserve">18</w:t>
            </w:r>
          </w:p>
        </w:tc>
        <w:tc>
          <w:tcPr>
            <w:tcW w:type="dxa" w:w="9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8"/>
                <w:szCs w:val="18"/>
              </w:rPr>
              <w:t xml:space="preserve">23</w:t>
            </w:r>
          </w:p>
        </w:tc>
        <w:tc>
          <w:tcPr>
            <w:tcW w:type="dxa" w:w="9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8"/>
                <w:szCs w:val="18"/>
              </w:rPr>
              <w:t xml:space="preserve">23</w:t>
            </w:r>
          </w:p>
        </w:tc>
        <w:tc>
          <w:tcPr>
            <w:tcW w:type="dxa" w:w="9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8"/>
                <w:szCs w:val="18"/>
              </w:rPr>
              <w:t xml:space="preserve">20</w:t>
            </w:r>
          </w:p>
        </w:tc>
        <w:tc>
          <w:tcPr>
            <w:tcW w:type="dxa" w:w="7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8"/>
                <w:szCs w:val="18"/>
              </w:rPr>
              <w:t xml:space="preserve">6</w:t>
            </w:r>
          </w:p>
        </w:tc>
        <w:tc>
          <w:tcPr>
            <w:tcW w:type="dxa" w:w="76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8"/>
                <w:szCs w:val="18"/>
              </w:rPr>
              <w:t xml:space="preserve">10</w:t>
            </w:r>
          </w:p>
        </w:tc>
        <w:tc>
          <w:tcPr>
            <w:tcW w:type="dxa" w:w="1000"/>
            <w:tcBorders>
              <w:top w:val="single" w:color="AAAAAA" w:sz="4"/>
              <w:left w:val="single" w:color="AAAAAA" w:sz="4"/>
              <w:bottom w:val="single" w:color="AAAAAA" w:sz="4"/>
              <w:right w:val="single" w:color="AAAAAA" w:sz="4"/>
            </w:tcBorders>
            <w:shd w:fill="1565C0"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0"/>
                <w:szCs w:val="20"/>
              </w:rPr>
              <w:t xml:space="preserve">138</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tcBorders>
              <w:top w:val="none"/>
              <w:left w:val="none"/>
              <w:bottom w:val="none"/>
              <w:right w:val="none"/>
            </w:tcBorders>
            <w:shd w:fill="2979D9" w:val="clear"/>
            <w:tcMar>
              <w:top w:type="dxa" w:w="120"/>
              <w:left w:type="dxa" w:w="100"/>
              <w:bottom w:type="dxa" w:w="120"/>
              <w:right w:type="dxa" w:w="100"/>
            </w:tcMar>
          </w:tcPr>
          <w:p>
            <w:pPr>
              <w:spacing w:before="80" w:after="80"/>
              <w:jc w:val="left"/>
            </w:pPr>
            <w:r>
              <w:rPr>
                <w:rFonts w:ascii="Calibri" w:cs="Calibri" w:eastAsia="Calibri" w:hAnsi="Calibri"/>
                <w:b w:val="false"/>
                <w:bCs w:val="false"/>
                <w:i w:val="false"/>
                <w:iCs w:val="false"/>
                <w:color w:val="0D0D0D"/>
                <w:sz w:val="18"/>
                <w:szCs w:val="18"/>
              </w:rPr>
              <w:t xml:space="preserve"/>
            </w:r>
          </w:p>
        </w:tc>
        <w:tc>
          <w:tcPr>
            <w:tcW w:type="dxa" w:w="9080"/>
            <w:tcBorders>
              <w:top w:val="none"/>
              <w:left w:val="none"/>
              <w:bottom w:val="none"/>
              <w:right w:val="none"/>
            </w:tcBorders>
            <w:shd w:fill="E3F2FD" w:val="clear"/>
            <w:tcMar>
              <w:top w:type="dxa" w:w="140"/>
              <w:left w:type="dxa" w:w="200"/>
              <w:bottom w:type="dxa" w:w="140"/>
              <w:right w:type="dxa" w:w="200"/>
            </w:tcMar>
          </w:tcPr>
          <w:p>
            <w:pPr>
              <w:spacing w:before="0" w:after="60"/>
            </w:pPr>
            <w:r>
              <w:rPr>
                <w:rFonts w:ascii="Calibri" w:cs="Calibri" w:eastAsia="Calibri" w:hAnsi="Calibri"/>
                <w:b/>
                <w:bCs/>
                <w:color w:val="2979D9"/>
                <w:sz w:val="21"/>
                <w:szCs w:val="21"/>
              </w:rPr>
              <w:t xml:space="preserve">📊 Total:  </w:t>
            </w:r>
            <w:r>
              <w:rPr>
                <w:rFonts w:ascii="Calibri" w:cs="Calibri" w:eastAsia="Calibri" w:hAnsi="Calibri"/>
                <w:color w:val="0D0D0D"/>
                <w:sz w:val="20"/>
                <w:szCs w:val="20"/>
              </w:rPr>
              <w:t xml:space="preserve">138 días-hombre estimados para la implementación completa. Este estimado puede ajustarse tras el Discovery (Fase 1) cuando se confirme el inventario real y los requerimientos específicos de la institución.</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07</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Estimación de Recursos Técnicos</w:t>
            </w:r>
          </w:p>
          <w:p>
            <w:pPr>
              <w:spacing w:before="0" w:after="0"/>
            </w:pPr>
            <w:r>
              <w:rPr>
                <w:rFonts w:ascii="Calibri" w:cs="Calibri" w:eastAsia="Calibri" w:hAnsi="Calibri"/>
                <w:i/>
                <w:iCs/>
                <w:color w:val="BBDEFB"/>
                <w:sz w:val="18"/>
                <w:szCs w:val="18"/>
              </w:rPr>
              <w:t xml:space="preserve">Servicios Azure requeridos para la Landing Zone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tcBorders>
              <w:top w:val="none"/>
              <w:left w:val="none"/>
              <w:bottom w:val="none"/>
              <w:right w:val="none"/>
            </w:tcBorders>
            <w:shd w:fill="F9A825" w:val="clear"/>
            <w:tcMar>
              <w:top w:type="dxa" w:w="120"/>
              <w:left w:type="dxa" w:w="100"/>
              <w:bottom w:type="dxa" w:w="120"/>
              <w:right w:type="dxa" w:w="100"/>
            </w:tcMar>
          </w:tcPr>
          <w:p>
            <w:pPr>
              <w:spacing w:before="80" w:after="80"/>
              <w:jc w:val="left"/>
            </w:pPr>
            <w:r>
              <w:rPr>
                <w:rFonts w:ascii="Calibri" w:cs="Calibri" w:eastAsia="Calibri" w:hAnsi="Calibri"/>
                <w:b w:val="false"/>
                <w:bCs w:val="false"/>
                <w:i w:val="false"/>
                <w:iCs w:val="false"/>
                <w:color w:val="0D0D0D"/>
                <w:sz w:val="18"/>
                <w:szCs w:val="18"/>
              </w:rPr>
              <w:t xml:space="preserve"/>
            </w:r>
          </w:p>
        </w:tc>
        <w:tc>
          <w:tcPr>
            <w:tcW w:type="dxa" w:w="9080"/>
            <w:tcBorders>
              <w:top w:val="none"/>
              <w:left w:val="none"/>
              <w:bottom w:val="none"/>
              <w:right w:val="none"/>
            </w:tcBorders>
            <w:shd w:fill="FFFDE7" w:val="clear"/>
            <w:tcMar>
              <w:top w:type="dxa" w:w="140"/>
              <w:left w:type="dxa" w:w="200"/>
              <w:bottom w:type="dxa" w:w="140"/>
              <w:right w:type="dxa" w:w="200"/>
            </w:tcMar>
          </w:tcPr>
          <w:p>
            <w:pPr>
              <w:spacing w:before="0" w:after="60"/>
            </w:pPr>
            <w:r>
              <w:rPr>
                <w:rFonts w:ascii="Calibri" w:cs="Calibri" w:eastAsia="Calibri" w:hAnsi="Calibri"/>
                <w:b/>
                <w:bCs/>
                <w:color w:val="F9A825"/>
                <w:sz w:val="21"/>
                <w:szCs w:val="21"/>
              </w:rPr>
              <w:t xml:space="preserve">💡 Metodología:  </w:t>
            </w:r>
            <w:r>
              <w:rPr>
                <w:rFonts w:ascii="Calibri" w:cs="Calibri" w:eastAsia="Calibri" w:hAnsi="Calibri"/>
                <w:color w:val="0D0D0D"/>
                <w:sz w:val="20"/>
                <w:szCs w:val="20"/>
              </w:rPr>
              <w:t xml:space="preserve">Los precios listados son de lista pública de Azure para la región Mexico Central a marzo 2025. Tipo de cambio de referencia: 1 USD = 17.00 MXN. Escenario: mediano (20–60 VMs).</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7.1  Servicios de Plataforma — Landing Zone Core</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60"/>
        <w:gridCol w:w="500"/>
        <w:gridCol w:w="1100"/>
        <w:gridCol w:w="1200"/>
        <w:gridCol w:w="900"/>
      </w:tblGrid>
      <w:tr>
        <w:tc>
          <w:tcPr>
            <w:tcW w:type="dxa" w:w="2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Servicio</w:t>
            </w:r>
          </w:p>
        </w:tc>
        <w:tc>
          <w:tcPr>
            <w:tcW w:type="dxa" w:w="28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Configuración</w:t>
            </w:r>
          </w:p>
        </w:tc>
        <w:tc>
          <w:tcPr>
            <w:tcW w:type="dxa" w:w="5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Cant.</w:t>
            </w:r>
          </w:p>
        </w:tc>
        <w:tc>
          <w:tcPr>
            <w:tcW w:type="dxa" w:w="11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USD/mes</w:t>
            </w:r>
          </w:p>
        </w:tc>
        <w:tc>
          <w:tcPr>
            <w:tcW w:type="dxa" w:w="12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MXN/mes</w:t>
            </w:r>
          </w:p>
        </w:tc>
        <w:tc>
          <w:tcPr>
            <w:tcW w:type="dxa" w:w="9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Justificación</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Azure Firewall Premium</w:t>
            </w:r>
          </w:p>
        </w:tc>
        <w:tc>
          <w:tcPr>
            <w:tcW w:type="dxa" w:w="2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Premium SKU — IDPS, TLS, FQDN filter</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1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$1,641.60</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$27,907</w:t>
            </w:r>
          </w:p>
        </w:tc>
        <w:tc>
          <w:tcPr>
            <w:tcW w:type="dxa" w:w="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Obligatorio</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VPN Gateway VpnGw2</w:t>
            </w:r>
          </w:p>
        </w:tc>
        <w:tc>
          <w:tcPr>
            <w:tcW w:type="dxa" w:w="2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Activo-activo, IKEv2, 1.25 Gbps</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$357.00</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$6,069</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Híbrido</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VNet Peering</w:t>
            </w:r>
          </w:p>
        </w:tc>
        <w:tc>
          <w:tcPr>
            <w:tcW w:type="dxa" w:w="2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Bidireccional Hub ↔ 3 Spokes</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6</w:t>
            </w:r>
          </w:p>
        </w:tc>
        <w:tc>
          <w:tcPr>
            <w:tcW w:type="dxa" w:w="11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$60.00</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$1,020</w:t>
            </w:r>
          </w:p>
        </w:tc>
        <w:tc>
          <w:tcPr>
            <w:tcW w:type="dxa" w:w="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Conectividad</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Private DNS Zones</w:t>
            </w:r>
          </w:p>
        </w:tc>
        <w:tc>
          <w:tcPr>
            <w:tcW w:type="dxa" w:w="2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10 zonas para servicios PaaS</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$5.00</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$85</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DNS Privado</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Private Endpoints</w:t>
            </w:r>
          </w:p>
        </w:tc>
        <w:tc>
          <w:tcPr>
            <w:tcW w:type="dxa" w:w="2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~30 endpoints (Storage, SQL, KV, ACR…)</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30</w:t>
            </w:r>
          </w:p>
        </w:tc>
        <w:tc>
          <w:tcPr>
            <w:tcW w:type="dxa" w:w="11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$219.00</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$3,723</w:t>
            </w:r>
          </w:p>
        </w:tc>
        <w:tc>
          <w:tcPr>
            <w:tcW w:type="dxa" w:w="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Zero público</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DDoS Protection Std</w:t>
            </w:r>
          </w:p>
        </w:tc>
        <w:tc>
          <w:tcPr>
            <w:tcW w:type="dxa" w:w="2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VNets Hub + Producción</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$2,944.00</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$50,048</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Cumplimiento</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Egress (2 TB/mes)</w:t>
            </w:r>
          </w:p>
        </w:tc>
        <w:tc>
          <w:tcPr>
            <w:tcW w:type="dxa" w:w="2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Tráfico saliente internet</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1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$168.58</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$2,866</w:t>
            </w:r>
          </w:p>
        </w:tc>
        <w:tc>
          <w:tcPr>
            <w:tcW w:type="dxa" w:w="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Estimado</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Entra ID P2</w:t>
            </w:r>
          </w:p>
        </w:tc>
        <w:tc>
          <w:tcPr>
            <w:tcW w:type="dxa" w:w="2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PIM, Conditional Access, Identity Protection</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50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$450.00</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$7,650</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Admins + Power Users</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Azure Bastion Standard</w:t>
            </w:r>
          </w:p>
        </w:tc>
        <w:tc>
          <w:tcPr>
            <w:tcW w:type="dxa" w:w="2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Acceso RDP/SSH sin IP pública</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1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$139.00</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$2,363</w:t>
            </w:r>
          </w:p>
        </w:tc>
        <w:tc>
          <w:tcPr>
            <w:tcW w:type="dxa" w:w="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Acceso seguro</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Defender for Servers P2</w:t>
            </w:r>
          </w:p>
        </w:tc>
        <w:tc>
          <w:tcPr>
            <w:tcW w:type="dxa" w:w="2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Todas las VMs — MDE + VA + JIT</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45</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$675.00</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$11,475</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Obligatorio</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Defender for Storage</w:t>
            </w:r>
          </w:p>
        </w:tc>
        <w:tc>
          <w:tcPr>
            <w:tcW w:type="dxa" w:w="2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Detección amenazas en Storage Accounts</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5</w:t>
            </w:r>
          </w:p>
        </w:tc>
        <w:tc>
          <w:tcPr>
            <w:tcW w:type="dxa" w:w="11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$50.00</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$850</w:t>
            </w:r>
          </w:p>
        </w:tc>
        <w:tc>
          <w:tcPr>
            <w:tcW w:type="dxa" w:w="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Cumplimiento</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Defender for SQL</w:t>
            </w:r>
          </w:p>
        </w:tc>
        <w:tc>
          <w:tcPr>
            <w:tcW w:type="dxa" w:w="2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Azure SQL Databases</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5</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$75.00</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$1,275</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PaaS Seguro</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Key Vault Premium (HSM)</w:t>
            </w:r>
          </w:p>
        </w:tc>
        <w:tc>
          <w:tcPr>
            <w:tcW w:type="dxa" w:w="2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CMK — 10 claves HSM-backed</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1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$17.00</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$289</w:t>
            </w:r>
          </w:p>
        </w:tc>
        <w:tc>
          <w:tcPr>
            <w:tcW w:type="dxa" w:w="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CMK CNBV</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Microsoft Sentinel</w:t>
            </w:r>
          </w:p>
        </w:tc>
        <w:tc>
          <w:tcPr>
            <w:tcW w:type="dxa" w:w="2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~10 GB/día ingestión (300 GB/mes)</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$738.00</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$12,546</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SIEM/SOAR</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VMs Pre-Prod (PAYG)</w:t>
            </w:r>
          </w:p>
        </w:tc>
        <w:tc>
          <w:tcPr>
            <w:tcW w:type="dxa" w:w="2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Standard_D4s_v5 — 4vCPU/16GB</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30</w:t>
            </w:r>
          </w:p>
        </w:tc>
        <w:tc>
          <w:tcPr>
            <w:tcW w:type="dxa" w:w="11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$5,550.00</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$94,350</w:t>
            </w:r>
          </w:p>
        </w:tc>
        <w:tc>
          <w:tcPr>
            <w:tcW w:type="dxa" w:w="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Lift &amp; Shift</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VMs Prod (Reserved 1yr)</w:t>
            </w:r>
          </w:p>
        </w:tc>
        <w:tc>
          <w:tcPr>
            <w:tcW w:type="dxa" w:w="2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Standard_D4s_v5 — 35% descuento RI</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15</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$1,815.00</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$30,855</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Producción</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Discos Premium SSD P15</w:t>
            </w:r>
          </w:p>
        </w:tc>
        <w:tc>
          <w:tcPr>
            <w:tcW w:type="dxa" w:w="2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256 GB — LRS — 1 por VM</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45</w:t>
            </w:r>
          </w:p>
        </w:tc>
        <w:tc>
          <w:tcPr>
            <w:tcW w:type="dxa" w:w="11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$1,814.40</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$30,845</w:t>
            </w:r>
          </w:p>
        </w:tc>
        <w:tc>
          <w:tcPr>
            <w:tcW w:type="dxa" w:w="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OS + Datos</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Log Analytics Workspace</w:t>
            </w:r>
          </w:p>
        </w:tc>
        <w:tc>
          <w:tcPr>
            <w:tcW w:type="dxa" w:w="2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300 GB/mes, retención 90 días</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$690.00</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$11,730</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Central</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Azure Monitor (Alertas)</w:t>
            </w:r>
          </w:p>
        </w:tc>
        <w:tc>
          <w:tcPr>
            <w:tcW w:type="dxa" w:w="2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~200 reglas de alerta activas</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1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$20.00</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$340</w:t>
            </w:r>
          </w:p>
        </w:tc>
        <w:tc>
          <w:tcPr>
            <w:tcW w:type="dxa" w:w="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Operación</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Azure Backup (VMs)</w:t>
            </w:r>
          </w:p>
        </w:tc>
        <w:tc>
          <w:tcPr>
            <w:tcW w:type="dxa" w:w="2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30 VMs × 256 GB — LRS — 30d+1yr</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30</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$750.00</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$12,750</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Obligatorio</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Azure Site Recovery</w:t>
            </w:r>
          </w:p>
        </w:tc>
        <w:tc>
          <w:tcPr>
            <w:tcW w:type="dxa" w:w="2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10 VMs críticas — RTO/RPO DR</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10</w:t>
            </w:r>
          </w:p>
        </w:tc>
        <w:tc>
          <w:tcPr>
            <w:tcW w:type="dxa" w:w="11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$160.00</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$2,720</w:t>
            </w:r>
          </w:p>
        </w:tc>
        <w:tc>
          <w:tcPr>
            <w:tcW w:type="dxa" w:w="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DR regulatorio</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App Service Plan P2v3</w:t>
            </w:r>
          </w:p>
        </w:tc>
        <w:tc>
          <w:tcPr>
            <w:tcW w:type="dxa" w:w="2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2 planes (Prod + PreProd)</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$300.00</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$5,100</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Apps PaaS</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Azure SQL DB GP 2vCore</w:t>
            </w:r>
          </w:p>
        </w:tc>
        <w:tc>
          <w:tcPr>
            <w:tcW w:type="dxa" w:w="2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General Purpose — 2 bases</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2</w:t>
            </w:r>
          </w:p>
        </w:tc>
        <w:tc>
          <w:tcPr>
            <w:tcW w:type="dxa" w:w="11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$740.00</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$12,580</w:t>
            </w:r>
          </w:p>
        </w:tc>
        <w:tc>
          <w:tcPr>
            <w:tcW w:type="dxa" w:w="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PaaS DB</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Azure Container Registry</w:t>
            </w:r>
          </w:p>
        </w:tc>
        <w:tc>
          <w:tcPr>
            <w:tcW w:type="dxa" w:w="28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Standard — imágenes cloud-native</w:t>
            </w:r>
          </w:p>
        </w:tc>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1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$20.00</w:t>
            </w:r>
          </w:p>
        </w:tc>
        <w:tc>
          <w:tcPr>
            <w:tcW w:type="dxa" w:w="1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$340</w:t>
            </w:r>
          </w:p>
        </w:tc>
        <w:tc>
          <w:tcPr>
            <w:tcW w:type="dxa" w:w="9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Contenedores</w:t>
            </w:r>
          </w:p>
        </w:tc>
      </w:tr>
      <w:tr>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 Azure Cache Redis C1</w:t>
            </w:r>
          </w:p>
        </w:tc>
        <w:tc>
          <w:tcPr>
            <w:tcW w:type="dxa" w:w="28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Caché de sesiones</w:t>
            </w:r>
          </w:p>
        </w:tc>
        <w:tc>
          <w:tcPr>
            <w:tcW w:type="dxa" w:w="5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1</w:t>
            </w:r>
          </w:p>
        </w:tc>
        <w:tc>
          <w:tcPr>
            <w:tcW w:type="dxa" w:w="11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1565C0"/>
                <w:sz w:val="17"/>
                <w:szCs w:val="17"/>
              </w:rPr>
              <w:t xml:space="preserve">$55.00</w:t>
            </w:r>
          </w:p>
        </w:tc>
        <w:tc>
          <w:tcPr>
            <w:tcW w:type="dxa" w:w="12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17"/>
                <w:szCs w:val="17"/>
              </w:rPr>
              <w:t xml:space="preserve">$935</w:t>
            </w:r>
          </w:p>
        </w:tc>
        <w:tc>
          <w:tcPr>
            <w:tcW w:type="dxa" w:w="9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1565C0"/>
                <w:sz w:val="17"/>
                <w:szCs w:val="17"/>
              </w:rPr>
              <w:t xml:space="preserve">Performance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5960"/>
        <w:gridCol w:w="1700"/>
        <w:gridCol w:w="1700"/>
      </w:tblGrid>
      <w:tr>
        <w:tc>
          <w:tcPr>
            <w:tcW w:type="dxa" w:w="5960"/>
            <w:tcBorders>
              <w:top w:val="single" w:color="AAAAAA" w:sz="4"/>
              <w:left w:val="single" w:color="AAAAAA" w:sz="4"/>
              <w:bottom w:val="single" w:color="AAAAAA" w:sz="4"/>
              <w:right w:val="single" w:color="AAAAAA" w:sz="4"/>
            </w:tcBorders>
            <w:shd w:fill="0D2137"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FFFFFF"/>
                <w:sz w:val="20"/>
                <w:szCs w:val="20"/>
              </w:rPr>
              <w:t xml:space="preserve">SUBTOTAL MENSUAL — PAYG (sin Reserved Instances)</w:t>
            </w:r>
          </w:p>
        </w:tc>
        <w:tc>
          <w:tcPr>
            <w:tcW w:type="dxa" w:w="1700"/>
            <w:tcBorders>
              <w:top w:val="single" w:color="AAAAAA" w:sz="4"/>
              <w:left w:val="single" w:color="AAAAAA" w:sz="4"/>
              <w:bottom w:val="single" w:color="AAAAAA" w:sz="4"/>
              <w:right w:val="single" w:color="AAAAAA"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9A825"/>
                <w:sz w:val="20"/>
                <w:szCs w:val="20"/>
              </w:rPr>
              <w:t xml:space="preserve">~$18,695 USD</w:t>
            </w:r>
          </w:p>
        </w:tc>
        <w:tc>
          <w:tcPr>
            <w:tcW w:type="dxa" w:w="1700"/>
            <w:tcBorders>
              <w:top w:val="single" w:color="AAAAAA" w:sz="4"/>
              <w:left w:val="single" w:color="AAAAAA" w:sz="4"/>
              <w:bottom w:val="single" w:color="AAAAAA" w:sz="4"/>
              <w:right w:val="single" w:color="AAAAAA"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9A825"/>
                <w:sz w:val="20"/>
                <w:szCs w:val="20"/>
              </w:rPr>
              <w:t xml:space="preserve">~$317,815 MXN</w:t>
            </w:r>
          </w:p>
        </w:tc>
      </w:tr>
      <w:tr>
        <w:tc>
          <w:tcPr>
            <w:tcW w:type="dxa" w:w="596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2E7D32"/>
                <w:sz w:val="19"/>
                <w:szCs w:val="19"/>
              </w:rPr>
              <w:t xml:space="preserve">(-) Ahorro Reserved Instances 1 año — VMs Producción (~35%)</w:t>
            </w:r>
          </w:p>
        </w:tc>
        <w:tc>
          <w:tcPr>
            <w:tcW w:type="dxa" w:w="17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9"/>
                <w:szCs w:val="19"/>
              </w:rPr>
              <w:t xml:space="preserve">-$960 USD</w:t>
            </w:r>
          </w:p>
        </w:tc>
        <w:tc>
          <w:tcPr>
            <w:tcW w:type="dxa" w:w="17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9"/>
                <w:szCs w:val="19"/>
              </w:rPr>
              <w:t xml:space="preserve">-$16,320 MXN</w:t>
            </w:r>
          </w:p>
        </w:tc>
      </w:tr>
      <w:tr>
        <w:tc>
          <w:tcPr>
            <w:tcW w:type="dxa" w:w="596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FFFFFF"/>
                <w:sz w:val="22"/>
                <w:szCs w:val="22"/>
              </w:rPr>
              <w:t xml:space="preserve">✅  TOTAL ESTIMADO MENSUAL (con RI aplicado)</w:t>
            </w:r>
          </w:p>
        </w:tc>
        <w:tc>
          <w:tcPr>
            <w:tcW w:type="dxa" w:w="17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2"/>
                <w:szCs w:val="22"/>
              </w:rPr>
              <w:t xml:space="preserve">~$17,735 USD</w:t>
            </w:r>
          </w:p>
        </w:tc>
        <w:tc>
          <w:tcPr>
            <w:tcW w:type="dxa" w:w="17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2"/>
                <w:szCs w:val="22"/>
              </w:rPr>
              <w:t xml:space="preserve">~$301,495 MXN</w:t>
            </w:r>
          </w:p>
        </w:tc>
      </w:tr>
      <w:tr>
        <w:tc>
          <w:tcPr>
            <w:tcW w:type="dxa" w:w="596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right"/>
            </w:pPr>
            <w:r>
              <w:rPr>
                <w:rFonts w:ascii="Calibri" w:cs="Calibri" w:eastAsia="Calibri" w:hAnsi="Calibri"/>
                <w:b/>
                <w:bCs/>
                <w:color w:val="0D2137"/>
                <w:sz w:val="20"/>
                <w:szCs w:val="20"/>
              </w:rPr>
              <w:t xml:space="preserve">PROYECCIÓN ANUAL (× 12 meses)</w:t>
            </w:r>
          </w:p>
        </w:tc>
        <w:tc>
          <w:tcPr>
            <w:tcW w:type="dxa" w:w="17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D2137"/>
                <w:sz w:val="20"/>
                <w:szCs w:val="20"/>
              </w:rPr>
              <w:t xml:space="preserve">~$212,820 USD</w:t>
            </w:r>
          </w:p>
        </w:tc>
        <w:tc>
          <w:tcPr>
            <w:tcW w:type="dxa" w:w="17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0D2137"/>
                <w:sz w:val="20"/>
                <w:szCs w:val="20"/>
              </w:rPr>
              <w:t xml:space="preserve">~$3,617,940 MXN</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pStyle w:val="Heading2"/>
        <w:spacing w:before="280" w:after="100"/>
      </w:pPr>
      <w:r>
        <w:rPr>
          <w:rFonts w:ascii="Calibri" w:cs="Calibri" w:eastAsia="Calibri" w:hAnsi="Calibri"/>
          <w:b/>
          <w:bCs/>
          <w:color w:val="2979D9"/>
          <w:sz w:val="26"/>
          <w:szCs w:val="26"/>
        </w:rPr>
        <w:t xml:space="preserve">▸ </w:t>
      </w:r>
      <w:r>
        <w:rPr>
          <w:rFonts w:ascii="Calibri" w:cs="Calibri" w:eastAsia="Calibri" w:hAnsi="Calibri"/>
          <w:b/>
          <w:bCs/>
          <w:color w:val="1565C0"/>
          <w:sz w:val="26"/>
          <w:szCs w:val="26"/>
        </w:rPr>
        <w:t xml:space="preserve">7.2  Oportunidades de Optimización de Costos</w:t>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360"/>
        <w:gridCol w:w="1800"/>
      </w:tblGrid>
      <w:tr>
        <w:tc>
          <w:tcPr>
            <w:tcW w:type="dxa" w:w="320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Acción</w:t>
            </w:r>
          </w:p>
        </w:tc>
        <w:tc>
          <w:tcPr>
            <w:tcW w:type="dxa" w:w="200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Ahorro Estimado</w:t>
            </w:r>
          </w:p>
        </w:tc>
        <w:tc>
          <w:tcPr>
            <w:tcW w:type="dxa" w:w="236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Cuándo Aplicar</w:t>
            </w:r>
          </w:p>
        </w:tc>
        <w:tc>
          <w:tcPr>
            <w:tcW w:type="dxa" w:w="1800"/>
            <w:tcBorders>
              <w:top w:val="single" w:color="1565C0" w:sz="4"/>
              <w:left w:val="single" w:color="1565C0" w:sz="4"/>
              <w:bottom w:val="single" w:color="1565C0" w:sz="4"/>
              <w:right w:val="single" w:color="1565C0" w:sz="4"/>
            </w:tcBorders>
            <w:shd w:fill="00838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Complejidad</w:t>
            </w:r>
          </w:p>
        </w:tc>
      </w:tr>
      <w:tr>
        <w:tc>
          <w:tcPr>
            <w:tcW w:type="dxa" w:w="32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Reserved Instances 1 año (VMs Prod)</w:t>
            </w:r>
          </w:p>
        </w:tc>
        <w:tc>
          <w:tcPr>
            <w:tcW w:type="dxa" w:w="20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8"/>
                <w:szCs w:val="18"/>
              </w:rPr>
              <w:t xml:space="preserve">~35% en cómputo producción</w:t>
            </w:r>
          </w:p>
        </w:tc>
        <w:tc>
          <w:tcPr>
            <w:tcW w:type="dxa" w:w="2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Mes 2–3 (post-baseline)</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Baja ⭐</w:t>
            </w:r>
          </w:p>
        </w:tc>
      </w:tr>
      <w:tr>
        <w:tc>
          <w:tcPr>
            <w:tcW w:type="dxa" w:w="3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Azure Hybrid Benefit (licencias Windows)</w:t>
            </w:r>
          </w:p>
        </w:tc>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8"/>
                <w:szCs w:val="18"/>
              </w:rPr>
              <w:t xml:space="preserve">~15–20% en VMs Windows</w:t>
            </w:r>
          </w:p>
        </w:tc>
        <w:tc>
          <w:tcPr>
            <w:tcW w:type="dxa" w:w="2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Desde el inicio</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Baja ⭐</w:t>
            </w:r>
          </w:p>
        </w:tc>
      </w:tr>
      <w:tr>
        <w:tc>
          <w:tcPr>
            <w:tcW w:type="dxa" w:w="32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Apagado automático VMs Pre-Prod</w:t>
            </w:r>
          </w:p>
        </w:tc>
        <w:tc>
          <w:tcPr>
            <w:tcW w:type="dxa" w:w="20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8"/>
                <w:szCs w:val="18"/>
              </w:rPr>
              <w:t xml:space="preserve">~50% en cómputo pre-prod</w:t>
            </w:r>
          </w:p>
        </w:tc>
        <w:tc>
          <w:tcPr>
            <w:tcW w:type="dxa" w:w="2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Desde el inicio (F5)</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Baja ⭐</w:t>
            </w:r>
          </w:p>
        </w:tc>
      </w:tr>
      <w:tr>
        <w:tc>
          <w:tcPr>
            <w:tcW w:type="dxa" w:w="3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Rightsizing basado en métricas 90 días</w:t>
            </w:r>
          </w:p>
        </w:tc>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8"/>
                <w:szCs w:val="18"/>
              </w:rPr>
              <w:t xml:space="preserve">10–20% en VMs sobredimensionadas</w:t>
            </w:r>
          </w:p>
        </w:tc>
        <w:tc>
          <w:tcPr>
            <w:tcW w:type="dxa" w:w="2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Mes 4 (con datos reales)</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Media ⭐⭐</w:t>
            </w:r>
          </w:p>
        </w:tc>
      </w:tr>
      <w:tr>
        <w:tc>
          <w:tcPr>
            <w:tcW w:type="dxa" w:w="32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Reserved Instances 1 año (App Service)</w:t>
            </w:r>
          </w:p>
        </w:tc>
        <w:tc>
          <w:tcPr>
            <w:tcW w:type="dxa" w:w="20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8"/>
                <w:szCs w:val="18"/>
              </w:rPr>
              <w:t xml:space="preserve">~35% en planes App Service</w:t>
            </w:r>
          </w:p>
        </w:tc>
        <w:tc>
          <w:tcPr>
            <w:tcW w:type="dxa" w:w="2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Mes 3–6 (post-estabilización)</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Baja ⭐</w:t>
            </w:r>
          </w:p>
        </w:tc>
      </w:tr>
      <w:tr>
        <w:tc>
          <w:tcPr>
            <w:tcW w:type="dxa" w:w="3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Sentinel — Ingesta optimizada (reglas)</w:t>
            </w:r>
          </w:p>
        </w:tc>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8"/>
                <w:szCs w:val="18"/>
              </w:rPr>
              <w:t xml:space="preserve">~20% en volumen de logs</w:t>
            </w:r>
          </w:p>
        </w:tc>
        <w:tc>
          <w:tcPr>
            <w:tcW w:type="dxa" w:w="23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Mes 2 (tuning reglas)</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Media ⭐⭐</w:t>
            </w:r>
          </w:p>
        </w:tc>
      </w:tr>
      <w:tr>
        <w:tc>
          <w:tcPr>
            <w:tcW w:type="dxa" w:w="3200"/>
            <w:tcBorders>
              <w:top w:val="single" w:color="AAAAAA" w:sz="4"/>
              <w:left w:val="single" w:color="AAAAAA" w:sz="4"/>
              <w:bottom w:val="single" w:color="AAAAAA" w:sz="4"/>
              <w:right w:val="single" w:color="AAAAAA" w:sz="4"/>
            </w:tcBorders>
            <w:shd w:fill="E0F7FA"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8"/>
                <w:szCs w:val="18"/>
              </w:rPr>
              <w:t xml:space="preserve">DDoS Protection — evaluación por VNet</w:t>
            </w:r>
          </w:p>
        </w:tc>
        <w:tc>
          <w:tcPr>
            <w:tcW w:type="dxa" w:w="20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2E7D32"/>
                <w:sz w:val="18"/>
                <w:szCs w:val="18"/>
              </w:rPr>
              <w:t xml:space="preserve">Compartir plan entre VNets</w:t>
            </w:r>
          </w:p>
        </w:tc>
        <w:tc>
          <w:tcPr>
            <w:tcW w:type="dxa" w:w="23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Desde el inicio</w:t>
            </w:r>
          </w:p>
        </w:tc>
        <w:tc>
          <w:tcPr>
            <w:tcW w:type="dxa" w:w="1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center"/>
            </w:pPr>
            <w:r>
              <w:rPr>
                <w:rFonts w:ascii="Calibri" w:cs="Calibri" w:eastAsia="Calibri" w:hAnsi="Calibri"/>
                <w:b w:val="false"/>
                <w:bCs w:val="false"/>
                <w:color w:val="0D0D0D"/>
                <w:sz w:val="17"/>
                <w:szCs w:val="17"/>
              </w:rPr>
              <w:t xml:space="preserve">Baja ⭐</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tcBorders>
              <w:top w:val="none"/>
              <w:left w:val="none"/>
              <w:bottom w:val="none"/>
              <w:right w:val="none"/>
            </w:tcBorders>
            <w:shd w:fill="F9A825" w:val="clear"/>
            <w:tcMar>
              <w:top w:type="dxa" w:w="120"/>
              <w:left w:type="dxa" w:w="100"/>
              <w:bottom w:type="dxa" w:w="120"/>
              <w:right w:type="dxa" w:w="100"/>
            </w:tcMar>
          </w:tcPr>
          <w:p>
            <w:pPr>
              <w:spacing w:before="80" w:after="80"/>
              <w:jc w:val="left"/>
            </w:pPr>
            <w:r>
              <w:rPr>
                <w:rFonts w:ascii="Calibri" w:cs="Calibri" w:eastAsia="Calibri" w:hAnsi="Calibri"/>
                <w:b w:val="false"/>
                <w:bCs w:val="false"/>
                <w:i w:val="false"/>
                <w:iCs w:val="false"/>
                <w:color w:val="0D0D0D"/>
                <w:sz w:val="18"/>
                <w:szCs w:val="18"/>
              </w:rPr>
              <w:t xml:space="preserve"/>
            </w:r>
          </w:p>
        </w:tc>
        <w:tc>
          <w:tcPr>
            <w:tcW w:type="dxa" w:w="9080"/>
            <w:tcBorders>
              <w:top w:val="none"/>
              <w:left w:val="none"/>
              <w:bottom w:val="none"/>
              <w:right w:val="none"/>
            </w:tcBorders>
            <w:shd w:fill="FFFDE7" w:val="clear"/>
            <w:tcMar>
              <w:top w:type="dxa" w:w="140"/>
              <w:left w:type="dxa" w:w="200"/>
              <w:bottom w:type="dxa" w:w="140"/>
              <w:right w:type="dxa" w:w="200"/>
            </w:tcMar>
          </w:tcPr>
          <w:p>
            <w:pPr>
              <w:spacing w:before="0" w:after="60"/>
            </w:pPr>
            <w:r>
              <w:rPr>
                <w:rFonts w:ascii="Calibri" w:cs="Calibri" w:eastAsia="Calibri" w:hAnsi="Calibri"/>
                <w:b/>
                <w:bCs/>
                <w:color w:val="F9A825"/>
                <w:sz w:val="21"/>
                <w:szCs w:val="21"/>
              </w:rPr>
              <w:t xml:space="preserve">🔗 Calculadora Azure:  </w:t>
            </w:r>
            <w:r>
              <w:rPr>
                <w:rFonts w:ascii="Calibri" w:cs="Calibri" w:eastAsia="Calibri" w:hAnsi="Calibri"/>
                <w:color w:val="0D0D0D"/>
                <w:sz w:val="20"/>
                <w:szCs w:val="20"/>
              </w:rPr>
              <w:t xml:space="preserve">Para validar y personalizar estos costos con los servicios exactos de la institución, se recomienda utilizar la calculadora oficial: https://azure.microsoft.com/es-mx/pricing/calculator/ — Durante la Fase 1 (Discovery) generaremos una estimación actualizada con el inventario real.</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08</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Entregables y Criterios de Aceptación</w:t>
            </w:r>
          </w:p>
          <w:p>
            <w:pPr>
              <w:spacing w:before="0" w:after="0"/>
            </w:pPr>
            <w:r>
              <w:rPr>
                <w:rFonts w:ascii="Calibri" w:cs="Calibri" w:eastAsia="Calibri" w:hAnsi="Calibri"/>
                <w:i/>
                <w:iCs/>
                <w:color w:val="BBDEFB"/>
                <w:sz w:val="18"/>
                <w:szCs w:val="18"/>
              </w:rPr>
              <w:t xml:space="preserve">Qué recibirá la institución al término del proyecto</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560"/>
        <w:gridCol w:w="700"/>
        <w:gridCol w:w="1800"/>
      </w:tblGrid>
      <w:tr>
        <w:tc>
          <w:tcPr>
            <w:tcW w:type="dxa" w:w="5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w:t>
            </w:r>
          </w:p>
        </w:tc>
        <w:tc>
          <w:tcPr>
            <w:tcW w:type="dxa" w:w="2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Entregable</w:t>
            </w:r>
          </w:p>
        </w:tc>
        <w:tc>
          <w:tcPr>
            <w:tcW w:type="dxa" w:w="35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Descripción</w:t>
            </w:r>
          </w:p>
        </w:tc>
        <w:tc>
          <w:tcPr>
            <w:tcW w:type="dxa" w:w="7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Fase</w:t>
            </w:r>
          </w:p>
        </w:tc>
        <w:tc>
          <w:tcPr>
            <w:tcW w:type="dxa" w:w="18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Criterio de Aceptación</w:t>
            </w:r>
          </w:p>
        </w:tc>
      </w:tr>
      <w:tr>
        <w:tc>
          <w:tcPr>
            <w:tcW w:type="dxa" w:w="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E-01</w:t>
            </w:r>
          </w:p>
        </w:tc>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Documento de Arquitectura ALZ (HLD/LLD)</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Diagramas de alto y bajo nivel, decisions de diseño (ADRs), topología de red detallada.</w:t>
            </w:r>
          </w:p>
        </w:tc>
        <w:tc>
          <w:tcPr>
            <w:tcW w:type="dxa" w:w="7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F2</w:t>
            </w:r>
          </w:p>
        </w:tc>
        <w:tc>
          <w:tcPr>
            <w:tcW w:type="dxa" w:w="18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Aprobado por TI de la institución</w:t>
            </w:r>
          </w:p>
        </w:tc>
      </w:tr>
      <w:tr>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E-02</w:t>
            </w:r>
          </w:p>
        </w:tc>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Módulos IaC (Bicep / Terraform)</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Repositorio Git con módulos probados para MGs, suscripciones, red, identidad, seguridad y monitoreo.</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F3</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PR aprobado + pipeline verde</w:t>
            </w:r>
          </w:p>
        </w:tc>
      </w:tr>
      <w:tr>
        <w:tc>
          <w:tcPr>
            <w:tcW w:type="dxa" w:w="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E-03</w:t>
            </w:r>
          </w:p>
        </w:tc>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Pipelines CI/CD</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Azure DevOps o GitHub Actions para despliegue automatizado y drift detection.</w:t>
            </w:r>
          </w:p>
        </w:tc>
        <w:tc>
          <w:tcPr>
            <w:tcW w:type="dxa" w:w="7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F3</w:t>
            </w:r>
          </w:p>
        </w:tc>
        <w:tc>
          <w:tcPr>
            <w:tcW w:type="dxa" w:w="18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Deploy exitoso en sandbox</w:t>
            </w:r>
          </w:p>
        </w:tc>
      </w:tr>
      <w:tr>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E-04</w:t>
            </w:r>
          </w:p>
        </w:tc>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Matriz de Gobernanza</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RACI, modelo RBAC documentado, catálogo de Azure Policies con justificación.</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F2-3</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Revisada por Cumplimiento</w:t>
            </w:r>
          </w:p>
        </w:tc>
      </w:tr>
      <w:tr>
        <w:tc>
          <w:tcPr>
            <w:tcW w:type="dxa" w:w="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E-05</w:t>
            </w:r>
          </w:p>
        </w:tc>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Evidencias Regulatorias CNBV/CUB</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Mapeo de controles técnicos, capturas de configuración, reporte de compliance de Azure Policy.</w:t>
            </w:r>
          </w:p>
        </w:tc>
        <w:tc>
          <w:tcPr>
            <w:tcW w:type="dxa" w:w="7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F4-6</w:t>
            </w:r>
          </w:p>
        </w:tc>
        <w:tc>
          <w:tcPr>
            <w:tcW w:type="dxa" w:w="18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Firmado por área de Cumplimiento</w:t>
            </w:r>
          </w:p>
        </w:tc>
      </w:tr>
      <w:tr>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E-06</w:t>
            </w:r>
          </w:p>
        </w:tc>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Runbooks Operativos</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Procedimientos para: gestión de incidentes, cambios, backups, alta de nuevas cargas, rotación de claves.</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F6-7</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Revisados y aprobados por Operaciones TI</w:t>
            </w:r>
          </w:p>
        </w:tc>
      </w:tr>
      <w:tr>
        <w:tc>
          <w:tcPr>
            <w:tcW w:type="dxa" w:w="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E-07</w:t>
            </w:r>
          </w:p>
        </w:tc>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Plan de Disaster Recovery</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RTO/RPO por tipo de carga, procedimientos de failover, pruebas documentadas.</w:t>
            </w:r>
          </w:p>
        </w:tc>
        <w:tc>
          <w:tcPr>
            <w:tcW w:type="dxa" w:w="7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F5</w:t>
            </w:r>
          </w:p>
        </w:tc>
        <w:tc>
          <w:tcPr>
            <w:tcW w:type="dxa" w:w="18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Prueba de failover exitosa</w:t>
            </w:r>
          </w:p>
        </w:tc>
      </w:tr>
      <w:tr>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E-08</w:t>
            </w:r>
          </w:p>
        </w:tc>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Informe de Pruebas UAT</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Casos de prueba ejecutados, resultados, issues encontrados y plan de remediación.</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F6</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Sign-off de TI de la institución</w:t>
            </w:r>
          </w:p>
        </w:tc>
      </w:tr>
      <w:tr>
        <w:tc>
          <w:tcPr>
            <w:tcW w:type="dxa" w:w="5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E-09</w:t>
            </w:r>
          </w:p>
        </w:tc>
        <w:tc>
          <w:tcPr>
            <w:tcW w:type="dxa" w:w="28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Dashboards Operativos (Azure Workbooks)</w:t>
            </w:r>
          </w:p>
        </w:tc>
        <w:tc>
          <w:tcPr>
            <w:tcW w:type="dxa" w:w="35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3 workbooks: Seguridad, Operaciones y FinOps. Acceso a todo el equipo de TI.</w:t>
            </w:r>
          </w:p>
        </w:tc>
        <w:tc>
          <w:tcPr>
            <w:tcW w:type="dxa" w:w="700"/>
            <w:tcBorders>
              <w:top w:val="single" w:color="AAAAAA" w:sz="4"/>
              <w:left w:val="single" w:color="AAAAAA" w:sz="4"/>
              <w:bottom w:val="single" w:color="AAAAAA" w:sz="4"/>
              <w:right w:val="single" w:color="AAAAAA" w:sz="4"/>
            </w:tcBorders>
            <w:shd w:fill="E3F2FD"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F5</w:t>
            </w:r>
          </w:p>
        </w:tc>
        <w:tc>
          <w:tcPr>
            <w:tcW w:type="dxa" w:w="1800"/>
            <w:tcBorders>
              <w:top w:val="single" w:color="AAAAAA" w:sz="4"/>
              <w:left w:val="single" w:color="AAAAAA" w:sz="4"/>
              <w:bottom w:val="single" w:color="AAAAAA" w:sz="4"/>
              <w:right w:val="single" w:color="AAAAAA" w:sz="4"/>
            </w:tcBorders>
            <w:shd w:fill="E8F5E9"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Demo en vivo aprobada</w:t>
            </w:r>
          </w:p>
        </w:tc>
      </w:tr>
      <w:tr>
        <w:tc>
          <w:tcPr>
            <w:tcW w:type="dxa" w:w="5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E-10</w:t>
            </w:r>
          </w:p>
        </w:tc>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0D2137"/>
                <w:sz w:val="18"/>
                <w:szCs w:val="18"/>
              </w:rPr>
              <w:t xml:space="preserve">Material de Capacitación</w:t>
            </w:r>
          </w:p>
        </w:tc>
        <w:tc>
          <w:tcPr>
            <w:tcW w:type="dxa" w:w="35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7"/>
                <w:szCs w:val="17"/>
              </w:rPr>
              <w:t xml:space="preserve">2 talleres presenciales/virtuales con material, laboratorios prácticos y evaluación.</w:t>
            </w:r>
          </w:p>
        </w:tc>
        <w:tc>
          <w:tcPr>
            <w:tcW w:type="dxa" w:w="7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1565C0"/>
                <w:sz w:val="17"/>
                <w:szCs w:val="17"/>
              </w:rPr>
              <w:t xml:space="preserve">F7</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2E7D32"/>
                <w:sz w:val="16"/>
                <w:szCs w:val="16"/>
              </w:rPr>
              <w:t xml:space="preserve">Evaluación ≥ 80% del equipo</w:t>
            </w:r>
          </w:p>
        </w:tc>
      </w:tr>
    </w:tbl>
    <w:p>
      <w:r>
        <w:br w:type="page"/>
      </w:r>
    </w:p>
    <w:tbl>
      <w:tblPr>
        <w:tblW w:type="dxa" w:w="9360"/>
        <w:tblBorders>
          <w:top w:val="none"/>
          <w:left w:val="none"/>
          <w:bottom w:val="none"/>
          <w:right w:val="none"/>
          <w:insideH w:val="single" w:color="auto" w:sz="4"/>
          <w:insideV w:val="single" w:color="auto" w:sz="4"/>
        </w:tblBorders>
      </w:tblPr>
      <w:tblGrid>
        <w:gridCol w:w="1000"/>
        <w:gridCol w:w="8360"/>
      </w:tblGrid>
      <w:tr>
        <w:tc>
          <w:tcPr>
            <w:tcW w:type="dxa" w:w="1000"/>
            <w:tcBorders>
              <w:top w:val="none"/>
              <w:left w:val="none"/>
              <w:bottom w:val="none"/>
              <w:right w:val="none"/>
            </w:tcBorders>
            <w:shd w:fill="2979D9" w:val="clear"/>
            <w:tcMar>
              <w:top w:type="dxa" w:w="160"/>
              <w:left w:type="dxa" w:w="160"/>
              <w:bottom w:type="dxa" w:w="160"/>
              <w:right w:type="dxa" w:w="160"/>
            </w:tcMar>
            <w:vAlign w:val="center"/>
          </w:tcPr>
          <w:p>
            <w:pPr>
              <w:jc w:val="center"/>
            </w:pPr>
            <w:r>
              <w:rPr>
                <w:rFonts w:ascii="Calibri" w:cs="Calibri" w:eastAsia="Calibri" w:hAnsi="Calibri"/>
                <w:b/>
                <w:bCs/>
                <w:color w:val="FFFFFF"/>
                <w:sz w:val="52"/>
                <w:szCs w:val="52"/>
              </w:rPr>
              <w:t xml:space="preserve">09</w:t>
            </w:r>
          </w:p>
        </w:tc>
        <w:tc>
          <w:tcPr>
            <w:tcW w:type="dxa" w:w="8360"/>
            <w:tcBorders>
              <w:top w:val="none"/>
              <w:left w:val="none"/>
              <w:bottom w:val="none"/>
              <w:right w:val="none"/>
            </w:tcBorders>
            <w:shd w:fill="0D2137" w:val="clear"/>
            <w:tcMar>
              <w:top w:type="dxa" w:w="140"/>
              <w:left w:type="dxa" w:w="240"/>
              <w:bottom w:type="dxa" w:w="140"/>
              <w:right w:type="dxa" w:w="160"/>
            </w:tcMar>
            <w:vAlign w:val="center"/>
          </w:tcPr>
          <w:p>
            <w:pPr>
              <w:spacing w:before="0" w:after="30"/>
            </w:pPr>
            <w:r>
              <w:rPr>
                <w:rFonts w:ascii="Calibri" w:cs="Calibri" w:eastAsia="Calibri" w:hAnsi="Calibri"/>
                <w:b/>
                <w:bCs/>
                <w:color w:val="FFFFFF"/>
                <w:sz w:val="30"/>
                <w:szCs w:val="30"/>
              </w:rPr>
              <w:t xml:space="preserve">Siguientes Pasos</w:t>
            </w:r>
          </w:p>
          <w:p>
            <w:pPr>
              <w:spacing w:before="0" w:after="0"/>
            </w:pPr>
            <w:r>
              <w:rPr>
                <w:rFonts w:ascii="Calibri" w:cs="Calibri" w:eastAsia="Calibri" w:hAnsi="Calibri"/>
                <w:i/>
                <w:iCs/>
                <w:color w:val="BBDEFB"/>
                <w:sz w:val="18"/>
                <w:szCs w:val="18"/>
              </w:rPr>
              <w:t xml:space="preserve">Cómo avanzar hacia el inicio del proyecto</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2300"/>
        <w:gridCol w:w="2300"/>
      </w:tblGrid>
      <w:tr>
        <w:tc>
          <w:tcPr>
            <w:tcW w:type="dxa" w:w="6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Paso</w:t>
            </w:r>
          </w:p>
        </w:tc>
        <w:tc>
          <w:tcPr>
            <w:tcW w:type="dxa" w:w="416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Acción Requerida</w:t>
            </w:r>
          </w:p>
        </w:tc>
        <w:tc>
          <w:tcPr>
            <w:tcW w:type="dxa" w:w="23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Responsable</w:t>
            </w:r>
          </w:p>
        </w:tc>
        <w:tc>
          <w:tcPr>
            <w:tcW w:type="dxa" w:w="2300"/>
            <w:tcBorders>
              <w:top w:val="single" w:color="1565C0" w:sz="4"/>
              <w:left w:val="single" w:color="1565C0" w:sz="4"/>
              <w:bottom w:val="single" w:color="1565C0" w:sz="4"/>
              <w:right w:val="single" w:color="1565C0" w:sz="4"/>
            </w:tcBorders>
            <w:shd w:fill="0D213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19"/>
                <w:szCs w:val="19"/>
              </w:rPr>
              <w:t xml:space="preserve">Plazo Sugerido</w:t>
            </w:r>
          </w:p>
        </w:tc>
      </w:tr>
      <w:tr>
        <w:tc>
          <w:tcPr>
            <w:tcW w:type="dxa" w:w="6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4"/>
                <w:szCs w:val="24"/>
              </w:rPr>
              <w:t xml:space="preserve">1</w:t>
            </w:r>
          </w:p>
        </w:tc>
        <w:tc>
          <w:tcPr>
            <w:tcW w:type="dxa" w:w="4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Revisión interna de la propuesta por parte de TI, Seguridad y Cumplimiento de la institución.</w:t>
            </w:r>
          </w:p>
        </w:tc>
        <w:tc>
          <w:tcPr>
            <w:tcW w:type="dxa" w:w="23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8"/>
                <w:szCs w:val="18"/>
              </w:rPr>
              <w:t xml:space="preserve">Institución</w:t>
            </w:r>
          </w:p>
        </w:tc>
        <w:tc>
          <w:tcPr>
            <w:tcW w:type="dxa" w:w="23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8"/>
                <w:szCs w:val="18"/>
              </w:rPr>
              <w:t xml:space="preserve">3–5 días hábiles</w:t>
            </w:r>
          </w:p>
        </w:tc>
      </w:tr>
      <w:tr>
        <w:tc>
          <w:tcPr>
            <w:tcW w:type="dxa" w:w="6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4"/>
                <w:szCs w:val="24"/>
              </w:rPr>
              <w:t xml:space="preserve">2</w:t>
            </w:r>
          </w:p>
        </w:tc>
        <w:tc>
          <w:tcPr>
            <w:tcW w:type="dxa" w:w="4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Sesión de Q&amp;A técnica: aclaración de dudas sobre alcance, arquitectura y metodología.</w:t>
            </w:r>
          </w:p>
        </w:tc>
        <w:tc>
          <w:tcPr>
            <w:tcW w:type="dxa" w:w="2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8"/>
                <w:szCs w:val="18"/>
              </w:rPr>
              <w:t xml:space="preserve">[Proveedor] + Institución</w:t>
            </w:r>
          </w:p>
        </w:tc>
        <w:tc>
          <w:tcPr>
            <w:tcW w:type="dxa" w:w="2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8"/>
                <w:szCs w:val="18"/>
              </w:rPr>
              <w:t xml:space="preserve">Día 5–7</w:t>
            </w:r>
          </w:p>
        </w:tc>
      </w:tr>
      <w:tr>
        <w:tc>
          <w:tcPr>
            <w:tcW w:type="dxa" w:w="6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4"/>
                <w:szCs w:val="24"/>
              </w:rPr>
              <w:t xml:space="preserve">3</w:t>
            </w:r>
          </w:p>
        </w:tc>
        <w:tc>
          <w:tcPr>
            <w:tcW w:type="dxa" w:w="4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Aprobación formal de la propuesta técnica y económica por parte del comité de evaluación.</w:t>
            </w:r>
          </w:p>
        </w:tc>
        <w:tc>
          <w:tcPr>
            <w:tcW w:type="dxa" w:w="23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8"/>
                <w:szCs w:val="18"/>
              </w:rPr>
              <w:t xml:space="preserve">Institución (Compras + TI)</w:t>
            </w:r>
          </w:p>
        </w:tc>
        <w:tc>
          <w:tcPr>
            <w:tcW w:type="dxa" w:w="23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8"/>
                <w:szCs w:val="18"/>
              </w:rPr>
              <w:t xml:space="preserve">Según calendario RFP</w:t>
            </w:r>
          </w:p>
        </w:tc>
      </w:tr>
      <w:tr>
        <w:tc>
          <w:tcPr>
            <w:tcW w:type="dxa" w:w="6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4"/>
                <w:szCs w:val="24"/>
              </w:rPr>
              <w:t xml:space="preserve">4</w:t>
            </w:r>
          </w:p>
        </w:tc>
        <w:tc>
          <w:tcPr>
            <w:tcW w:type="dxa" w:w="4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Firma del contrato de servicios y NDA. Designación del sponsor ejecutivo y responsable técnico de la institución.</w:t>
            </w:r>
          </w:p>
        </w:tc>
        <w:tc>
          <w:tcPr>
            <w:tcW w:type="dxa" w:w="2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8"/>
                <w:szCs w:val="18"/>
              </w:rPr>
              <w:t xml:space="preserve">Áreas legales y dirección</w:t>
            </w:r>
          </w:p>
        </w:tc>
        <w:tc>
          <w:tcPr>
            <w:tcW w:type="dxa" w:w="2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8"/>
                <w:szCs w:val="18"/>
              </w:rPr>
              <w:t xml:space="preserve">Post-adjudicación</w:t>
            </w:r>
          </w:p>
        </w:tc>
      </w:tr>
      <w:tr>
        <w:tc>
          <w:tcPr>
            <w:tcW w:type="dxa" w:w="6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4"/>
                <w:szCs w:val="24"/>
              </w:rPr>
              <w:t xml:space="preserve">5</w:t>
            </w:r>
          </w:p>
        </w:tc>
        <w:tc>
          <w:tcPr>
            <w:tcW w:type="dxa" w:w="416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Kick-off del proyecto: validación de supuestos, agenda de la Fase 1 y accesos de plataforma.</w:t>
            </w:r>
          </w:p>
        </w:tc>
        <w:tc>
          <w:tcPr>
            <w:tcW w:type="dxa" w:w="2300"/>
            <w:tcBorders>
              <w:top w:val="single" w:color="AAAAAA" w:sz="4"/>
              <w:left w:val="single" w:color="AAAAAA" w:sz="4"/>
              <w:bottom w:val="single" w:color="AAAAAA" w:sz="4"/>
              <w:right w:val="single" w:color="AAAAAA" w:sz="4"/>
            </w:tcBorders>
            <w:shd w:fill="ECEFF1"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8"/>
                <w:szCs w:val="18"/>
              </w:rPr>
              <w:t xml:space="preserve">[Proveedor] + Equipo Institución</w:t>
            </w:r>
          </w:p>
        </w:tc>
        <w:tc>
          <w:tcPr>
            <w:tcW w:type="dxa" w:w="2300"/>
            <w:tcBorders>
              <w:top w:val="single" w:color="AAAAAA" w:sz="4"/>
              <w:left w:val="single" w:color="AAAAAA" w:sz="4"/>
              <w:bottom w:val="single" w:color="AAAAAA" w:sz="4"/>
              <w:right w:val="single" w:color="AAAAAA" w:sz="4"/>
            </w:tcBorders>
            <w:shd w:fill="FFFDE7"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8"/>
                <w:szCs w:val="18"/>
              </w:rPr>
              <w:t xml:space="preserve">Semana 1</w:t>
            </w:r>
          </w:p>
        </w:tc>
      </w:tr>
      <w:tr>
        <w:tc>
          <w:tcPr>
            <w:tcW w:type="dxa" w:w="600"/>
            <w:tcBorders>
              <w:top w:val="single" w:color="AAAAAA" w:sz="4"/>
              <w:left w:val="single" w:color="AAAAAA" w:sz="4"/>
              <w:bottom w:val="single" w:color="AAAAAA" w:sz="4"/>
              <w:right w:val="single" w:color="AAAAAA" w:sz="4"/>
            </w:tcBorders>
            <w:shd w:fill="2979D9"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FFFFFF"/>
                <w:sz w:val="24"/>
                <w:szCs w:val="24"/>
              </w:rPr>
              <w:t xml:space="preserve">6</w:t>
            </w:r>
          </w:p>
        </w:tc>
        <w:tc>
          <w:tcPr>
            <w:tcW w:type="dxa" w:w="416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val="false"/>
                <w:bCs w:val="false"/>
                <w:color w:val="0D0D0D"/>
                <w:sz w:val="19"/>
                <w:szCs w:val="19"/>
              </w:rPr>
              <w:t xml:space="preserve">Inicio de la Fase 1 — Discovery &amp; Assessment.</w:t>
            </w:r>
          </w:p>
        </w:tc>
        <w:tc>
          <w:tcPr>
            <w:tcW w:type="dxa" w:w="2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left"/>
            </w:pPr>
            <w:r>
              <w:rPr>
                <w:rFonts w:ascii="Calibri" w:cs="Calibri" w:eastAsia="Calibri" w:hAnsi="Calibri"/>
                <w:b/>
                <w:bCs/>
                <w:color w:val="1565C0"/>
                <w:sz w:val="18"/>
                <w:szCs w:val="18"/>
              </w:rPr>
              <w:t xml:space="preserve">[Proveedor]</w:t>
            </w:r>
          </w:p>
        </w:tc>
        <w:tc>
          <w:tcPr>
            <w:tcW w:type="dxa" w:w="23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vAlign w:val="center"/>
          </w:tcPr>
          <w:p>
            <w:pPr>
              <w:spacing w:before="80" w:after="80"/>
              <w:jc w:val="center"/>
            </w:pPr>
            <w:r>
              <w:rPr>
                <w:rFonts w:ascii="Calibri" w:cs="Calibri" w:eastAsia="Calibri" w:hAnsi="Calibri"/>
                <w:b/>
                <w:bCs/>
                <w:color w:val="E65100"/>
                <w:sz w:val="18"/>
                <w:szCs w:val="18"/>
              </w:rPr>
              <w:t xml:space="preserve">Semana 1–2</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D2137" w:val="clear"/>
            <w:tcMar>
              <w:top w:type="dxa" w:w="320"/>
              <w:left w:type="dxa" w:w="400"/>
              <w:bottom w:type="dxa" w:w="320"/>
              <w:right w:type="dxa" w:w="400"/>
            </w:tcMar>
          </w:tcPr>
          <w:p>
            <w:pPr>
              <w:spacing w:before="0" w:after="80"/>
              <w:jc w:val="center"/>
            </w:pPr>
            <w:r>
              <w:rPr>
                <w:rFonts w:ascii="Calibri" w:cs="Calibri" w:eastAsia="Calibri" w:hAnsi="Calibri"/>
                <w:b/>
                <w:bCs/>
                <w:color w:val="FFFFFF"/>
                <w:sz w:val="32"/>
                <w:szCs w:val="32"/>
              </w:rPr>
              <w:t xml:space="preserve">¿Listo para avanzar?</w:t>
            </w:r>
          </w:p>
          <w:p>
            <w:pPr>
              <w:spacing w:before="0" w:after="80"/>
              <w:jc w:val="center"/>
            </w:pPr>
            <w:r>
              <w:rPr>
                <w:rFonts w:ascii="Calibri" w:cs="Calibri" w:eastAsia="Calibri" w:hAnsi="Calibri"/>
                <w:color w:val="BBDEFB"/>
                <w:sz w:val="22"/>
                <w:szCs w:val="22"/>
              </w:rPr>
              <w:t xml:space="preserve">Contáctanos para agendar la sesión de Q&amp;A técnica</w:t>
            </w:r>
          </w:p>
          <w:p>
            <w:pPr>
              <w:spacing w:before="80" w:after="40"/>
              <w:jc w:val="center"/>
            </w:pPr>
            <w:r>
              <w:rPr>
                <w:rFonts w:ascii="Calibri" w:cs="Calibri" w:eastAsia="Calibri" w:hAnsi="Calibri"/>
                <w:b/>
                <w:bCs/>
                <w:color w:val="F9A825"/>
                <w:sz w:val="20"/>
                <w:szCs w:val="20"/>
              </w:rPr>
              <w:t xml:space="preserve">[nombre@empresa.com.mx]   ·   [+52 55 XXXX-XXXX]   ·   [www.empresa.com.mx]</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79D9" w:sz="8" w:space="4"/>
      </w:pBdr>
      <w:tabs>
        <w:tab w:val="right" w:pos="9360"/>
      </w:tabs>
      <w:spacing w:before="80" w:after="0"/>
    </w:pPr>
    <w:r>
      <w:rPr>
        <w:rFonts w:ascii="Calibri" w:cs="Calibri" w:eastAsia="Calibri" w:hAnsi="Calibri"/>
        <w:color w:val="455A64"/>
        <w:sz w:val="16"/>
        <w:szCs w:val="16"/>
      </w:rPr>
      <w:t xml:space="preserve">[INSTITUCIÓN]  ·  RFP Cloud Service Provider  ·  2025</w:t>
    </w:r>
    <w:r>
      <w:rPr>
        <w:sz w:val="16"/>
        <w:szCs w:val="16"/>
      </w:rPr>
      <w:t xml:space="preserve">	</w:t>
    </w:r>
    <w:r>
      <w:rPr>
        <w:rFonts w:ascii="Calibri" w:cs="Calibri" w:eastAsia="Calibri" w:hAnsi="Calibri"/>
        <w:color w:val="455A64"/>
        <w:sz w:val="16"/>
        <w:szCs w:val="16"/>
      </w:rPr>
      <w:t xml:space="preserve">Página </w:t>
    </w:r>
    <w:fldSimple w:instr="PAGE"/>
    <w:r>
      <w:rPr>
        <w:rFonts w:ascii="Calibri" w:cs="Calibri" w:eastAsia="Calibri" w:hAnsi="Calibri"/>
        <w:color w:val="455A64"/>
        <w:sz w:val="16"/>
        <w:szCs w:val="16"/>
      </w:rPr>
      <w:t xml:space="preserve"> de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79D9" w:sz="8" w:space="4"/>
      </w:pBdr>
      <w:tabs>
        <w:tab w:val="right" w:pos="9360"/>
      </w:tabs>
      <w:spacing w:before="0" w:after="80"/>
    </w:pPr>
    <w:r>
      <w:rPr>
        <w:rFonts w:ascii="Calibri" w:cs="Calibri" w:eastAsia="Calibri" w:hAnsi="Calibri"/>
        <w:color w:val="455A64"/>
        <w:sz w:val="16"/>
        <w:szCs w:val="16"/>
      </w:rPr>
      <w:t xml:space="preserve">[NOMBRE DEL PROVEEDOR]  ·  Propuesta Azure Landing Zone  ·  Confidencial</w:t>
    </w:r>
    <w:r>
      <w:rPr>
        <w:sz w:val="16"/>
        <w:szCs w:val="16"/>
      </w:rPr>
      <w:t xml:space="preserve">	</w:t>
    </w:r>
    <w:r>
      <w:rPr>
        <w:rFonts w:ascii="Calibri" w:cs="Calibri" w:eastAsia="Calibri" w:hAnsi="Calibri"/>
        <w:i/>
        <w:iCs/>
        <w:color w:val="455A64"/>
        <w:sz w:val="16"/>
        <w:szCs w:val="16"/>
      </w:rPr>
      <w:t xml:space="preserve">Versión 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bullet"/>
      <w:lvlText w:val="◦"/>
      <w:lvlJc w:val="left"/>
      <w:pPr>
        <w:ind w:left="72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60"/>
      <w:outlineLvl w:val="0"/>
    </w:pPr>
    <w:rPr>
      <w:rFonts w:ascii="Calibri" w:cs="Calibri" w:eastAsia="Calibri" w:hAnsi="Calibri"/>
      <w:b/>
      <w:bCs/>
      <w:color w:val="0D2137"/>
      <w:sz w:val="34"/>
      <w:szCs w:val="34"/>
    </w:rPr>
  </w:style>
  <w:style w:type="paragraph" w:styleId="Heading2">
    <w:name w:val="Heading 2"/>
    <w:basedOn w:val="Normal"/>
    <w:next w:val="Normal"/>
    <w:pPr>
      <w:spacing w:before="280" w:after="100"/>
      <w:outlineLvl w:val="1"/>
    </w:pPr>
    <w:rPr>
      <w:rFonts w:ascii="Calibri" w:cs="Calibri" w:eastAsia="Calibri" w:hAnsi="Calibri"/>
      <w:b/>
      <w:bCs/>
      <w:color w:val="1565C0"/>
      <w:sz w:val="26"/>
      <w:szCs w:val="26"/>
    </w:rPr>
  </w:style>
  <w:style w:type="paragraph" w:styleId="Heading3">
    <w:name w:val="Heading 3"/>
    <w:basedOn w:val="Normal"/>
    <w:next w:val="Normal"/>
    <w:pPr>
      <w:spacing w:before="200" w:after="80"/>
      <w:outlineLvl w:val="2"/>
    </w:pPr>
    <w:rPr>
      <w:rFonts w:ascii="Calibri" w:cs="Calibri" w:eastAsia="Calibri" w:hAnsi="Calibri"/>
      <w:b/>
      <w:bCs/>
      <w:color w:val="0D21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2026-03-22T22:48:01.586Z</dcterms:created>
  <dcterms:modified xsi:type="dcterms:W3CDTF">2026-03-22T22:48:01.587Z</dcterms:modified>
</cp:coreProperties>
</file>

<file path=docProps/custom.xml><?xml version="1.0" encoding="utf-8"?>
<Properties xmlns="http://schemas.openxmlformats.org/officeDocument/2006/custom-properties" xmlns:vt="http://schemas.openxmlformats.org/officeDocument/2006/docPropsVTypes"/>
</file>