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60"/>
        <w:jc w:val="center"/>
      </w:pPr>
      <w:r>
        <w:rPr>
          <w:rFonts w:ascii="Calibri" w:cs="Calibri" w:eastAsia="Calibri" w:hAnsi="Calibri"/>
          <w:b/>
          <w:bCs/>
          <w:color w:val="0D2137"/>
          <w:sz w:val="56"/>
          <w:szCs w:val="56"/>
        </w:rPr>
        <w:t xml:space="preserve">SESIÓN DE Q&amp;A TÉCNICA</w:t>
      </w:r>
    </w:p>
    <w:p>
      <w:pPr>
        <w:spacing w:before="0" w:after="80"/>
        <w:jc w:val="center"/>
      </w:pPr>
      <w:r>
        <w:rPr>
          <w:rFonts w:ascii="Calibri" w:cs="Calibri" w:eastAsia="Calibri" w:hAnsi="Calibri"/>
          <w:b/>
          <w:bCs/>
          <w:color w:val="2979D9"/>
          <w:sz w:val="32"/>
          <w:szCs w:val="32"/>
        </w:rPr>
        <w:t xml:space="preserve">Azure Landing Zone — Cloud Service Provider</w:t>
      </w:r>
    </w:p>
    <w:p>
      <w:pPr>
        <w:pBdr>
          <w:bottom w:val="single" w:color="2979D9" w:sz="16" w:space="8"/>
        </w:pBdr>
        <w:spacing w:before="0" w:after="600"/>
        <w:jc w:val="center"/>
      </w:pPr>
      <w:r>
        <w:rPr>
          <w:rFonts w:ascii="Calibri" w:cs="Calibri" w:eastAsia="Calibri" w:hAnsi="Calibri"/>
          <w:i/>
          <w:iCs/>
          <w:color w:val="455A64"/>
          <w:sz w:val="24"/>
          <w:szCs w:val="24"/>
        </w:rPr>
        <w:t xml:space="preserve">20 Preguntas Técnicas de Evaluación</w:t>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7200"/>
        <w:tblBorders>
          <w:top w:val="none"/>
          <w:left w:val="none"/>
          <w:bottom w:val="none"/>
          <w:right w:val="none"/>
          <w:insideH w:val="single" w:color="auto" w:sz="4"/>
          <w:insideV w:val="single" w:color="auto" w:sz="4"/>
        </w:tblBorders>
      </w:tblPr>
      <w:tblGrid>
        <w:gridCol w:w="3600"/>
        <w:gridCol w:w="3600"/>
      </w:tblGrid>
      <w:tr>
        <w:tc>
          <w:tcPr>
            <w:tcW w:type="dxa" w:w="3600"/>
            <w:tcBorders>
              <w:top w:val="single" w:color="AAAAAA" w:sz="4"/>
              <w:left w:val="single" w:color="AAAAAA" w:sz="4"/>
              <w:bottom w:val="single" w:color="AAAAAA" w:sz="4"/>
              <w:right w:val="single" w:color="AAAAAA" w:sz="4"/>
            </w:tcBorders>
            <w:shd w:fill="0D2137" w:val="clear"/>
            <w:tcMar>
              <w:top w:type="dxa" w:w="100"/>
              <w:left w:type="dxa" w:w="140"/>
              <w:bottom w:type="dxa" w:w="100"/>
              <w:right w:type="dxa" w:w="140"/>
            </w:tcMar>
            <w:vAlign w:val="center"/>
          </w:tcPr>
          <w:p>
            <w:pPr>
              <w:spacing w:before="80" w:after="80"/>
              <w:jc w:val="right"/>
            </w:pPr>
            <w:r>
              <w:rPr>
                <w:rFonts w:ascii="Calibri" w:cs="Calibri" w:eastAsia="Calibri" w:hAnsi="Calibri"/>
                <w:b/>
                <w:bCs/>
                <w:color w:val="BBDEFB"/>
                <w:sz w:val="18"/>
                <w:szCs w:val="18"/>
              </w:rPr>
              <w:t xml:space="preserve">Institución evaluadora:</w:t>
            </w:r>
          </w:p>
        </w:tc>
        <w:tc>
          <w:tcPr>
            <w:tcW w:type="dxa" w:w="3600"/>
            <w:tcBorders>
              <w:top w:val="single" w:color="AAAAAA" w:sz="4"/>
              <w:left w:val="single" w:color="AAAAAA" w:sz="4"/>
              <w:bottom w:val="single" w:color="AAAAAA" w:sz="4"/>
              <w:right w:val="single" w:color="AAAAAA" w:sz="4"/>
            </w:tcBorders>
            <w:shd w:fill="2979D9" w:val="clear"/>
            <w:tcMar>
              <w:top w:type="dxa" w:w="100"/>
              <w:left w:type="dxa" w:w="140"/>
              <w:bottom w:type="dxa" w:w="100"/>
              <w:right w:type="dxa" w:w="140"/>
            </w:tcMar>
            <w:vAlign w:val="center"/>
          </w:tcPr>
          <w:p>
            <w:pPr>
              <w:spacing w:before="80" w:after="80"/>
              <w:jc w:val="left"/>
            </w:pPr>
            <w:r>
              <w:rPr>
                <w:rFonts w:ascii="Calibri" w:cs="Calibri" w:eastAsia="Calibri" w:hAnsi="Calibri"/>
                <w:b/>
                <w:bCs/>
                <w:color w:val="FFFFFF"/>
                <w:sz w:val="20"/>
                <w:szCs w:val="20"/>
              </w:rPr>
              <w:t xml:space="preserve">[NOMBRE DE LA INSTITUCIÓN]</w:t>
            </w:r>
          </w:p>
        </w:tc>
      </w:tr>
      <w:tr>
        <w:tc>
          <w:tcPr>
            <w:tcW w:type="dxa" w:w="36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right"/>
            </w:pPr>
            <w:r>
              <w:rPr>
                <w:rFonts w:ascii="Calibri" w:cs="Calibri" w:eastAsia="Calibri" w:hAnsi="Calibri"/>
                <w:b/>
                <w:bCs/>
                <w:color w:val="455A64"/>
                <w:sz w:val="18"/>
                <w:szCs w:val="18"/>
              </w:rPr>
              <w:t xml:space="preserve">Proveedor evaluado:</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20"/>
                <w:szCs w:val="20"/>
              </w:rPr>
              <w:t xml:space="preserve">[NOMBRE DEL PROVEEDOR]</w:t>
            </w:r>
          </w:p>
        </w:tc>
      </w:tr>
      <w:tr>
        <w:tc>
          <w:tcPr>
            <w:tcW w:type="dxa" w:w="36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right"/>
            </w:pPr>
            <w:r>
              <w:rPr>
                <w:rFonts w:ascii="Calibri" w:cs="Calibri" w:eastAsia="Calibri" w:hAnsi="Calibri"/>
                <w:b/>
                <w:bCs/>
                <w:color w:val="455A64"/>
                <w:sz w:val="18"/>
                <w:szCs w:val="18"/>
              </w:rPr>
              <w:t xml:space="preserve">Fecha de la sesión:</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20"/>
                <w:szCs w:val="20"/>
              </w:rPr>
              <w:t xml:space="preserve">[DD/MM/AAAA   HH:MM hrs]</w:t>
            </w:r>
          </w:p>
        </w:tc>
      </w:tr>
      <w:tr>
        <w:tc>
          <w:tcPr>
            <w:tcW w:type="dxa" w:w="36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right"/>
            </w:pPr>
            <w:r>
              <w:rPr>
                <w:rFonts w:ascii="Calibri" w:cs="Calibri" w:eastAsia="Calibri" w:hAnsi="Calibri"/>
                <w:b/>
                <w:bCs/>
                <w:color w:val="455A64"/>
                <w:sz w:val="18"/>
                <w:szCs w:val="18"/>
              </w:rPr>
              <w:t xml:space="preserve">Participantes (institución):</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20"/>
                <w:szCs w:val="20"/>
              </w:rPr>
              <w:t xml:space="preserve">[Nombres y cargos]</w:t>
            </w:r>
          </w:p>
        </w:tc>
      </w:tr>
      <w:tr>
        <w:tc>
          <w:tcPr>
            <w:tcW w:type="dxa" w:w="36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right"/>
            </w:pPr>
            <w:r>
              <w:rPr>
                <w:rFonts w:ascii="Calibri" w:cs="Calibri" w:eastAsia="Calibri" w:hAnsi="Calibri"/>
                <w:b/>
                <w:bCs/>
                <w:color w:val="455A64"/>
                <w:sz w:val="18"/>
                <w:szCs w:val="18"/>
              </w:rPr>
              <w:t xml:space="preserve">Participantes (proveedor):</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20"/>
                <w:szCs w:val="20"/>
              </w:rPr>
              <w:t xml:space="preserve">[Nombres y cargos]</w:t>
            </w:r>
          </w:p>
        </w:tc>
      </w:tr>
      <w:tr>
        <w:tc>
          <w:tcPr>
            <w:tcW w:type="dxa" w:w="3600"/>
            <w:tcBorders>
              <w:top w:val="single" w:color="AAAAAA" w:sz="4"/>
              <w:left w:val="single" w:color="AAAAAA" w:sz="4"/>
              <w:bottom w:val="single" w:color="AAAAAA" w:sz="4"/>
              <w:right w:val="single" w:color="AAAAAA" w:sz="4"/>
            </w:tcBorders>
            <w:shd w:fill="FFFDE7" w:val="clear"/>
            <w:tcMar>
              <w:top w:type="dxa" w:w="100"/>
              <w:left w:type="dxa" w:w="140"/>
              <w:bottom w:type="dxa" w:w="100"/>
              <w:right w:type="dxa" w:w="140"/>
            </w:tcMar>
            <w:vAlign w:val="center"/>
          </w:tcPr>
          <w:p>
            <w:pPr>
              <w:spacing w:before="80" w:after="80"/>
              <w:jc w:val="right"/>
            </w:pPr>
            <w:r>
              <w:rPr>
                <w:rFonts w:ascii="Calibri" w:cs="Calibri" w:eastAsia="Calibri" w:hAnsi="Calibri"/>
                <w:b/>
                <w:bCs/>
                <w:color w:val="E65100"/>
                <w:sz w:val="18"/>
                <w:szCs w:val="18"/>
              </w:rPr>
              <w:t xml:space="preserve">Duración estimada:</w:t>
            </w:r>
          </w:p>
        </w:tc>
        <w:tc>
          <w:tcPr>
            <w:tcW w:type="dxa" w:w="3600"/>
            <w:tcBorders>
              <w:top w:val="single" w:color="AAAAAA" w:sz="4"/>
              <w:left w:val="single" w:color="AAAAAA" w:sz="4"/>
              <w:bottom w:val="single" w:color="AAAAAA" w:sz="4"/>
              <w:right w:val="single" w:color="AAAAAA" w:sz="4"/>
            </w:tcBorders>
            <w:shd w:fill="FFFDE7" w:val="clear"/>
            <w:tcMar>
              <w:top w:type="dxa" w:w="100"/>
              <w:left w:type="dxa" w:w="140"/>
              <w:bottom w:type="dxa" w:w="100"/>
              <w:right w:type="dxa" w:w="140"/>
            </w:tcMar>
            <w:vAlign w:val="center"/>
          </w:tcPr>
          <w:p>
            <w:pPr>
              <w:spacing w:before="80" w:after="80"/>
              <w:jc w:val="left"/>
            </w:pPr>
            <w:r>
              <w:rPr>
                <w:rFonts w:ascii="Calibri" w:cs="Calibri" w:eastAsia="Calibri" w:hAnsi="Calibri"/>
                <w:b/>
                <w:bCs/>
                <w:color w:val="E65100"/>
                <w:sz w:val="20"/>
                <w:szCs w:val="20"/>
              </w:rPr>
              <w:t xml:space="preserve">2.5 — 3 horas  (≈ 8 min/pregunta)</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1337"/>
        <w:gridCol w:w="1337"/>
        <w:gridCol w:w="1337"/>
        <w:gridCol w:w="1337"/>
        <w:gridCol w:w="1337"/>
        <w:gridCol w:w="1337"/>
        <w:gridCol w:w="1338"/>
      </w:tblGrid>
      <w:tr>
        <w:tc>
          <w:tcPr>
            <w:tcW w:type="dxa" w:w="1337"/>
            <w:tcBorders>
              <w:top w:val="none"/>
              <w:left w:val="none"/>
              <w:bottom w:val="none"/>
              <w:right w:val="none"/>
            </w:tcBorders>
            <w:shd w:fill="0D2137"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Arquitectura
&amp; Gobierno</w:t>
            </w:r>
          </w:p>
          <w:p>
            <w:pPr>
              <w:spacing w:before="0" w:after="0"/>
              <w:jc w:val="center"/>
            </w:pPr>
            <w:r>
              <w:rPr>
                <w:rFonts w:ascii="Calibri" w:cs="Calibri" w:eastAsia="Calibri" w:hAnsi="Calibri"/>
                <w:b/>
                <w:bCs/>
                <w:color w:val="FFFFFF"/>
                <w:sz w:val="18"/>
                <w:szCs w:val="18"/>
              </w:rPr>
              <w:t xml:space="preserve">3 Preg.</w:t>
            </w:r>
          </w:p>
        </w:tc>
        <w:tc>
          <w:tcPr>
            <w:tcW w:type="dxa" w:w="1337"/>
            <w:tcBorders>
              <w:top w:val="none"/>
              <w:left w:val="none"/>
              <w:bottom w:val="none"/>
              <w:right w:val="none"/>
            </w:tcBorders>
            <w:shd w:fill="1565C0"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Identidad &amp;
Seguridad</w:t>
            </w:r>
          </w:p>
          <w:p>
            <w:pPr>
              <w:spacing w:before="0" w:after="0"/>
              <w:jc w:val="center"/>
            </w:pPr>
            <w:r>
              <w:rPr>
                <w:rFonts w:ascii="Calibri" w:cs="Calibri" w:eastAsia="Calibri" w:hAnsi="Calibri"/>
                <w:b/>
                <w:bCs/>
                <w:color w:val="FFFFFF"/>
                <w:sz w:val="18"/>
                <w:szCs w:val="18"/>
              </w:rPr>
              <w:t xml:space="preserve">3 Preg.</w:t>
            </w:r>
          </w:p>
        </w:tc>
        <w:tc>
          <w:tcPr>
            <w:tcW w:type="dxa" w:w="1337"/>
            <w:tcBorders>
              <w:top w:val="none"/>
              <w:left w:val="none"/>
              <w:bottom w:val="none"/>
              <w:right w:val="none"/>
            </w:tcBorders>
            <w:shd w:fill="00838F"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Networking
Hub &amp; Spoke</w:t>
            </w:r>
          </w:p>
          <w:p>
            <w:pPr>
              <w:spacing w:before="0" w:after="0"/>
              <w:jc w:val="center"/>
            </w:pPr>
            <w:r>
              <w:rPr>
                <w:rFonts w:ascii="Calibri" w:cs="Calibri" w:eastAsia="Calibri" w:hAnsi="Calibri"/>
                <w:b/>
                <w:bCs/>
                <w:color w:val="FFFFFF"/>
                <w:sz w:val="18"/>
                <w:szCs w:val="18"/>
              </w:rPr>
              <w:t xml:space="preserve">3 Preg.</w:t>
            </w:r>
          </w:p>
        </w:tc>
        <w:tc>
          <w:tcPr>
            <w:tcW w:type="dxa" w:w="1337"/>
            <w:tcBorders>
              <w:top w:val="none"/>
              <w:left w:val="none"/>
              <w:bottom w:val="none"/>
              <w:right w:val="none"/>
            </w:tcBorders>
            <w:shd w:fill="E65100"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Cumplimiento
CNBV/CUB</w:t>
            </w:r>
          </w:p>
          <w:p>
            <w:pPr>
              <w:spacing w:before="0" w:after="0"/>
              <w:jc w:val="center"/>
            </w:pPr>
            <w:r>
              <w:rPr>
                <w:rFonts w:ascii="Calibri" w:cs="Calibri" w:eastAsia="Calibri" w:hAnsi="Calibri"/>
                <w:b/>
                <w:bCs/>
                <w:color w:val="FFFFFF"/>
                <w:sz w:val="18"/>
                <w:szCs w:val="18"/>
              </w:rPr>
              <w:t xml:space="preserve">3 Preg.</w:t>
            </w:r>
          </w:p>
        </w:tc>
        <w:tc>
          <w:tcPr>
            <w:tcW w:type="dxa" w:w="1337"/>
            <w:tcBorders>
              <w:top w:val="none"/>
              <w:left w:val="none"/>
              <w:bottom w:val="none"/>
              <w:right w:val="none"/>
            </w:tcBorders>
            <w:shd w:fill="2E7D32"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FinOps &amp;
Costos</w:t>
            </w:r>
          </w:p>
          <w:p>
            <w:pPr>
              <w:spacing w:before="0" w:after="0"/>
              <w:jc w:val="center"/>
            </w:pPr>
            <w:r>
              <w:rPr>
                <w:rFonts w:ascii="Calibri" w:cs="Calibri" w:eastAsia="Calibri" w:hAnsi="Calibri"/>
                <w:b/>
                <w:bCs/>
                <w:color w:val="FFFFFF"/>
                <w:sz w:val="18"/>
                <w:szCs w:val="18"/>
              </w:rPr>
              <w:t xml:space="preserve">2 Preg.</w:t>
            </w:r>
          </w:p>
        </w:tc>
        <w:tc>
          <w:tcPr>
            <w:tcW w:type="dxa" w:w="1337"/>
            <w:tcBorders>
              <w:top w:val="none"/>
              <w:left w:val="none"/>
              <w:bottom w:val="none"/>
              <w:right w:val="none"/>
            </w:tcBorders>
            <w:shd w:fill="6A1B9A"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IaC &amp;
DevOps</w:t>
            </w:r>
          </w:p>
          <w:p>
            <w:pPr>
              <w:spacing w:before="0" w:after="0"/>
              <w:jc w:val="center"/>
            </w:pPr>
            <w:r>
              <w:rPr>
                <w:rFonts w:ascii="Calibri" w:cs="Calibri" w:eastAsia="Calibri" w:hAnsi="Calibri"/>
                <w:b/>
                <w:bCs/>
                <w:color w:val="FFFFFF"/>
                <w:sz w:val="18"/>
                <w:szCs w:val="18"/>
              </w:rPr>
              <w:t xml:space="preserve">3 Preg.</w:t>
            </w:r>
          </w:p>
        </w:tc>
        <w:tc>
          <w:tcPr>
            <w:tcW w:type="dxa" w:w="1337"/>
            <w:tcBorders>
              <w:top w:val="none"/>
              <w:left w:val="none"/>
              <w:bottom w:val="none"/>
              <w:right w:val="none"/>
            </w:tcBorders>
            <w:shd w:fill="C62828" w:val="clear"/>
            <w:tcMar>
              <w:top w:type="dxa" w:w="120"/>
              <w:left w:type="dxa" w:w="80"/>
              <w:bottom w:type="dxa" w:w="120"/>
              <w:right w:type="dxa" w:w="80"/>
            </w:tcMar>
          </w:tcPr>
          <w:p>
            <w:pPr>
              <w:spacing w:before="0" w:after="20"/>
              <w:jc w:val="center"/>
            </w:pPr>
            <w:r>
              <w:rPr>
                <w:rFonts w:ascii="Calibri" w:cs="Calibri" w:eastAsia="Calibri" w:hAnsi="Calibri"/>
                <w:sz w:val="28"/>
                <w:szCs w:val="28"/>
              </w:rPr>
              <w:t xml:space="preserve">📊</w:t>
            </w:r>
          </w:p>
          <w:p>
            <w:pPr>
              <w:spacing w:before="0" w:after="20"/>
              <w:jc w:val="center"/>
            </w:pPr>
            <w:r>
              <w:rPr>
                <w:rFonts w:ascii="Calibri" w:cs="Calibri" w:eastAsia="Calibri" w:hAnsi="Calibri"/>
                <w:b w:val="false"/>
                <w:bCs w:val="false"/>
                <w:color w:val="FFFFFF"/>
                <w:sz w:val="16"/>
                <w:szCs w:val="16"/>
              </w:rPr>
              <w:t xml:space="preserve">Monitoreo &amp;
Sentinel</w:t>
            </w:r>
          </w:p>
          <w:p>
            <w:pPr>
              <w:spacing w:before="0" w:after="0"/>
              <w:jc w:val="center"/>
            </w:pPr>
            <w:r>
              <w:rPr>
                <w:rFonts w:ascii="Calibri" w:cs="Calibri" w:eastAsia="Calibri" w:hAnsi="Calibri"/>
                <w:b/>
                <w:bCs/>
                <w:color w:val="FFFFFF"/>
                <w:sz w:val="18"/>
                <w:szCs w:val="18"/>
              </w:rPr>
              <w:t xml:space="preserve">3 Preg.</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60" w:after="0"/>
        <w:jc w:val="center"/>
      </w:pPr>
      <w:r>
        <w:rPr>
          <w:rFonts w:ascii="Calibri" w:cs="Calibri" w:eastAsia="Calibri" w:hAnsi="Calibri"/>
          <w:i/>
          <w:iCs/>
          <w:color w:val="455A64"/>
          <w:sz w:val="17"/>
          <w:szCs w:val="17"/>
        </w:rPr>
        <w:t xml:space="preserve">Instrucciones: Para cada pregunta, el proveedor dispone de hasta 8 minutos para responder. El evaluador registra la respuesta y marca su calificación al final de cada bloque. Las preguntas marcadas con nivel «Alta» son eliminatorias.</w:t>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2979D9"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0D2137"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1 — Arquitectura &amp; Gobierno ALZ</w:t>
            </w:r>
          </w:p>
        </w:tc>
        <w:tc>
          <w:tcPr>
            <w:tcW w:type="dxa" w:w="1300"/>
            <w:tcBorders>
              <w:top w:val="none"/>
              <w:left w:val="none"/>
              <w:bottom w:val="none"/>
              <w:right w:val="none"/>
            </w:tcBorders>
            <w:shd w:fill="2979D9"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1 – 3</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diseñaría la jerarquía de Management Groups para esta institución y qué criterios utiliza para decidir cuántas suscripciones crear?</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El estándar Enterprise-Scale ALZ define patrones específicos para la segregación de entornos. Un proveedor experto debe ir más allá de simplemente replicar el diagrama de Microsoft.</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Conocimiento profundo del modelo de Management Groups (raíz → Platform → LZ → Sandbox), justificación técnica de suscripciones dedicadas por función (Identity, Connectivity, Management), y comprensión de los límites de Azure por suscripción (RGs, VNets, Policy assignments).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P2</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Si durante la implementación detecta un conflicto entre las Azure Policies de la iniciativa ISO 27001 asignada a nivel raíz y una necesidad técnica específica de una suscripción de producción, ¿cómo lo resuelve sin comprometer el cumplimiento?</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Este escenario ocurre frecuentemente en proyectos reales, especialmente con políticas de cifrado o restricción de regiones.</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Dominio de precedencia y herencia de Azure Policy, uso de exclusiones (exemptions) vs. override, diferencia entre DeployIfNotExists / Deny / Audit, y capacidad de justificar técnicamente ante auditoría la excepción sin violar el marco de cumplimiento.</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P3</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implementa y versiona la gobernanza inicial (naming, tagging, blueprints) de manera que sea repetible para nuevas suscripciones que se añadan en el futuro, sin intervención manual?</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Las instituciones financieras tienden a crecer y agregar nuevas unidades de negocio en la nube. La gobernanza debe escalar.</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Conocimiento de Azure Policy en modo DeployIfNotExists para enforcement automático, uso de Deployment Stacks o Azure Blueprints (o su sucesor), estructura de repositorio IaC para onboarding de suscripciones, y automatización del ciclo de vida de gobernanza.</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2979D9"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1565C0"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2 — Identidad &amp; Seguridad (Zero Trust)</w:t>
            </w:r>
          </w:p>
        </w:tc>
        <w:tc>
          <w:tcPr>
            <w:tcW w:type="dxa" w:w="1300"/>
            <w:tcBorders>
              <w:top w:val="none"/>
              <w:left w:val="none"/>
              <w:bottom w:val="none"/>
              <w:right w:val="none"/>
            </w:tcBorders>
            <w:shd w:fill="2979D9"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4 – 6</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P4</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Describa cómo implementa el modelo de acceso Zero Trust en la Landing Zone, específicamente para usuarios con acceso privilegiado a recursos de producción en Azure.</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Zero Trust no es solo una configuración, es un modelo operativo. Las instituciones financieras son objetivo de ataques de escalamiento de privilegios.</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Uso de PIM (Privileged Identity Management) con aprobación just-in-time, Conditional Access con condiciones de cumplimiento de dispositivo, MFA por defecto incluyendo break-glass accounts, separación de identidades de administración vs. operación, y uso de Managed Identities para eliminar secretos en código.</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P5</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configura Customer Managed Keys (CMK) en Key Vault para cumplir con los requerimientos de cifrado de datos en reposo de la CNBV, y qué sucede operativamente si la llave es revocada o expira?</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CMK es un requerimiento específico para instituciones financieras mexicanas. La gestión del ciclo de vida de las llaves es un punto crítico operativo.</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Configuración de Key Vault Premium con protección HSM, integración de CMK con Storage Accounts / Azure SQL / Disk Encryption, impacto operativo de la revocación de llaves (datos inaccesibles inmediatamente), proceso de rotación de llaves sin downtime, y documentación de procedimiento para auditoría CNBV.</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P6</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gestiona el acceso de identidades externas (colaboradores del proveedor, auditores, terceros) durante y después del proyecto, asegurando que no queden cuentas 'fantasma' con acceso persistente?</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gestión de accesos de terceros es un hallazgo frecuente en auditorías de seguridad del sector financiero.</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Uso de Entra ID B2B con access reviews automáticas, políticas de expiración de acceso guest, registro de toda actividad en Log Analytics, proceso formal de revocación al término del engagement, y uso de Azure Lighthouse para acceso del proveedor con visibilidad total del cliente.</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00838F"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00838F"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3 — Networking Hub &amp; Spoke</w:t>
            </w:r>
          </w:p>
        </w:tc>
        <w:tc>
          <w:tcPr>
            <w:tcW w:type="dxa" w:w="1300"/>
            <w:tcBorders>
              <w:top w:val="none"/>
              <w:left w:val="none"/>
              <w:bottom w:val="none"/>
              <w:right w:val="none"/>
            </w:tcBorders>
            <w:shd w:fill="00838F"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7 – 9</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P7</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Explique cómo garantiza que todo el tráfico saliente (egress) de las cargas de trabajo en los spokes pase obligatoriamente por el Azure Firewall Premium del hub, sin posibilidad de bypass técnico.</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El egress controlado es un requerimiento de seguridad crítico para instituciones financieras. Existen múltiples vectores técnicos para eludir un firewall si no se configura correctamente.</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Configuración de User Defined Routes (UDRs) con ruta 0.0.0.0/0 apuntando al firewall en todas las subnets, Azure Policy en modo Deny para impedir la creación de subnets sin UDR asociado, deshabilitación de propagación de rutas de gateway (BGP propagation), y validación con Network Watcher.</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P8</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Un desarrollador de la institución solicita exponer temporalmente un Storage Account con acceso público para compartir archivos con un proveedor externo. ¿Cómo maneja esta solicitud en el contexto de la Landing Zone y la política de Zero Public Exposure?</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Este es un escenario real del día a día operativo. La respuesta revela si el proveedor tiene procesos maduros o solo teoría.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Proceso de Change Request formal, alternativas seguras (SAS tokens de corta duración, Azure Private Link + VPN del tercero, Azure Storage con Shared Access Signature auditada), rechazo técnico mediante Azure Policy Deny en modo public access en Storage Accounts, y registro del incidente en Sentinel.</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P9</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configura Azure Private DNS Zones para que los servicios PaaS (Storage, SQL, Key Vault) sean resueltos correctamente tanto desde las VNets de Azure como desde el datacenter on-premises conectado via VPN?</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resolución DNS híbrida es uno de los puntos más complejos técnicamente en implementaciones Hub &amp; Spoke, y frecuentemente mal configurada.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Configuración de DNS Forwarder en la suscripción de Connectivity (Azure DNS Private Resolver o VM con DNS), reglas de reenvío condicional en el DNS on-premises hacia 168.63.129.16, vinculación correcta de Private DNS Zones a la VNet del Hub, y validación de resolución end-to-end desde on-premises.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F9A825"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E65100"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4 — Cumplimiento Regulatorio CNBV / CUB</w:t>
            </w:r>
          </w:p>
        </w:tc>
        <w:tc>
          <w:tcPr>
            <w:tcW w:type="dxa" w:w="1300"/>
            <w:tcBorders>
              <w:top w:val="none"/>
              <w:left w:val="none"/>
              <w:bottom w:val="none"/>
              <w:right w:val="none"/>
            </w:tcBorders>
            <w:shd w:fill="F9A825"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10 – 12</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P10</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¿Cuáles son los controles técnicos específicos de la Circular Única de Bancos (CUB) que se materializan directamente como configuraciones en la Azure Landing Zone, y cómo genera evidencia verificable de su cumplimiento?</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Este punto diferencia a un proveedor que conoce la regulación mexicana de uno que solo conoce los estándares internacionales como ISO 27001 o NIST.</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Conocimiento de los artículos de la CUB relativos a gestión de riesgos tecnológicos, continuidad operativa y seguridad de la información; mapeo a controles técnicos concretos (cifrado, separación de ambientes, acceso privilegiado, respaldo); generación de evidencias mediante Azure Policy Compliance Report, Defender for Cloud y exportación de logs para auditoría.</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P11</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Si durante una auditoría interna de la institución se detecta una desviación en una Azure Policy crítica (por ejemplo, un recurso sin cifrado CMK en producción), ¿cuál es el proceso técnico y operativo para remediar, documentar y prevenir la recurrencia?</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capacidad de respuesta ante hallazgos de auditoría es tan importante como la prevención. Los auditores de la CNBV esperan procesos documentados.</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Uso de Azure Policy Remediation Tasks para corrección automática, proceso de change management para ajuste de IaC, actualización del repositorio Git como fuente de verdad, generación de evidencia del estado antes/después, y mecanismo de detección temprana (drift detection en pipelines CI/CD).</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P12</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implementaría la separación lógica de ambientes (producción, pre-producción, sandbox) para cumplir con el principio de segregación de funciones requerido por la CNBV, considerando que todos operan bajo el mismo tenant de Azure?</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CNBV requiere segregación clara de entornos. Muchos proveedores usan Resource Groups como separación, lo cual es insuficiente para una institución regulada.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Segregación a nivel de suscripción (no solo Resource Groups), Management Groups distintos con políticas diferenciadas, RBAC sin posibilidad de que un usuario de producción acceda a pre-producción y viceversa, redes sin peering directo entre producción y sandbox, y auditoría diferenciada por entorno.</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2E7D32"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2E7D32"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5 — FinOps &amp; Optimización de Costos</w:t>
            </w:r>
          </w:p>
        </w:tc>
        <w:tc>
          <w:tcPr>
            <w:tcW w:type="dxa" w:w="1300"/>
            <w:tcBorders>
              <w:top w:val="none"/>
              <w:left w:val="none"/>
              <w:bottom w:val="none"/>
              <w:right w:val="none"/>
            </w:tcBorders>
            <w:shd w:fill="2E7D32"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13 – 14</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P13</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estructura el modelo de etiquetado (tagging) y los reportes de Cost Management para que la dirección de TI de la institución pueda identificar con precisión qué área de negocio genera cada peso de gasto en Azure, incluyendo los servicios de plataforma compartidos (Firewall, Log Analytics, Sentinel)?</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El showback/chargeback de costos compartidos es un reto técnico real en arquitecturas Hub &amp; Spoke donde varios proyectos comparten infraestructura.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Estrategia de tagging obligatorio via Azure Policy (centro de costos, propietario, entorno, aplicación), uso de Cost Management + Billing con filtros por tags, distribución de costos de servicios compartidos mediante Azure Cost Allocation Rules, y diseño de reporte ejecutivo mensual automatizado (Power BI o Azure Workbooks).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P14</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¿Cuál es su proceso para recomendar y ejecutar la compra de Reserved Instances o Savings Plans, y cómo asegura que la institución no sobre-compre capacidad reservada que luego no utilice?</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Las RI mal dimensionadas generan desperdicio. Un proveedor FinOps maduro tiene un proceso definido basado en datos.</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Análisis de al menos 30 días de métricas de utilización antes de recomendar RIs, uso de Azure Advisor Reservations Recommendations, distinción entre RIs de VMs (específicas) vs Savings Plans (flexibles), proceso de revisión trimestral de utilización de RIs, y política de no comprar RIs para ambientes pre-prod o cargas variables.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6A1B9A"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6A1B9A"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6 — IaC &amp; DevOps (Bicep / Terraform)</w:t>
            </w:r>
          </w:p>
        </w:tc>
        <w:tc>
          <w:tcPr>
            <w:tcW w:type="dxa" w:w="1300"/>
            <w:tcBorders>
              <w:top w:val="none"/>
              <w:left w:val="none"/>
              <w:bottom w:val="none"/>
              <w:right w:val="none"/>
            </w:tcBorders>
            <w:shd w:fill="6A1B9A"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15 – 17</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P15</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Muestre o describa la estructura de su repositorio Git para los módulos IaC de la Landing Zone. ¿Cómo gestiona la actualización de módulos compartidos cuando un cambio en el módulo de networking puede afectar múltiples suscripciones en producción?</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gestión de cambios en IaC en entornos productivos regulados requiere controles equivalentes a los de software de misión crítica.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Estructura de repositorio (módulos reutilizables vs. configuraciones por entorno), versionado semántico de módulos, uso de ramas y pull requests con revisión obligatoria, pipeline de validación (what-if / plan) antes de apply, ambientes de staging para prueba de módulos antes de promover a producción, y registro de cambios auditables.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P16</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implementa la detección y corrección automática de drift (desviación de la configuración desplegada vs. la definida en IaC) en una institución financiera donde cualquier cambio no autorizado en infraestructura de producción es un hallazgo de auditoría?</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El drift en infraestructura es una de las principales causas de vulnerabilidades no detectadas. La detección automatizada es un diferenciador clave.</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Pipeline programado (scheduled pipeline) que ejecuta terraform plan o bicep what-if contra producción, integración de alertas de desviación a Sentinel o Azure Monitor, proceso de remediación con change request formal, uso de Azure Policy para prevenir cambios fuera del pipeline, y generación de evidencia de estado de infraestructura para auditoría.</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P17</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gestiona los secretos (credenciales, connection strings, certificados) dentro de sus pipelines de CI/CD para que ningún valor sensible quede expuesto en el repositorio Git, en los logs de pipeline o en el estado de Terraform?</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exposición de secretos en repositorios o logs de CI/CD es una de las vulnerabilidades más comunes y graves en proyectos cloud.</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Uso de Azure Key Vault como fuente de secretos (no variables de pipeline en texto plano), integración de Key Vault con Azure DevOps / GitHub Actions mediante Service Connections con identidades administradas, configuración de Terraform backend cifrado en Storage Account con acceso restringido, y política de no hardcodear valores sensibles validada con herramientas como git-secrets o Defender for DevOps.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800"/>
        <w:gridCol w:w="7260"/>
        <w:gridCol w:w="1300"/>
      </w:tblGrid>
      <w:tr>
        <w:tc>
          <w:tcPr>
            <w:tcW w:type="dxa" w:w="800"/>
            <w:tcBorders>
              <w:top w:val="none"/>
              <w:left w:val="none"/>
              <w:bottom w:val="none"/>
              <w:right w:val="none"/>
            </w:tcBorders>
            <w:shd w:fill="C62828" w:val="clear"/>
            <w:tcMar>
              <w:top w:type="dxa" w:w="140"/>
              <w:left w:type="dxa" w:w="140"/>
              <w:bottom w:type="dxa" w:w="140"/>
              <w:right w:type="dxa" w:w="140"/>
            </w:tcMar>
            <w:vAlign w:val="center"/>
          </w:tcPr>
          <w:p>
            <w:pPr>
              <w:jc w:val="center"/>
            </w:pPr>
            <w:r>
              <w:rPr>
                <w:rFonts w:ascii="Calibri" w:cs="Calibri" w:eastAsia="Calibri" w:hAnsi="Calibri"/>
                <w:sz w:val="44"/>
                <w:szCs w:val="44"/>
              </w:rPr>
              <w:t xml:space="preserve">📊</w:t>
            </w:r>
          </w:p>
        </w:tc>
        <w:tc>
          <w:tcPr>
            <w:tcW w:type="dxa" w:w="7260"/>
            <w:tcBorders>
              <w:top w:val="none"/>
              <w:left w:val="none"/>
              <w:bottom w:val="none"/>
              <w:right w:val="none"/>
            </w:tcBorders>
            <w:shd w:fill="C62828" w:val="clear"/>
            <w:tcMar>
              <w:top w:type="dxa" w:w="120"/>
              <w:left w:type="dxa" w:w="220"/>
              <w:bottom w:type="dxa" w:w="120"/>
              <w:right w:type="dxa" w:w="100"/>
            </w:tcMar>
            <w:vAlign w:val="center"/>
          </w:tcPr>
          <w:p>
            <w:pPr>
              <w:spacing w:before="0" w:after="0"/>
            </w:pPr>
            <w:r>
              <w:rPr>
                <w:rFonts w:ascii="Calibri" w:cs="Calibri" w:eastAsia="Calibri" w:hAnsi="Calibri"/>
                <w:b/>
                <w:bCs/>
                <w:color w:val="FFFFFF"/>
                <w:sz w:val="28"/>
                <w:szCs w:val="28"/>
              </w:rPr>
              <w:t xml:space="preserve">Área 7 — Monitoreo &amp; Operaciones (Sentinel)</w:t>
            </w:r>
          </w:p>
        </w:tc>
        <w:tc>
          <w:tcPr>
            <w:tcW w:type="dxa" w:w="1300"/>
            <w:tcBorders>
              <w:top w:val="none"/>
              <w:left w:val="none"/>
              <w:bottom w:val="none"/>
              <w:right w:val="none"/>
            </w:tcBorders>
            <w:shd w:fill="C62828" w:val="clear"/>
            <w:tcMar>
              <w:top w:type="dxa" w:w="120"/>
              <w:left w:type="dxa" w:w="100"/>
              <w:bottom w:type="dxa" w:w="120"/>
              <w:right w:type="dxa" w:w="140"/>
            </w:tcMar>
            <w:vAlign w:val="center"/>
          </w:tcPr>
          <w:p>
            <w:pPr>
              <w:spacing w:before="0" w:after="0"/>
              <w:jc w:val="center"/>
            </w:pPr>
            <w:r>
              <w:rPr>
                <w:rFonts w:ascii="Calibri" w:cs="Calibri" w:eastAsia="Calibri" w:hAnsi="Calibri"/>
                <w:b/>
                <w:bCs/>
                <w:color w:val="FFFFFF"/>
                <w:sz w:val="20"/>
                <w:szCs w:val="20"/>
              </w:rPr>
              <w:t xml:space="preserve">Preguntas 18 – 20</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P18</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Si a las 2:00 AM se activa una alerta de Sentinel indicando que una cuenta de administrador está creando recursos en una región de Azure no autorizada (fuera de Mexico Central), ¿cuál es el flujo de respuesta automatizado y manual que tiene configurado?</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respuesta a incidentes de seguridad 24/7 es un requerimiento crítico para instituciones financieras. Este escenario evalúa madurez operativa real.</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Regla analítica en Sentinel que detecta actividad en regiones no permitidas, Playbook de automatización (Logic App) que bloquea la cuenta y notifica al SOC, proceso de escalamiento documentado (P1 &lt; 1 hora), integración con el sistema de tickets (ServiceNow/Jira), generación automática de evidencia forense (Activity Log, Resource Locks), y simulación de este escenario durante las pruebas UAT.</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P19</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¿Cómo diseña la estrategia de ingestión de logs en Log Analytics para balancear visibilidad de seguridad vs. costo, considerando que en una institución financiera se generan volúmenes muy altos de logs de networking (NSG Flow Logs, Firewall Logs)?</w:t>
            </w:r>
          </w:p>
        </w:tc>
        <w:tc>
          <w:tcPr>
            <w:tcW w:type="dxa" w:w="2000"/>
            <w:tcBorders>
              <w:top w:val="none"/>
              <w:left w:val="none"/>
              <w:bottom w:val="none"/>
              <w:right w:val="none"/>
            </w:tcBorders>
            <w:shd w:fill="FFEBEE" w:val="clear"/>
            <w:tcMar>
              <w:top w:type="dxa" w:w="120"/>
              <w:left w:type="dxa" w:w="140"/>
              <w:bottom w:type="dxa" w:w="120"/>
              <w:right w:type="dxa" w:w="140"/>
            </w:tcMar>
            <w:vAlign w:val="center"/>
          </w:tcPr>
          <w:p>
            <w:pPr>
              <w:spacing w:before="0" w:after="30"/>
              <w:jc w:val="center"/>
            </w:pPr>
            <w:r>
              <w:rPr>
                <w:rFonts w:ascii="Calibri" w:cs="Calibri" w:eastAsia="Calibri" w:hAnsi="Calibri"/>
                <w:color w:val="C62828"/>
                <w:sz w:val="15"/>
                <w:szCs w:val="15"/>
              </w:rPr>
              <w:t xml:space="preserve">Nivel Técnico</w:t>
            </w:r>
          </w:p>
          <w:p>
            <w:pPr>
              <w:spacing w:before="0" w:after="0"/>
              <w:jc w:val="center"/>
            </w:pPr>
            <w:r>
              <w:rPr>
                <w:rFonts w:ascii="Calibri" w:cs="Calibri" w:eastAsia="Calibri" w:hAnsi="Calibri"/>
                <w:b/>
                <w:bCs/>
                <w:color w:val="C62828"/>
                <w:sz w:val="19"/>
                <w:szCs w:val="19"/>
              </w:rPr>
              <w:t xml:space="preserve">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El costo de Log Analytics puede descontrolarse rápidamente. Un proveedor maduro tiene una estrategia de ingestión optimizada sin sacrificar detección.</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Separación de workspaces por propósito (Sentinel vs. operaciones vs. auditoría), configuración de tablas de Auxiliary Tier para logs de alto volumen y baja prioridad (NSG Flow Logs), uso de DCR (Data Collection Rules) para filtrar campos innecesarios antes de la ingestión, archivo de largo plazo en Storage Account para cumplimiento regulatorio, y revisión mensual del volumen por fuente de datos.</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none"/>
          <w:left w:val="none"/>
          <w:bottom w:val="none"/>
          <w:right w:val="none"/>
          <w:insideH w:val="single" w:color="auto" w:sz="4"/>
          <w:insideV w:val="single" w:color="auto" w:sz="4"/>
        </w:tblBorders>
      </w:tblPr>
      <w:tblGrid>
        <w:gridCol w:w="700"/>
        <w:gridCol w:w="6660"/>
        <w:gridCol w:w="2000"/>
      </w:tblGrid>
      <w:tr>
        <w:tc>
          <w:tcPr>
            <w:tcW w:type="dxa" w:w="700"/>
            <w:tcBorders>
              <w:top w:val="none"/>
              <w:left w:val="none"/>
              <w:bottom w:val="none"/>
              <w:right w:val="none"/>
            </w:tcBorders>
            <w:shd w:fill="2979D9" w:val="clear"/>
            <w:tcMar>
              <w:top w:type="dxa" w:w="120"/>
              <w:left w:type="dxa" w:w="120"/>
              <w:bottom w:type="dxa" w:w="120"/>
              <w:right w:type="dxa" w:w="120"/>
            </w:tcMar>
            <w:vAlign w:val="center"/>
          </w:tcPr>
          <w:p>
            <w:pPr>
              <w:jc w:val="center"/>
            </w:pPr>
            <w:r>
              <w:rPr>
                <w:rFonts w:ascii="Calibri" w:cs="Calibri" w:eastAsia="Calibri" w:hAnsi="Calibri"/>
                <w:b/>
                <w:bCs/>
                <w:color w:val="FFFFFF"/>
                <w:sz w:val="32"/>
                <w:szCs w:val="32"/>
              </w:rPr>
              <w:t xml:space="preserve">P20</w:t>
            </w:r>
          </w:p>
        </w:tc>
        <w:tc>
          <w:tcPr>
            <w:tcW w:type="dxa" w:w="6660"/>
            <w:tcBorders>
              <w:top w:val="none"/>
              <w:left w:val="none"/>
              <w:bottom w:val="none"/>
              <w:right w:val="none"/>
            </w:tcBorders>
            <w:shd w:fill="E3F2FD" w:val="clear"/>
            <w:tcMar>
              <w:top w:type="dxa" w:w="120"/>
              <w:left w:type="dxa" w:w="200"/>
              <w:bottom w:type="dxa" w:w="120"/>
              <w:right w:type="dxa" w:w="100"/>
            </w:tcMar>
            <w:vAlign w:val="center"/>
          </w:tcPr>
          <w:p>
            <w:pPr>
              <w:spacing w:before="0" w:after="0"/>
            </w:pPr>
            <w:r>
              <w:rPr>
                <w:rFonts w:ascii="Calibri" w:cs="Calibri" w:eastAsia="Calibri" w:hAnsi="Calibri"/>
                <w:b/>
                <w:bCs/>
                <w:color w:val="0D2137"/>
                <w:sz w:val="21"/>
                <w:szCs w:val="21"/>
              </w:rPr>
              <w:t xml:space="preserve">¿Qué métricas y dashboards entregará al equipo de operaciones de TI de la institución para que puedan demostrar ante la Dirección General y ante la CNBV que la plataforma opera dentro de los parámetros de seguridad y disponibilidad acordados?</w:t>
            </w:r>
          </w:p>
        </w:tc>
        <w:tc>
          <w:tcPr>
            <w:tcW w:type="dxa" w:w="2000"/>
            <w:tcBorders>
              <w:top w:val="none"/>
              <w:left w:val="none"/>
              <w:bottom w:val="none"/>
              <w:right w:val="none"/>
            </w:tcBorders>
            <w:shd w:fill="FFF3E0" w:val="clear"/>
            <w:tcMar>
              <w:top w:type="dxa" w:w="120"/>
              <w:left w:type="dxa" w:w="140"/>
              <w:bottom w:type="dxa" w:w="120"/>
              <w:right w:type="dxa" w:w="140"/>
            </w:tcMar>
            <w:vAlign w:val="center"/>
          </w:tcPr>
          <w:p>
            <w:pPr>
              <w:spacing w:before="0" w:after="30"/>
              <w:jc w:val="center"/>
            </w:pPr>
            <w:r>
              <w:rPr>
                <w:rFonts w:ascii="Calibri" w:cs="Calibri" w:eastAsia="Calibri" w:hAnsi="Calibri"/>
                <w:color w:val="E65100"/>
                <w:sz w:val="15"/>
                <w:szCs w:val="15"/>
              </w:rPr>
              <w:t xml:space="preserve">Nivel Técnico</w:t>
            </w:r>
          </w:p>
          <w:p>
            <w:pPr>
              <w:spacing w:before="0" w:after="0"/>
              <w:jc w:val="center"/>
            </w:pPr>
            <w:r>
              <w:rPr>
                <w:rFonts w:ascii="Calibri" w:cs="Calibri" w:eastAsia="Calibri" w:hAnsi="Calibri"/>
                <w:b/>
                <w:bCs/>
                <w:color w:val="E65100"/>
                <w:sz w:val="19"/>
                <w:szCs w:val="19"/>
              </w:rPr>
              <w:t xml:space="preserve">Media-Alta</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ECEFF1" w:val="clear"/>
            <w:tcMar>
              <w:top w:type="dxa" w:w="80"/>
              <w:left w:type="dxa" w:w="120"/>
              <w:bottom w:type="dxa" w:w="80"/>
              <w:right w:type="dxa" w:w="80"/>
            </w:tcMar>
          </w:tcPr>
          <w:p>
            <w:pPr>
              <w:jc w:val="center"/>
            </w:pPr>
            <w:r>
              <w:rPr>
                <w:rFonts w:ascii="Calibri" w:cs="Calibri" w:eastAsia="Calibri" w:hAnsi="Calibri"/>
                <w:sz w:val="18"/>
                <w:szCs w:val="18"/>
              </w:rPr>
              <w:t xml:space="preserve">📌</w:t>
            </w:r>
          </w:p>
        </w:tc>
        <w:tc>
          <w:tcPr>
            <w:tcW w:type="dxa" w:w="8660"/>
            <w:tcBorders>
              <w:top w:val="none"/>
              <w:left w:val="none"/>
              <w:bottom w:val="none"/>
              <w:right w:val="none"/>
            </w:tcBorders>
            <w:shd w:fill="ECEFF1" w:val="clear"/>
            <w:tcMar>
              <w:top w:type="dxa" w:w="80"/>
              <w:left w:type="dxa" w:w="160"/>
              <w:bottom w:type="dxa" w:w="80"/>
              <w:right w:type="dxa" w:w="160"/>
            </w:tcMar>
          </w:tcPr>
          <w:p>
            <w:pPr>
              <w:spacing w:before="0" w:after="0"/>
            </w:pPr>
            <w:r>
              <w:rPr>
                <w:rFonts w:ascii="Calibri" w:cs="Calibri" w:eastAsia="Calibri" w:hAnsi="Calibri"/>
                <w:b/>
                <w:bCs/>
                <w:color w:val="455A64"/>
                <w:sz w:val="18"/>
                <w:szCs w:val="18"/>
              </w:rPr>
              <w:t xml:space="preserve">Contexto: </w:t>
            </w:r>
            <w:r>
              <w:rPr>
                <w:rFonts w:ascii="Calibri" w:cs="Calibri" w:eastAsia="Calibri" w:hAnsi="Calibri"/>
                <w:i/>
                <w:iCs/>
                <w:color w:val="455A64"/>
                <w:sz w:val="18"/>
                <w:szCs w:val="18"/>
              </w:rPr>
              <w:t xml:space="preserve">La comunicación del estado de la plataforma a stakeholders no técnicos es tan importante como la operación técnica. Los reguladores esperan reportes ejecutivos.</w:t>
            </w:r>
          </w:p>
        </w:tc>
      </w:tr>
    </w:tbl>
    <w:tbl>
      <w:tblPr>
        <w:tblW w:type="dxa" w:w="9360"/>
        <w:tblBorders>
          <w:top w:val="none"/>
          <w:left w:val="none"/>
          <w:bottom w:val="none"/>
          <w:right w:val="none"/>
          <w:insideH w:val="single" w:color="auto" w:sz="4"/>
          <w:insideV w:val="single" w:color="auto" w:sz="4"/>
        </w:tblBorders>
      </w:tblPr>
      <w:tblGrid>
        <w:gridCol w:w="700"/>
        <w:gridCol w:w="8660"/>
      </w:tblGrid>
      <w:tr>
        <w:tc>
          <w:tcPr>
            <w:tcW w:type="dxa" w:w="700"/>
            <w:tcBorders>
              <w:top w:val="none"/>
              <w:left w:val="none"/>
              <w:bottom w:val="none"/>
              <w:right w:val="none"/>
            </w:tcBorders>
            <w:shd w:fill="FFFDE7" w:val="clear"/>
            <w:tcMar>
              <w:top w:type="dxa" w:w="80"/>
              <w:left w:type="dxa" w:w="120"/>
              <w:bottom w:type="dxa" w:w="80"/>
              <w:right w:type="dxa" w:w="80"/>
            </w:tcMar>
          </w:tcPr>
          <w:p>
            <w:pPr>
              <w:jc w:val="center"/>
            </w:pPr>
            <w:r>
              <w:rPr>
                <w:rFonts w:ascii="Calibri" w:cs="Calibri" w:eastAsia="Calibri" w:hAnsi="Calibri"/>
                <w:b/>
                <w:bCs/>
                <w:color w:val="F9A825"/>
                <w:sz w:val="20"/>
                <w:szCs w:val="20"/>
              </w:rPr>
              <w:t xml:space="preserve">✔</w:t>
            </w:r>
          </w:p>
        </w:tc>
        <w:tc>
          <w:tcPr>
            <w:tcW w:type="dxa" w:w="8660"/>
            <w:tcBorders>
              <w:top w:val="none"/>
              <w:left w:val="none"/>
              <w:bottom w:val="none"/>
              <w:right w:val="none"/>
            </w:tcBorders>
            <w:shd w:fill="FFFDE7" w:val="clear"/>
            <w:tcMar>
              <w:top w:type="dxa" w:w="80"/>
              <w:left w:type="dxa" w:w="160"/>
              <w:bottom w:type="dxa" w:w="80"/>
              <w:right w:type="dxa" w:w="160"/>
            </w:tcMar>
          </w:tcPr>
          <w:p>
            <w:pPr>
              <w:spacing w:before="0" w:after="0"/>
            </w:pPr>
            <w:r>
              <w:rPr>
                <w:rFonts w:ascii="Calibri" w:cs="Calibri" w:eastAsia="Calibri" w:hAnsi="Calibri"/>
                <w:b/>
                <w:bCs/>
                <w:color w:val="E65100"/>
                <w:sz w:val="18"/>
                <w:szCs w:val="18"/>
              </w:rPr>
              <w:t xml:space="preserve">Evalúa: </w:t>
            </w:r>
            <w:r>
              <w:rPr>
                <w:rFonts w:ascii="Calibri" w:cs="Calibri" w:eastAsia="Calibri" w:hAnsi="Calibri"/>
                <w:color w:val="0D0D0D"/>
                <w:sz w:val="18"/>
                <w:szCs w:val="18"/>
              </w:rPr>
              <w:t xml:space="preserve">Azure Workbooks con 3 vistas diferenciadas: ejecutiva (disponibilidad, Secure Score, incidentes P1/P2), operativa (alertas activas, backups, utilización), y de cumplimiento (estado de políticas, accesos privilegiados, evidencias para CNBV); proceso de generación de reporte mensual automatizado, y definición de KPIs que mapean directamente a los SLAs del contrato.</w:t>
            </w:r>
          </w:p>
        </w:tc>
      </w:tr>
    </w:tbl>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700"/>
        <w:gridCol w:w="8660"/>
      </w:tblGrid>
      <w:tr>
        <w:trPr>
          <w:trHeight w:val="360" w:hRule="exact"/>
        </w:trPr>
        <w:tc>
          <w:tcPr>
            <w:tcW w:type="dxa" w:w="700"/>
            <w:tcBorders>
              <w:top w:val="none"/>
              <w:left w:val="none"/>
              <w:bottom w:val="none"/>
              <w:right w:val="none"/>
            </w:tcBorders>
            <w:shd w:fill="0D2137" w:val="clear"/>
            <w:tcMar>
              <w:top w:type="dxa" w:w="0"/>
              <w:left w:type="dxa" w:w="0"/>
              <w:bottom w:type="dxa" w:w="0"/>
              <w:right w:type="dxa" w:w="0"/>
            </w:tcMar>
          </w:tcPr>
          <w:p>
            <w:pPr>
              <w:jc w:val="center"/>
            </w:pPr>
            <w:r>
              <w:rPr>
                <w:rFonts w:ascii="Calibri" w:cs="Calibri" w:eastAsia="Calibri" w:hAnsi="Calibri"/>
                <w:color w:val="FFFFFF"/>
                <w:sz w:val="20"/>
                <w:szCs w:val="20"/>
              </w:rPr>
              <w:t xml:space="preserve">✍</w:t>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pPr>
              <w:spacing w:before="0" w:after="0"/>
            </w:pPr>
            <w:r>
              <w:rPr>
                <w:rFonts w:ascii="Calibri" w:cs="Calibri" w:eastAsia="Calibri" w:hAnsi="Calibri"/>
                <w:b/>
                <w:bCs/>
                <w:color w:val="0D2137"/>
                <w:sz w:val="18"/>
                <w:szCs w:val="18"/>
              </w:rPr>
              <w:t xml:space="preserve">Respuesta del Proveedor:</w:t>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r>
        <w:trPr>
          <w:trHeight w:val="360" w:hRule="exact"/>
        </w:trPr>
        <w:tc>
          <w:tcPr>
            <w:tcW w:type="dxa" w:w="700"/>
            <w:tcBorders>
              <w:top w:val="none"/>
              <w:left w:val="none"/>
              <w:bottom w:val="single" w:color="DDDDDD" w:sz="4"/>
              <w:right w:val="none"/>
            </w:tcBorders>
            <w:shd w:fill="FFFFFF" w:val="clear"/>
            <w:tcMar>
              <w:top w:type="dxa" w:w="0"/>
              <w:left w:type="dxa" w:w="0"/>
              <w:bottom w:type="dxa" w:w="0"/>
              <w:right w:type="dxa" w:w="0"/>
            </w:tcMar>
          </w:tcPr>
          <w:p>
            <w:r>
              <w:rPr>
                <w:sz w:val="18"/>
                <w:szCs w:val="18"/>
              </w:rPr>
              <w:t xml:space="preserve"/>
            </w:r>
          </w:p>
        </w:tc>
        <w:tc>
          <w:tcPr>
            <w:tcW w:type="dxa" w:w="8660"/>
            <w:tcBorders>
              <w:top w:val="none"/>
              <w:left w:val="none"/>
              <w:bottom w:val="single" w:color="DDDDDD" w:sz="4"/>
              <w:right w:val="none"/>
            </w:tcBorders>
            <w:shd w:fill="FFFFFF" w:val="clear"/>
            <w:tcMar>
              <w:top w:type="dxa" w:w="40"/>
              <w:left w:type="dxa" w:w="160"/>
              <w:bottom w:type="dxa" w:w="40"/>
              <w:right w:type="dxa" w:w="160"/>
            </w:tcMar>
          </w:tcPr>
          <w:p>
            <w:r>
              <w:rPr>
                <w:sz w:val="18"/>
                <w:szCs w:val="18"/>
              </w:rPr>
              <w:t xml:space="preserve"/>
            </w:r>
          </w:p>
        </w:tc>
      </w:tr>
    </w:tbl>
    <w:tbl>
      <w:tblPr>
        <w:tblW w:type="dxa" w:w="9360"/>
        <w:tblBorders>
          <w:top w:val="none"/>
          <w:left w:val="none"/>
          <w:bottom w:val="none"/>
          <w:right w:val="none"/>
          <w:insideH w:val="single" w:color="auto" w:sz="4"/>
          <w:insideV w:val="single" w:color="auto" w:sz="4"/>
        </w:tblBorders>
      </w:tblPr>
      <w:tblGrid>
        <w:gridCol w:w="700"/>
        <w:gridCol w:w="5560"/>
        <w:gridCol w:w="1500"/>
        <w:gridCol w:w="1600"/>
      </w:tblGrid>
      <w:tr>
        <w:tc>
          <w:tcPr>
            <w:tcW w:type="dxa" w:w="700"/>
            <w:tcBorders>
              <w:top w:val="none"/>
              <w:left w:val="none"/>
              <w:bottom w:val="none"/>
              <w:right w:val="none"/>
            </w:tcBorders>
            <w:shd w:fill="F3E5F5" w:val="clear"/>
            <w:tcMar>
              <w:top w:type="dxa" w:w="80"/>
              <w:left w:type="dxa" w:w="120"/>
              <w:bottom w:type="dxa" w:w="80"/>
              <w:right w:type="dxa" w:w="80"/>
            </w:tcMar>
          </w:tcPr>
          <w:p>
            <w:pPr>
              <w:jc w:val="center"/>
            </w:pPr>
            <w:r>
              <w:rPr>
                <w:rFonts w:ascii="Calibri" w:cs="Calibri" w:eastAsia="Calibri" w:hAnsi="Calibri"/>
                <w:b/>
                <w:bCs/>
                <w:color w:val="6A1B9A"/>
                <w:sz w:val="20"/>
                <w:szCs w:val="20"/>
              </w:rPr>
              <w:t xml:space="preserve">★</w:t>
            </w:r>
          </w:p>
        </w:tc>
        <w:tc>
          <w:tcPr>
            <w:tcW w:type="dxa" w:w="5560"/>
            <w:tcBorders>
              <w:top w:val="none"/>
              <w:left w:val="none"/>
              <w:bottom w:val="none"/>
              <w:right w:val="none"/>
            </w:tcBorders>
            <w:shd w:fill="F3E5F5" w:val="clear"/>
            <w:tcMar>
              <w:top w:type="dxa" w:w="80"/>
              <w:left w:type="dxa" w:w="160"/>
              <w:bottom w:type="dxa" w:w="80"/>
              <w:right w:type="dxa" w:w="160"/>
            </w:tcMar>
          </w:tcPr>
          <w:p>
            <w:pPr>
              <w:spacing w:before="0" w:after="0"/>
            </w:pPr>
            <w:r>
              <w:rPr>
                <w:rFonts w:ascii="Calibri" w:cs="Calibri" w:eastAsia="Calibri" w:hAnsi="Calibri"/>
                <w:b/>
                <w:bCs/>
                <w:color w:val="6A1B9A"/>
                <w:sz w:val="18"/>
                <w:szCs w:val="18"/>
              </w:rPr>
              <w:t xml:space="preserve">Puntuación del evaluador (marcar con ✓):</w:t>
            </w:r>
          </w:p>
        </w:tc>
        <w:tc>
          <w:tcPr>
            <w:tcW w:type="dxa" w:w="1500"/>
            <w:tcBorders>
              <w:top w:val="none"/>
              <w:left w:val="single" w:color="CFD8DC" w:sz="4"/>
              <w:bottom w:val="none"/>
              <w:right w:val="single" w:color="CFD8DC" w:sz="4"/>
            </w:tcBorders>
            <w:shd w:fill="E8F5E9" w:val="clear"/>
            <w:tcMar>
              <w:top w:type="dxa" w:w="80"/>
              <w:left w:type="dxa" w:w="100"/>
              <w:bottom w:type="dxa" w:w="80"/>
              <w:right w:type="dxa" w:w="100"/>
            </w:tcMar>
          </w:tcPr>
          <w:p>
            <w:pPr>
              <w:jc w:val="center"/>
            </w:pPr>
            <w:r>
              <w:rPr>
                <w:rFonts w:ascii="Calibri" w:cs="Calibri" w:eastAsia="Calibri" w:hAnsi="Calibri"/>
                <w:color w:val="2E7D32"/>
                <w:sz w:val="17"/>
                <w:szCs w:val="17"/>
              </w:rPr>
              <w:t xml:space="preserve">□  Satisfactoria</w:t>
            </w:r>
          </w:p>
        </w:tc>
        <w:tc>
          <w:tcPr>
            <w:tcW w:type="dxa" w:w="1600"/>
            <w:tcBorders>
              <w:top w:val="none"/>
              <w:left w:val="single" w:color="CFD8DC" w:sz="4"/>
              <w:bottom w:val="none"/>
              <w:right w:val="none"/>
            </w:tcBorders>
            <w:shd w:fill="FFEBEE" w:val="clear"/>
            <w:tcMar>
              <w:top w:type="dxa" w:w="80"/>
              <w:left w:type="dxa" w:w="100"/>
              <w:bottom w:type="dxa" w:w="80"/>
              <w:right w:type="dxa" w:w="100"/>
            </w:tcMar>
          </w:tcPr>
          <w:p>
            <w:pPr>
              <w:jc w:val="center"/>
            </w:pPr>
            <w:r>
              <w:rPr>
                <w:rFonts w:ascii="Calibri" w:cs="Calibri" w:eastAsia="Calibri" w:hAnsi="Calibri"/>
                <w:color w:val="C62828"/>
                <w:sz w:val="17"/>
                <w:szCs w:val="17"/>
              </w:rPr>
              <w:t xml:space="preserve">□  Insuficiente</w:t>
            </w:r>
          </w:p>
        </w:tc>
      </w:tr>
    </w:tbl>
    <w:p>
      <w:pPr>
        <w:spacing w:before="0" w:after="0"/>
        <w:jc w:val="left"/>
      </w:pPr>
      <w:r>
        <w:rPr>
          <w:rFonts w:ascii="Calibri" w:cs="Calibri" w:eastAsia="Calibri" w:hAnsi="Calibri"/>
          <w:b w:val="false"/>
          <w:bCs w:val="false"/>
          <w:i w:val="false"/>
          <w:iCs w:val="false"/>
          <w:color w:val="0D0D0D"/>
          <w:sz w:val="8"/>
          <w:szCs w:val="8"/>
        </w:rPr>
        <w:t xml:space="preserv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D2137" w:val="clear"/>
            <w:tcMar>
              <w:top w:type="dxa" w:w="200"/>
              <w:left w:type="dxa" w:w="300"/>
              <w:bottom w:type="dxa" w:w="200"/>
              <w:right w:type="dxa" w:w="300"/>
            </w:tcMar>
          </w:tcPr>
          <w:p>
            <w:pPr>
              <w:spacing w:before="0" w:after="80"/>
              <w:jc w:val="center"/>
            </w:pPr>
            <w:r>
              <w:rPr>
                <w:rFonts w:ascii="Calibri" w:cs="Calibri" w:eastAsia="Calibri" w:hAnsi="Calibri"/>
                <w:b/>
                <w:bCs/>
                <w:color w:val="FFFFFF"/>
                <w:sz w:val="28"/>
                <w:szCs w:val="28"/>
              </w:rPr>
              <w:t xml:space="preserve">MATRIZ DE RESULTADOS — SESIÓN Q&amp;A TÉCNICA</w:t>
            </w:r>
          </w:p>
          <w:p>
            <w:pPr>
              <w:spacing w:before="0" w:after="0"/>
              <w:jc w:val="center"/>
            </w:pPr>
            <w:r>
              <w:rPr>
                <w:rFonts w:ascii="Calibri" w:cs="Calibri" w:eastAsia="Calibri" w:hAnsi="Calibri"/>
                <w:i/>
                <w:iCs/>
                <w:color w:val="BBDEFB"/>
                <w:sz w:val="19"/>
                <w:szCs w:val="19"/>
              </w:rPr>
              <w:t xml:space="preserve">Completar al finalizar la sesión</w:t>
            </w:r>
          </w:p>
        </w:tc>
      </w:tr>
    </w:tbl>
    <w:p>
      <w:pPr>
        <w:spacing w:before="0" w:after="0"/>
        <w:jc w:val="left"/>
      </w:pPr>
      <w:r>
        <w:rPr>
          <w:rFonts w:ascii="Calibri" w:cs="Calibri" w:eastAsia="Calibri" w:hAnsi="Calibri"/>
          <w:b w:val="false"/>
          <w:bCs w:val="false"/>
          <w:i w:val="false"/>
          <w:iCs w:val="false"/>
          <w:color w:val="0D0D0D"/>
          <w:sz w:val="8"/>
          <w:szCs w:val="8"/>
        </w:rPr>
        <w:t xml:space="preserve"/>
      </w:r>
    </w:p>
    <w:tbl>
      <w:tblPr>
        <w:tblW w:type="dxa" w:w="9360"/>
        <w:tblBorders>
          <w:top w:val="single" w:color="0D2137" w:sz="8"/>
          <w:left w:val="single" w:color="0D2137" w:sz="8"/>
          <w:bottom w:val="single" w:color="0D2137" w:sz="8"/>
          <w:right w:val="single" w:color="0D2137" w:sz="8"/>
          <w:insideH w:val="single" w:color="auto" w:sz="4"/>
          <w:insideV w:val="single" w:color="auto" w:sz="4"/>
        </w:tblBorders>
      </w:tblPr>
      <w:tblGrid>
        <w:gridCol w:w="500"/>
        <w:gridCol w:w="3300"/>
        <w:gridCol w:w="1200"/>
        <w:gridCol w:w="1500"/>
        <w:gridCol w:w="1200"/>
        <w:gridCol w:w="1660"/>
      </w:tblGrid>
      <w:tr>
        <w:tc>
          <w:tcPr>
            <w:tcW w:type="dxa" w:w="500"/>
            <w:tcBorders>
              <w:top w:val="single" w:color="2979D9" w:sz="4"/>
              <w:left w:val="single" w:color="2979D9" w:sz="4"/>
              <w:bottom w:val="single" w:color="2979D9" w:sz="4"/>
              <w:right w:val="single" w:color="2979D9" w:sz="4"/>
            </w:tcBorders>
            <w:shd w:fill="0D2137"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19"/>
                <w:szCs w:val="19"/>
              </w:rPr>
              <w:t xml:space="preserve">#</w:t>
            </w:r>
          </w:p>
        </w:tc>
        <w:tc>
          <w:tcPr>
            <w:tcW w:type="dxa" w:w="3300"/>
            <w:tcBorders>
              <w:top w:val="single" w:color="2979D9" w:sz="4"/>
              <w:left w:val="single" w:color="2979D9" w:sz="4"/>
              <w:bottom w:val="single" w:color="2979D9" w:sz="4"/>
              <w:right w:val="single" w:color="2979D9" w:sz="4"/>
            </w:tcBorders>
            <w:shd w:fill="0D2137"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19"/>
                <w:szCs w:val="19"/>
              </w:rPr>
              <w:t xml:space="preserve">Pregunta (resumen)</w:t>
            </w:r>
          </w:p>
        </w:tc>
        <w:tc>
          <w:tcPr>
            <w:tcW w:type="dxa" w:w="1200"/>
            <w:tcBorders>
              <w:top w:val="single" w:color="2979D9" w:sz="4"/>
              <w:left w:val="single" w:color="2979D9" w:sz="4"/>
              <w:bottom w:val="single" w:color="2979D9" w:sz="4"/>
              <w:right w:val="single" w:color="2979D9" w:sz="4"/>
            </w:tcBorders>
            <w:shd w:fill="0D2137"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19"/>
                <w:szCs w:val="19"/>
              </w:rPr>
              <w:t xml:space="preserve">Área</w:t>
            </w:r>
          </w:p>
        </w:tc>
        <w:tc>
          <w:tcPr>
            <w:tcW w:type="dxa" w:w="1500"/>
            <w:tcBorders>
              <w:top w:val="single" w:color="2979D9" w:sz="4"/>
              <w:left w:val="single" w:color="2979D9" w:sz="4"/>
              <w:bottom w:val="single" w:color="2979D9" w:sz="4"/>
              <w:right w:val="single" w:color="2979D9" w:sz="4"/>
            </w:tcBorders>
            <w:shd w:fill="0D2137"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19"/>
                <w:szCs w:val="19"/>
              </w:rPr>
              <w:t xml:space="preserve">Nivel</w:t>
            </w:r>
          </w:p>
        </w:tc>
        <w:tc>
          <w:tcPr>
            <w:tcW w:type="dxa" w:w="1200"/>
            <w:tcBorders>
              <w:top w:val="single" w:color="2979D9" w:sz="4"/>
              <w:left w:val="single" w:color="2979D9" w:sz="4"/>
              <w:bottom w:val="single" w:color="2979D9" w:sz="4"/>
              <w:right w:val="single" w:color="2979D9" w:sz="4"/>
            </w:tcBorders>
            <w:shd w:fill="0D2137"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19"/>
                <w:szCs w:val="19"/>
              </w:rPr>
              <w:t xml:space="preserve">Resultado</w:t>
            </w:r>
          </w:p>
        </w:tc>
        <w:tc>
          <w:tcPr>
            <w:tcW w:type="dxa" w:w="1660"/>
            <w:tcBorders>
              <w:top w:val="single" w:color="2979D9" w:sz="4"/>
              <w:left w:val="single" w:color="2979D9" w:sz="4"/>
              <w:bottom w:val="single" w:color="2979D9" w:sz="4"/>
              <w:right w:val="single" w:color="2979D9" w:sz="4"/>
            </w:tcBorders>
            <w:shd w:fill="0D2137"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19"/>
                <w:szCs w:val="19"/>
              </w:rPr>
              <w:t xml:space="preserve">Observaciones</w:t>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Jerarquía de Management Groups y suscripciones</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Arquitectura</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2</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Conflicto Azure Policy vs necesidad técnica</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Arquitectura</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3</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Gobernanza repetible para nuevas suscripciones</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Arquitectura</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4</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Zero Trust para acceso privilegiado (PIM)</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Identidad</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5</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CMK en Key Vault y ciclo de vida de llaves</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Identidad</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6</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Gestión de identidades externas y terceros</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Identidad</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7</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Egress controlado — sin bypass de Firewall</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Networking</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8</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Solicitud de acceso público en Storage Account</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Networking</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9</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DNS híbrido para Private DNS Zones</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Networking</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10</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Controles CUB materializados en Azure</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CNBV/CUB</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11</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Remediación y evidencia ante auditoría CNBV</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CNBV/CUB</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12</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Segregación lógica de entornos en mismo tenant</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CNBV/CUB</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13</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Tagging y reporte de costos por área de negocio</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FinOps</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14</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Proceso de compra de Reserved Instances</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FinOps</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15</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Estructura de repositorio IaC y gestión de cambios</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IaC/DevOps</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16</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Detección y corrección de drift en producción</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IaC/DevOps</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17</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Gestión de secretos en pipelines CI/CD</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IaC/DevOps</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18</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Respuesta automatizada a incidente 2:00 AM</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Sentinel</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19</w:t>
            </w:r>
          </w:p>
        </w:tc>
        <w:tc>
          <w:tcPr>
            <w:tcW w:type="dxa" w:w="33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Estrategia de ingestión de logs vs costo</w:t>
            </w:r>
          </w:p>
        </w:tc>
        <w:tc>
          <w:tcPr>
            <w:tcW w:type="dxa" w:w="120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Sentinel</w:t>
            </w:r>
          </w:p>
        </w:tc>
        <w:tc>
          <w:tcPr>
            <w:tcW w:type="dxa" w:w="1500"/>
            <w:tcBorders>
              <w:top w:val="single" w:color="AAAAAA" w:sz="4"/>
              <w:left w:val="single" w:color="AAAAAA" w:sz="4"/>
              <w:bottom w:val="single" w:color="AAAAAA" w:sz="4"/>
              <w:right w:val="single" w:color="AAAAAA" w:sz="4"/>
            </w:tcBorders>
            <w:shd w:fill="FFEBEE"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C62828"/>
                <w:sz w:val="17"/>
                <w:szCs w:val="17"/>
              </w:rPr>
              <w:t xml:space="preserve">Alta</w:t>
            </w:r>
          </w:p>
        </w:tc>
        <w:tc>
          <w:tcPr>
            <w:tcW w:type="dxa" w:w="1200"/>
            <w:tcBorders>
              <w:top w:val="single" w:color="AAAAAA" w:sz="4"/>
              <w:left w:val="single" w:color="AAAAAA" w:sz="4"/>
              <w:bottom w:val="single" w:color="AAAAAA" w:sz="4"/>
              <w:right w:val="single" w:color="AAAAAA" w:sz="4"/>
            </w:tcBorders>
            <w:shd w:fill="ECEFF1"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1565C0"/>
                <w:sz w:val="17"/>
                <w:szCs w:val="17"/>
              </w:rPr>
              <w:t xml:space="preserve">20</w:t>
            </w:r>
          </w:p>
        </w:tc>
        <w:tc>
          <w:tcPr>
            <w:tcW w:type="dxa" w:w="3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Métricas y dashboards para dirección y CNBV</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center"/>
            </w:pPr>
            <w:r>
              <w:rPr>
                <w:rFonts w:ascii="Calibri" w:cs="Calibri" w:eastAsia="Calibri" w:hAnsi="Calibri"/>
                <w:b w:val="false"/>
                <w:bCs w:val="false"/>
                <w:color w:val="455A64"/>
                <w:sz w:val="16"/>
                <w:szCs w:val="16"/>
              </w:rPr>
              <w:t xml:space="preserve">Sentinel</w:t>
            </w:r>
          </w:p>
        </w:tc>
        <w:tc>
          <w:tcPr>
            <w:tcW w:type="dxa" w:w="1500"/>
            <w:tcBorders>
              <w:top w:val="single" w:color="AAAAAA" w:sz="4"/>
              <w:left w:val="single" w:color="AAAAAA" w:sz="4"/>
              <w:bottom w:val="single" w:color="AAAAAA" w:sz="4"/>
              <w:right w:val="single" w:color="AAAAAA" w:sz="4"/>
            </w:tcBorders>
            <w:shd w:fill="FFF3E0"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E65100"/>
                <w:sz w:val="17"/>
                <w:szCs w:val="17"/>
              </w:rPr>
              <w:t xml:space="preserve">Media-Alta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before="0" w:after="0"/>
              <w:jc w:val="center"/>
            </w:pPr>
            <w:r>
              <w:rPr>
                <w:rFonts w:ascii="Calibri" w:cs="Calibri" w:eastAsia="Calibri" w:hAnsi="Calibri"/>
                <w:color w:val="455A64"/>
                <w:sz w:val="16"/>
                <w:szCs w:val="16"/>
              </w:rPr>
              <w:t xml:space="preserve">□ OK   □ No</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7"/>
                <w:szCs w:val="17"/>
              </w:rPr>
              <w:t xml:space="preserve"/>
            </w:r>
          </w:p>
        </w:tc>
      </w:tr>
      <w:tr>
        <w:tc>
          <w:tcPr>
            <w:tcW w:type="dxa" w:w="500"/>
            <w:tcBorders>
              <w:top w:val="single" w:color="AAAAAA" w:sz="4"/>
              <w:left w:val="single" w:color="AAAAAA" w:sz="4"/>
              <w:bottom w:val="single" w:color="AAAAAA" w:sz="4"/>
              <w:right w:val="single" w:color="AAAAAA" w:sz="4"/>
            </w:tcBorders>
            <w:shd w:fill="0D2137"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9"/>
                <w:szCs w:val="19"/>
              </w:rPr>
              <w:t xml:space="preserve"/>
            </w:r>
          </w:p>
        </w:tc>
        <w:tc>
          <w:tcPr>
            <w:tcW w:type="dxa" w:w="3300"/>
            <w:tcBorders>
              <w:top w:val="single" w:color="AAAAAA" w:sz="4"/>
              <w:left w:val="single" w:color="AAAAAA" w:sz="4"/>
              <w:bottom w:val="single" w:color="AAAAAA" w:sz="4"/>
              <w:right w:val="single" w:color="AAAAAA" w:sz="4"/>
            </w:tcBorders>
            <w:shd w:fill="0D2137" w:val="clear"/>
            <w:tcMar>
              <w:top w:type="dxa" w:w="100"/>
              <w:left w:type="dxa" w:w="140"/>
              <w:bottom w:type="dxa" w:w="100"/>
              <w:right w:type="dxa" w:w="140"/>
            </w:tcMar>
            <w:vAlign w:val="center"/>
          </w:tcPr>
          <w:p>
            <w:pPr>
              <w:spacing w:before="80" w:after="80"/>
              <w:jc w:val="left"/>
            </w:pPr>
            <w:r>
              <w:rPr>
                <w:rFonts w:ascii="Calibri" w:cs="Calibri" w:eastAsia="Calibri" w:hAnsi="Calibri"/>
                <w:b/>
                <w:bCs/>
                <w:color w:val="FFFFFF"/>
                <w:sz w:val="18"/>
                <w:szCs w:val="18"/>
              </w:rPr>
              <w:t xml:space="preserve">TOTAL SATISFACTORIAS / TOTAL PREGUNTAS</w:t>
            </w:r>
          </w:p>
        </w:tc>
        <w:tc>
          <w:tcPr>
            <w:tcW w:type="dxa" w:w="1200"/>
            <w:tcBorders>
              <w:top w:val="single" w:color="AAAAAA" w:sz="4"/>
              <w:left w:val="single" w:color="AAAAAA" w:sz="4"/>
              <w:bottom w:val="single" w:color="AAAAAA" w:sz="4"/>
              <w:right w:val="single" w:color="AAAAAA" w:sz="4"/>
            </w:tcBorders>
            <w:shd w:fill="0D2137"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9"/>
                <w:szCs w:val="19"/>
              </w:rPr>
              <w:t xml:space="preserve"/>
            </w:r>
          </w:p>
        </w:tc>
        <w:tc>
          <w:tcPr>
            <w:tcW w:type="dxa" w:w="1500"/>
            <w:tcBorders>
              <w:top w:val="single" w:color="AAAAAA" w:sz="4"/>
              <w:left w:val="single" w:color="AAAAAA" w:sz="4"/>
              <w:bottom w:val="single" w:color="AAAAAA" w:sz="4"/>
              <w:right w:val="single" w:color="AAAAAA" w:sz="4"/>
            </w:tcBorders>
            <w:shd w:fill="0D2137" w:val="clear"/>
            <w:tcMar>
              <w:top w:type="dxa" w:w="100"/>
              <w:left w:type="dxa" w:w="140"/>
              <w:bottom w:type="dxa" w:w="100"/>
              <w:right w:type="dxa" w:w="140"/>
            </w:tcMar>
            <w:vAlign w:val="center"/>
          </w:tcPr>
          <w:p>
            <w:pPr>
              <w:spacing w:before="80" w:after="80"/>
              <w:jc w:val="left"/>
            </w:pPr>
            <w:r>
              <w:rPr>
                <w:rFonts w:ascii="Calibri" w:cs="Calibri" w:eastAsia="Calibri" w:hAnsi="Calibri"/>
                <w:b w:val="false"/>
                <w:bCs w:val="false"/>
                <w:color w:val="0D0D0D"/>
                <w:sz w:val="19"/>
                <w:szCs w:val="19"/>
              </w:rPr>
              <w:t xml:space="preserve"/>
            </w:r>
          </w:p>
        </w:tc>
        <w:tc>
          <w:tcPr>
            <w:tcW w:type="dxa" w:w="1200"/>
            <w:tcBorders>
              <w:top w:val="single" w:color="AAAAAA" w:sz="4"/>
              <w:left w:val="single" w:color="AAAAAA" w:sz="4"/>
              <w:bottom w:val="single" w:color="AAAAAA" w:sz="4"/>
              <w:right w:val="single" w:color="AAAAAA" w:sz="4"/>
            </w:tcBorders>
            <w:shd w:fill="2979D9"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FFFFFF"/>
                <w:sz w:val="20"/>
                <w:szCs w:val="20"/>
              </w:rPr>
              <w:t xml:space="preserve">__ / 20</w:t>
            </w:r>
          </w:p>
        </w:tc>
        <w:tc>
          <w:tcPr>
            <w:tcW w:type="dxa" w:w="1660"/>
            <w:tcBorders>
              <w:top w:val="single" w:color="AAAAAA" w:sz="4"/>
              <w:left w:val="single" w:color="AAAAAA" w:sz="4"/>
              <w:bottom w:val="single" w:color="AAAAAA" w:sz="4"/>
              <w:right w:val="single" w:color="AAAAAA" w:sz="4"/>
            </w:tcBorders>
            <w:shd w:fill="FFFDE7" w:val="clear"/>
            <w:tcMar>
              <w:top w:type="dxa" w:w="100"/>
              <w:left w:type="dxa" w:w="140"/>
              <w:bottom w:type="dxa" w:w="100"/>
              <w:right w:type="dxa" w:w="140"/>
            </w:tcMar>
            <w:vAlign w:val="center"/>
          </w:tcPr>
          <w:p>
            <w:pPr>
              <w:spacing w:before="80" w:after="80"/>
              <w:jc w:val="left"/>
            </w:pPr>
            <w:r>
              <w:rPr>
                <w:rFonts w:ascii="Calibri" w:cs="Calibri" w:eastAsia="Calibri" w:hAnsi="Calibri"/>
                <w:b/>
                <w:bCs/>
                <w:color w:val="E65100"/>
                <w:sz w:val="17"/>
                <w:szCs w:val="17"/>
              </w:rPr>
              <w:t xml:space="preserve">Mínimo recomendado: 16/20
(todas las «Alta» satisfactorias)</w:t>
            </w:r>
          </w:p>
        </w:tc>
      </w:tr>
    </w:tbl>
    <w:p>
      <w:pPr>
        <w:spacing w:before="0" w:after="0"/>
        <w:jc w:val="left"/>
      </w:pPr>
      <w:r>
        <w:rPr>
          <w:rFonts w:ascii="Calibri" w:cs="Calibri" w:eastAsia="Calibri" w:hAnsi="Calibri"/>
          <w:b w:val="false"/>
          <w:bCs w:val="false"/>
          <w:i w:val="false"/>
          <w:iCs w:val="false"/>
          <w:color w:val="0D0D0D"/>
          <w:sz w:val="8"/>
          <w:szCs w:val="8"/>
        </w:rPr>
        <w:t xml:space="preserve"/>
      </w:r>
    </w:p>
    <w:p>
      <w:pPr>
        <w:spacing w:before="80" w:after="0"/>
        <w:jc w:val="center"/>
      </w:pPr>
      <w:r>
        <w:rPr>
          <w:rFonts w:ascii="Calibri" w:cs="Calibri" w:eastAsia="Calibri" w:hAnsi="Calibri"/>
          <w:i/>
          <w:iCs/>
          <w:color w:val="455A64"/>
          <w:sz w:val="17"/>
          <w:szCs w:val="17"/>
        </w:rPr>
        <w:t xml:space="preserve">Criterio de recomendación: proveedor debe responder satisfactoriamente el 100% de preguntas de nivel «Alta» (12 preguntas) y al menos 4 de 8 de nivel «Media-Alta». Resultado final: □ RECOMENDADO  □ NO RECOMENDADO  □ SEGUNDA SESIÓN REQUERIDA</w:t>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0" w:after="0"/>
        <w:jc w:val="left"/>
      </w:pPr>
      <w:r>
        <w:rPr>
          <w:rFonts w:ascii="Calibri" w:cs="Calibri" w:eastAsia="Calibri" w:hAnsi="Calibri"/>
          <w:b w:val="false"/>
          <w:bCs w:val="false"/>
          <w:i w:val="false"/>
          <w:iCs w:val="false"/>
          <w:color w:val="0D0D0D"/>
          <w:sz w:val="8"/>
          <w:szCs w:val="8"/>
        </w:rPr>
        <w:t xml:space="preserve"/>
      </w:r>
    </w:p>
    <w:p>
      <w:pPr>
        <w:spacing w:before="100" w:after="60"/>
        <w:jc w:val="center"/>
      </w:pPr>
      <w:r>
        <w:rPr>
          <w:rFonts w:ascii="Calibri" w:cs="Calibri" w:eastAsia="Calibri" w:hAnsi="Calibri"/>
          <w:b/>
          <w:bCs/>
          <w:color w:val="0D2137"/>
          <w:sz w:val="22"/>
          <w:szCs w:val="22"/>
        </w:rPr>
        <w:t xml:space="preserve">Firmas de conformidad</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0D0D0D"/>
                <w:sz w:val="18"/>
                <w:szCs w:val="18"/>
              </w:rPr>
              <w:t xml:space="preserve">Evaluador — [NOMBRE DE LA INSTITUCIÓN]</w:t>
            </w:r>
          </w:p>
        </w:tc>
        <w:tc>
          <w:tcPr>
            <w:tcW w:type="dxa" w:w="4680"/>
            <w:tcBorders>
              <w:top w:val="single" w:color="AAAAAA" w:sz="4"/>
              <w:left w:val="single" w:color="AAAAAA" w:sz="4"/>
              <w:bottom w:val="single" w:color="AAAAAA" w:sz="4"/>
              <w:right w:val="single" w:color="AAAAAA" w:sz="4"/>
            </w:tcBorders>
            <w:shd w:fill="ECEFF1" w:val="clear"/>
            <w:tcMar>
              <w:top w:type="dxa" w:w="100"/>
              <w:left w:type="dxa" w:w="140"/>
              <w:bottom w:type="dxa" w:w="100"/>
              <w:right w:type="dxa" w:w="140"/>
            </w:tcMar>
            <w:vAlign w:val="center"/>
          </w:tcPr>
          <w:p>
            <w:pPr>
              <w:spacing w:before="80" w:after="80"/>
              <w:jc w:val="center"/>
            </w:pPr>
            <w:r>
              <w:rPr>
                <w:rFonts w:ascii="Calibri" w:cs="Calibri" w:eastAsia="Calibri" w:hAnsi="Calibri"/>
                <w:b/>
                <w:bCs/>
                <w:color w:val="0D0D0D"/>
                <w:sz w:val="18"/>
                <w:szCs w:val="18"/>
              </w:rPr>
              <w:t xml:space="preserve">Representante — [NOMBRE DEL PROVEEDOR]</w:t>
            </w:r>
          </w:p>
        </w:tc>
      </w:tr>
      <w:tr>
        <w:tc>
          <w:tcPr>
            <w:tcW w:type="dxa" w:w="4680"/>
            <w:tcBorders>
              <w:top w:val="none"/>
              <w:left w:val="single" w:color="AAAAAA" w:sz="4"/>
              <w:bottom w:val="single" w:color="AAAAAA" w:sz="4"/>
              <w:right w:val="single" w:color="AAAAAA" w:sz="4"/>
            </w:tcBorders>
            <w:shd w:fill="FFFFFF" w:val="clear"/>
            <w:tcMar>
              <w:top w:type="dxa" w:w="300"/>
              <w:left w:type="dxa" w:w="200"/>
              <w:bottom w:type="dxa" w:w="60"/>
              <w:right w:type="dxa" w:w="200"/>
            </w:tcMar>
          </w:tcPr>
          <w:p>
            <w:pPr>
              <w:spacing w:before="0" w:after="60"/>
            </w:pPr>
            <w:r>
              <w:rPr>
                <w:rFonts w:ascii="Calibri" w:cs="Calibri" w:eastAsia="Calibri" w:hAnsi="Calibri"/>
                <w:color w:val="455A64"/>
                <w:sz w:val="18"/>
                <w:szCs w:val="18"/>
              </w:rPr>
              <w:t xml:space="preserve">Nombre: _______________________________</w:t>
            </w:r>
          </w:p>
          <w:p>
            <w:pPr>
              <w:spacing w:before="0" w:after="0"/>
            </w:pPr>
            <w:r>
              <w:rPr>
                <w:rFonts w:ascii="Calibri" w:cs="Calibri" w:eastAsia="Calibri" w:hAnsi="Calibri"/>
                <w:color w:val="455A64"/>
                <w:sz w:val="18"/>
                <w:szCs w:val="18"/>
              </w:rPr>
              <w:t xml:space="preserve">Cargo:   _______________________________</w:t>
            </w:r>
          </w:p>
        </w:tc>
        <w:tc>
          <w:tcPr>
            <w:tcW w:type="dxa" w:w="4680"/>
            <w:tcBorders>
              <w:top w:val="none"/>
              <w:left w:val="single" w:color="AAAAAA" w:sz="4"/>
              <w:bottom w:val="single" w:color="AAAAAA" w:sz="4"/>
              <w:right w:val="single" w:color="AAAAAA" w:sz="4"/>
            </w:tcBorders>
            <w:shd w:fill="FFFFFF" w:val="clear"/>
            <w:tcMar>
              <w:top w:type="dxa" w:w="300"/>
              <w:left w:type="dxa" w:w="200"/>
              <w:bottom w:type="dxa" w:w="60"/>
              <w:right w:type="dxa" w:w="200"/>
            </w:tcMar>
          </w:tcPr>
          <w:p>
            <w:pPr>
              <w:spacing w:before="0" w:after="60"/>
            </w:pPr>
            <w:r>
              <w:rPr>
                <w:rFonts w:ascii="Calibri" w:cs="Calibri" w:eastAsia="Calibri" w:hAnsi="Calibri"/>
                <w:color w:val="455A64"/>
                <w:sz w:val="18"/>
                <w:szCs w:val="18"/>
              </w:rPr>
              <w:t xml:space="preserve">Nombre: _______________________________</w:t>
            </w:r>
          </w:p>
          <w:p>
            <w:pPr>
              <w:spacing w:before="0" w:after="0"/>
            </w:pPr>
            <w:r>
              <w:rPr>
                <w:rFonts w:ascii="Calibri" w:cs="Calibri" w:eastAsia="Calibri" w:hAnsi="Calibri"/>
                <w:color w:val="455A64"/>
                <w:sz w:val="18"/>
                <w:szCs w:val="18"/>
              </w:rPr>
              <w:t xml:space="preserve">Cargo:   _______________________________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79D9" w:sz="8" w:space="4"/>
      </w:pBdr>
      <w:tabs>
        <w:tab w:val="right" w:pos="9360"/>
      </w:tabs>
      <w:spacing w:before="80" w:after="0"/>
    </w:pPr>
    <w:r>
      <w:rPr>
        <w:rFonts w:ascii="Calibri" w:cs="Calibri" w:eastAsia="Calibri" w:hAnsi="Calibri"/>
        <w:color w:val="455A64"/>
        <w:sz w:val="16"/>
        <w:szCs w:val="16"/>
      </w:rPr>
      <w:t xml:space="preserve">[INSTITUCIÓN]  ·  Evaluación Técnica de Proveedores  ·  2025</w:t>
    </w:r>
    <w:r>
      <w:rPr>
        <w:sz w:val="16"/>
        <w:szCs w:val="16"/>
      </w:rPr>
      <w:t xml:space="preserve">	</w:t>
    </w:r>
    <w:r>
      <w:rPr>
        <w:rFonts w:ascii="Calibri" w:cs="Calibri" w:eastAsia="Calibri" w:hAnsi="Calibri"/>
        <w:color w:val="455A64"/>
        <w:sz w:val="16"/>
        <w:szCs w:val="16"/>
      </w:rPr>
      <w:t xml:space="preserve">Página </w:t>
    </w:r>
    <w:fldSimple w:instr="PAGE"/>
    <w:r>
      <w:rPr>
        <w:rFonts w:ascii="Calibri" w:cs="Calibri" w:eastAsia="Calibri" w:hAnsi="Calibri"/>
        <w:color w:val="455A64"/>
        <w:sz w:val="16"/>
        <w:szCs w:val="16"/>
      </w:rPr>
      <w:t xml:space="preserve"> de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79D9" w:sz="8" w:space="4"/>
      </w:pBdr>
      <w:tabs>
        <w:tab w:val="right" w:pos="9360"/>
      </w:tabs>
      <w:spacing w:before="0" w:after="80"/>
    </w:pPr>
    <w:r>
      <w:rPr>
        <w:rFonts w:ascii="Calibri" w:cs="Calibri" w:eastAsia="Calibri" w:hAnsi="Calibri"/>
        <w:color w:val="455A64"/>
        <w:sz w:val="16"/>
        <w:szCs w:val="16"/>
      </w:rPr>
      <w:t xml:space="preserve">Q&amp;A Técnica — Azure Landing Zone  ·  RFP Cloud Service Provider</w:t>
    </w:r>
    <w:r>
      <w:rPr>
        <w:sz w:val="16"/>
        <w:szCs w:val="16"/>
      </w:rPr>
      <w:t xml:space="preserve">	</w:t>
    </w:r>
    <w:r>
      <w:rPr>
        <w:rFonts w:ascii="Calibri" w:cs="Calibri" w:eastAsia="Calibri" w:hAnsi="Calibri"/>
        <w:i/>
        <w:iCs/>
        <w:color w:val="455A64"/>
        <w:sz w:val="16"/>
        <w:szCs w:val="16"/>
      </w:rPr>
      <w:t xml:space="preserve">Confidencial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Calibri" w:cs="Calibri" w:eastAsia="Calibri" w:hAnsi="Calibri"/>
      <w:b/>
      <w:bCs/>
      <w:color w:val="0D2137"/>
      <w:sz w:val="34"/>
      <w:szCs w:val="34"/>
    </w:rPr>
  </w:style>
  <w:style w:type="paragraph" w:styleId="Heading2">
    <w:name w:val="Heading 2"/>
    <w:basedOn w:val="Normal"/>
    <w:next w:val="Normal"/>
    <w:pPr>
      <w:spacing w:before="280" w:after="10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2026-03-22T23:05:27.451Z</dcterms:created>
  <dcterms:modified xsi:type="dcterms:W3CDTF">2026-03-22T23:05:27.453Z</dcterms:modified>
</cp:coreProperties>
</file>

<file path=docProps/custom.xml><?xml version="1.0" encoding="utf-8"?>
<Properties xmlns="http://schemas.openxmlformats.org/officeDocument/2006/custom-properties" xmlns:vt="http://schemas.openxmlformats.org/officeDocument/2006/docPropsVTypes"/>
</file>