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p>
    <w:p>
      <w:pPr>
        <w:spacing w:before="40" w:after="40"/>
      </w:pPr>
    </w:p>
    <w:p>
      <w:pPr>
        <w:spacing w:before="40" w:after="40"/>
      </w:pPr>
    </w:p>
    <w:p>
      <w:pPr>
        <w:spacing w:before="40" w:after="40"/>
      </w:pPr>
    </w:p>
    <w:p>
      <w:pPr>
        <w:spacing w:before="40" w:after="40"/>
      </w:pPr>
    </w:p>
    <w:p>
      <w:pPr>
        <w:spacing w:before="40" w:after="40"/>
      </w:pPr>
    </w:p>
    <w:p>
      <w:pPr>
        <w:jc w:val="center"/>
      </w:pPr>
      <w:r>
        <w:rPr>
          <w:rFonts w:ascii="Arial" w:hAnsi="Arial"/>
          <w:b/>
          <w:color w:val="1F4E79"/>
          <w:sz w:val="52"/>
        </w:rPr>
        <w:t>PROPUESTA TÉCNICA Y COMERCIAL</w:t>
      </w:r>
    </w:p>
    <w:p>
      <w:pPr>
        <w:jc w:val="center"/>
      </w:pPr>
      <w:r>
        <w:rPr>
          <w:rFonts w:ascii="Arial" w:hAnsi="Arial"/>
          <w:b/>
          <w:color w:val="2E75B6"/>
          <w:sz w:val="40"/>
        </w:rPr>
        <w:t>Migración a Microsoft Azure IaaS</w:t>
      </w:r>
    </w:p>
    <w:p>
      <w:pPr>
        <w:pBdr>
          <w:bottom w:val="single" w:sz="12" w:space="1" w:color="2E75B6"/>
        </w:pBdr>
      </w:pPr>
    </w:p>
    <w:p>
      <w:pPr>
        <w:spacing w:before="40" w:after="40"/>
      </w:pPr>
    </w:p>
    <w:p>
      <w:pPr>
        <w:spacing w:before="40" w:after="40"/>
      </w:pPr>
    </w:p>
    <w:p>
      <w:pPr>
        <w:jc w:val="center"/>
      </w:pPr>
      <w:r>
        <w:rPr>
          <w:rFonts w:ascii="Arial" w:hAnsi="Arial"/>
          <w:i/>
          <w:color w:val="666666"/>
          <w:sz w:val="24"/>
        </w:rPr>
        <w:t>Infraestructura de Alta Disponibilidad, Seguridad y Escalabilidad</w:t>
      </w:r>
    </w:p>
    <w:p>
      <w:pPr>
        <w:spacing w:before="40" w:after="40"/>
      </w:pPr>
    </w:p>
    <w:p>
      <w:pPr>
        <w:spacing w:before="40" w:after="40"/>
      </w:pPr>
    </w:p>
    <w:p>
      <w:pPr>
        <w:spacing w:before="40" w:after="40"/>
      </w:pPr>
    </w:p>
    <w:p>
      <w:pPr>
        <w:jc w:val="center"/>
      </w:pPr>
      <w:r>
        <w:rPr>
          <w:rFonts w:ascii="Arial" w:hAnsi="Arial"/>
          <w:b/>
          <w:color w:val="2E75B6"/>
          <w:sz w:val="22"/>
        </w:rPr>
        <w:t xml:space="preserve">Versión:  </w:t>
      </w:r>
      <w:r>
        <w:rPr>
          <w:rFonts w:ascii="Arial" w:hAnsi="Arial"/>
          <w:color w:val="262626"/>
          <w:sz w:val="22"/>
        </w:rPr>
        <w:t>1.0</w:t>
      </w:r>
    </w:p>
    <w:p>
      <w:pPr>
        <w:jc w:val="center"/>
      </w:pPr>
      <w:r>
        <w:rPr>
          <w:rFonts w:ascii="Arial" w:hAnsi="Arial"/>
          <w:b/>
          <w:color w:val="2E75B6"/>
          <w:sz w:val="22"/>
        </w:rPr>
        <w:t xml:space="preserve">Fecha:  </w:t>
      </w:r>
      <w:r>
        <w:rPr>
          <w:rFonts w:ascii="Arial" w:hAnsi="Arial"/>
          <w:color w:val="262626"/>
          <w:sz w:val="22"/>
        </w:rPr>
        <w:t>Mayo 2025</w:t>
      </w:r>
    </w:p>
    <w:p>
      <w:pPr>
        <w:jc w:val="center"/>
      </w:pPr>
      <w:r>
        <w:rPr>
          <w:rFonts w:ascii="Arial" w:hAnsi="Arial"/>
          <w:b/>
          <w:color w:val="2E75B6"/>
          <w:sz w:val="22"/>
        </w:rPr>
        <w:t xml:space="preserve">Clasificación:  </w:t>
      </w:r>
      <w:r>
        <w:rPr>
          <w:rFonts w:ascii="Arial" w:hAnsi="Arial"/>
          <w:color w:val="262626"/>
          <w:sz w:val="22"/>
        </w:rPr>
        <w:t>Confidencial</w:t>
      </w:r>
    </w:p>
    <w:p>
      <w:pPr>
        <w:spacing w:before="40" w:after="40"/>
      </w:pPr>
    </w:p>
    <w:p>
      <w:pPr>
        <w:spacing w:before="40" w:after="40"/>
      </w:pPr>
    </w:p>
    <w:p>
      <w:pPr>
        <w:spacing w:before="40" w:after="40"/>
      </w:pPr>
    </w:p>
    <w:p>
      <w:pPr>
        <w:jc w:val="center"/>
      </w:pPr>
      <w:r>
        <w:rPr>
          <w:rFonts w:ascii="Arial" w:hAnsi="Arial"/>
          <w:b/>
          <w:color w:val="0070C0"/>
          <w:sz w:val="24"/>
        </w:rPr>
        <w:t>Preparado para: [NOMBRE DEL CLIENTE]</w:t>
      </w:r>
    </w:p>
    <w:p>
      <w:pPr>
        <w:jc w:val="center"/>
      </w:pPr>
      <w:r>
        <w:rPr>
          <w:rFonts w:ascii="Arial" w:hAnsi="Arial"/>
          <w:b/>
          <w:color w:val="0070C0"/>
          <w:sz w:val="24"/>
        </w:rPr>
        <w:t>Preparado por: [NOMBRE DEL PROVEEDOR]</w:t>
      </w:r>
    </w:p>
    <w:p>
      <w:r>
        <w:br w:type="page"/>
      </w:r>
    </w:p>
    <w:p>
      <w:pPr>
        <w:spacing w:before="360" w:after="160"/>
        <w:pBdr>
          <w:bottom w:val="single" w:sz="6" w:space="1" w:color="2E75B6"/>
        </w:pBdr>
      </w:pPr>
      <w:r>
        <w:rPr>
          <w:rFonts w:ascii="Arial" w:hAnsi="Arial"/>
          <w:b/>
          <w:color w:val="1F4E79"/>
          <w:sz w:val="32"/>
        </w:rPr>
        <w:t>1. Resumen Ejecutivo</w:t>
      </w:r>
    </w:p>
    <w:p>
      <w:pPr>
        <w:spacing w:before="60" w:after="60"/>
      </w:pPr>
      <w:r>
        <w:rPr>
          <w:rFonts w:ascii="Arial" w:hAnsi="Arial"/>
          <w:b w:val="0"/>
          <w:i w:val="0"/>
          <w:sz w:val="22"/>
        </w:rPr>
        <w:t>El cliente ha experimentado caidas de servicio recurrentes con su proveedor de infraestructura actual, generando impacto operativo significativo para sus 100 usuarios. La presente propuesta plantea la migracion completa hacia Microsoft Azure bajo el modelo IaaS, incorporando alta disponibilidad, seguridad reforzada, autenticacion multifactor (MFA) y arquitectura escalable que soporta el crecimiento proyectado a mas de 150 usuarios.</w:t>
      </w:r>
    </w:p>
    <w:p>
      <w:pPr>
        <w:spacing w:before="40" w:after="40"/>
      </w:pPr>
    </w:p>
    <w:p>
      <w:pPr>
        <w:spacing w:before="60" w:after="60"/>
      </w:pPr>
      <w:r>
        <w:rPr>
          <w:rFonts w:ascii="Arial" w:hAnsi="Arial"/>
          <w:b w:val="0"/>
          <w:i w:val="0"/>
          <w:sz w:val="22"/>
        </w:rPr>
        <w:t>La solucion propuesta elimina los puntos unicos de falla, garantiza conectividad segura para usuarios locales y remotos, y establece las bases para una operacion estable, monitoreada y con respaldo continuo.</w:t>
      </w:r>
    </w:p>
    <w:p>
      <w:pPr>
        <w:spacing w:before="360" w:after="160"/>
        <w:pBdr>
          <w:bottom w:val="single" w:sz="6" w:space="1" w:color="2E75B6"/>
        </w:pBdr>
      </w:pPr>
      <w:r>
        <w:rPr>
          <w:rFonts w:ascii="Arial" w:hAnsi="Arial"/>
          <w:b/>
          <w:color w:val="1F4E79"/>
          <w:sz w:val="32"/>
        </w:rPr>
        <w:t>2. Situacion Actual</w:t>
      </w:r>
    </w:p>
    <w:p>
      <w:pPr>
        <w:spacing w:before="240" w:after="80"/>
      </w:pPr>
      <w:r>
        <w:rPr>
          <w:rFonts w:ascii="Arial" w:hAnsi="Arial"/>
          <w:b/>
          <w:color w:val="2E75B6"/>
          <w:sz w:val="26"/>
        </w:rPr>
        <w:t>2.1 Problematica Identificada</w:t>
      </w:r>
    </w:p>
    <w:p>
      <w:pPr>
        <w:pStyle w:val="ListBullet"/>
        <w:spacing w:before="40" w:after="40"/>
      </w:pPr>
      <w:r>
        <w:rPr>
          <w:rFonts w:ascii="Arial" w:hAnsi="Arial"/>
          <w:sz w:val="22"/>
        </w:rPr>
        <w:t>Caidas de servicio frecuentes con el proveedor actual sin SLA garantizado</w:t>
      </w:r>
    </w:p>
    <w:p>
      <w:pPr>
        <w:pStyle w:val="ListBullet"/>
        <w:spacing w:before="40" w:after="40"/>
      </w:pPr>
      <w:r>
        <w:rPr>
          <w:rFonts w:ascii="Arial" w:hAnsi="Arial"/>
          <w:sz w:val="22"/>
        </w:rPr>
        <w:t>Infraestructura sin redundancia ni alta disponibilidad</w:t>
      </w:r>
    </w:p>
    <w:p>
      <w:pPr>
        <w:pStyle w:val="ListBullet"/>
        <w:spacing w:before="40" w:after="40"/>
      </w:pPr>
      <w:r>
        <w:rPr>
          <w:rFonts w:ascii="Arial" w:hAnsi="Arial"/>
          <w:sz w:val="22"/>
        </w:rPr>
        <w:t>Ausencia de autenticacion multifactor (MFA)</w:t>
      </w:r>
    </w:p>
    <w:p>
      <w:pPr>
        <w:pStyle w:val="ListBullet"/>
        <w:spacing w:before="40" w:after="40"/>
      </w:pPr>
      <w:r>
        <w:rPr>
          <w:rFonts w:ascii="Arial" w:hAnsi="Arial"/>
          <w:sz w:val="22"/>
        </w:rPr>
        <w:t>Sin VPN robusta para los 50 usuarios remotos</w:t>
      </w:r>
    </w:p>
    <w:p>
      <w:pPr>
        <w:pStyle w:val="ListBullet"/>
        <w:spacing w:before="40" w:after="40"/>
      </w:pPr>
      <w:r>
        <w:rPr>
          <w:rFonts w:ascii="Arial" w:hAnsi="Arial"/>
          <w:sz w:val="22"/>
        </w:rPr>
        <w:t>Falta de monitoreo centralizado y capacidad de respuesta ante incidentes</w:t>
      </w:r>
    </w:p>
    <w:p>
      <w:pPr>
        <w:pStyle w:val="ListBullet"/>
        <w:spacing w:before="40" w:after="40"/>
      </w:pPr>
      <w:r>
        <w:rPr>
          <w:rFonts w:ascii="Arial" w:hAnsi="Arial"/>
          <w:sz w:val="22"/>
        </w:rPr>
        <w:t>Sin plan de backup documentado ni RTO/RPO definidos</w:t>
      </w:r>
    </w:p>
    <w:p>
      <w:pPr>
        <w:pStyle w:val="ListBullet"/>
        <w:spacing w:before="40" w:after="40"/>
      </w:pPr>
      <w:r>
        <w:rPr>
          <w:rFonts w:ascii="Arial" w:hAnsi="Arial"/>
          <w:sz w:val="22"/>
        </w:rPr>
        <w:t>Arquitectura no escalable para soportar crecimiento de usuarios</w:t>
      </w:r>
    </w:p>
    <w:p>
      <w:pPr>
        <w:spacing w:before="240" w:after="80"/>
      </w:pPr>
      <w:r>
        <w:rPr>
          <w:rFonts w:ascii="Arial" w:hAnsi="Arial"/>
          <w:b/>
          <w:color w:val="2E75B6"/>
          <w:sz w:val="26"/>
        </w:rPr>
        <w:t>2.2 Especificaciones del Entorno a Migrar</w:t>
      </w:r>
    </w:p>
    <w:p>
      <w:pPr>
        <w:pStyle w:val="ListBullet"/>
        <w:spacing w:before="40" w:after="40"/>
      </w:pPr>
      <w:r>
        <w:rPr>
          <w:rFonts w:ascii="Arial" w:hAnsi="Arial"/>
          <w:sz w:val="22"/>
        </w:rPr>
        <w:t>1 VM con 32 vCPUs, 128 GB de RAM</w:t>
      </w:r>
    </w:p>
    <w:p>
      <w:pPr>
        <w:pStyle w:val="ListBullet"/>
        <w:spacing w:before="40" w:after="40"/>
      </w:pPr>
      <w:r>
        <w:rPr>
          <w:rFonts w:ascii="Arial" w:hAnsi="Arial"/>
          <w:sz w:val="22"/>
        </w:rPr>
        <w:t>Almacenamiento: disco OS 500 GB + 2 discos de datos de 1 TB c/u</w:t>
      </w:r>
    </w:p>
    <w:p>
      <w:pPr>
        <w:pStyle w:val="ListBullet"/>
        <w:spacing w:before="40" w:after="40"/>
      </w:pPr>
      <w:r>
        <w:rPr>
          <w:rFonts w:ascii="Arial" w:hAnsi="Arial"/>
          <w:sz w:val="22"/>
        </w:rPr>
        <w:t>Conectividad de 100 usuarios (50 locales, 50 remotos)</w:t>
      </w:r>
    </w:p>
    <w:p>
      <w:pPr>
        <w:pStyle w:val="ListBullet"/>
        <w:spacing w:before="40" w:after="40"/>
      </w:pPr>
      <w:r>
        <w:rPr>
          <w:rFonts w:ascii="Arial" w:hAnsi="Arial"/>
          <w:sz w:val="22"/>
        </w:rPr>
        <w:t>VPN sin soporte MFA ni conectividad P2S administrada</w:t>
      </w:r>
    </w:p>
    <w:p>
      <w:pPr>
        <w:spacing w:before="360" w:after="160"/>
        <w:pBdr>
          <w:bottom w:val="single" w:sz="6" w:space="1" w:color="2E75B6"/>
        </w:pBdr>
      </w:pPr>
      <w:r>
        <w:rPr>
          <w:rFonts w:ascii="Arial" w:hAnsi="Arial"/>
          <w:b/>
          <w:color w:val="1F4E79"/>
          <w:sz w:val="32"/>
        </w:rPr>
        <w:t>3. Arquitectura Propuesta en Azure IaaS</w:t>
      </w:r>
    </w:p>
    <w:p>
      <w:pPr>
        <w:spacing w:before="240" w:after="80"/>
      </w:pPr>
      <w:r>
        <w:rPr>
          <w:rFonts w:ascii="Arial" w:hAnsi="Arial"/>
          <w:b/>
          <w:color w:val="2E75B6"/>
          <w:sz w:val="26"/>
        </w:rPr>
        <w:t>3.1 Diagrama de Componentes</w:t>
      </w:r>
    </w:p>
    <w:p>
      <w:pPr>
        <w:spacing w:before="60" w:after="60"/>
      </w:pPr>
      <w:r>
        <w:rPr>
          <w:rFonts w:ascii="Arial" w:hAnsi="Arial"/>
          <w:b w:val="0"/>
          <w:i w:val="0"/>
          <w:sz w:val="22"/>
        </w:rPr>
        <w:t>La arquitectura se despliega en la region Mexico Central de Azure con la siguiente estructura logica:</w:t>
      </w:r>
    </w:p>
    <w:p>
      <w:pPr>
        <w:spacing w:before="40" w:after="40"/>
      </w:pPr>
    </w:p>
    <w:tbl>
      <w:tblPr>
        <w:tblStyle w:val="TableGrid"/>
        <w:tblW w:type="auto" w:w="0"/>
        <w:tblLook w:firstColumn="1" w:firstRow="1" w:lastColumn="0" w:lastRow="0" w:noHBand="0" w:noVBand="1" w:val="04A0"/>
      </w:tblPr>
      <w:tblGrid>
        <w:gridCol w:w="9071"/>
      </w:tblGrid>
      <w:tr>
        <w:tc>
          <w:tcPr>
            <w:tcW w:type="dxa" w:w="9071"/>
            <w:shd w:val="clear" w:color="auto" w:fill="0D1B2A"/>
            <w:tcBorders>
              <w:top w:val="single" w:sz="12" w:space="0" w:color="2E75B6"/>
              <w:left w:val="single" w:sz="12" w:space="0" w:color="2E75B6"/>
              <w:bottom w:val="single" w:sz="12" w:space="0" w:color="2E75B6"/>
              <w:right w:val="single" w:sz="12" w:space="0" w:color="2E75B6"/>
            </w:tcBorders>
            <w:tcMar>
              <w:top w:w="120" w:type="dxa"/>
              <w:left w:w="160" w:type="dxa"/>
              <w:bottom w:w="120" w:type="dxa"/>
              <w:right w:w="160" w:type="dxa"/>
            </w:tcMar>
          </w:tcPr>
          <w:p>
            <w:pPr>
              <w:spacing w:before="0" w:after="0"/>
            </w:pPr>
            <w:r>
              <w:rPr>
                <w:rFonts w:ascii="Courier New" w:hAnsi="Courier New"/>
                <w:color w:val="00B4D8"/>
                <w:sz w:val="18"/>
              </w:rPr>
              <w:t xml:space="preserve">  INTERNET</w:t>
            </w:r>
          </w:p>
          <w:p>
            <w:pPr>
              <w:spacing w:before="0" w:after="0"/>
            </w:pPr>
            <w:r>
              <w:rPr>
                <w:rFonts w:ascii="Courier New" w:hAnsi="Courier New"/>
                <w:color w:val="90E0EF"/>
                <w:sz w:val="18"/>
              </w:rPr>
              <w:t xml:space="preserve">      |</w:t>
            </w:r>
          </w:p>
          <w:p>
            <w:pPr>
              <w:spacing w:before="0" w:after="0"/>
            </w:pPr>
            <w:r>
              <w:rPr>
                <w:rFonts w:ascii="Courier New" w:hAnsi="Courier New"/>
                <w:color w:val="00B4D8"/>
                <w:sz w:val="18"/>
              </w:rPr>
              <w:t xml:space="preserve">  [ VPN Gateway VpnGw1 ]  &lt;--- Usuarios Remotos (P2S)</w:t>
            </w:r>
          </w:p>
          <w:p>
            <w:pPr>
              <w:spacing w:before="0" w:after="0"/>
            </w:pPr>
            <w:r>
              <w:rPr>
                <w:rFonts w:ascii="Courier New" w:hAnsi="Courier New"/>
                <w:color w:val="90E0EF"/>
                <w:sz w:val="18"/>
              </w:rPr>
              <w:t xml:space="preserve">      |                   &lt;--- Oficina Local (S2S)</w:t>
            </w:r>
          </w:p>
          <w:p>
            <w:pPr>
              <w:spacing w:before="0" w:after="0"/>
            </w:pPr>
            <w:r>
              <w:rPr>
                <w:rFonts w:ascii="Courier New" w:hAnsi="Courier New"/>
                <w:color w:val="48CAE4"/>
                <w:sz w:val="18"/>
              </w:rPr>
              <w:t xml:space="preserve">  [ Azure Virtual Network - Mexico Central ]</w:t>
            </w:r>
          </w:p>
          <w:p>
            <w:pPr>
              <w:spacing w:before="0" w:after="0"/>
            </w:pPr>
            <w:r>
              <w:rPr>
                <w:rFonts w:ascii="Courier New" w:hAnsi="Courier New"/>
                <w:color w:val="90E0EF"/>
                <w:sz w:val="18"/>
              </w:rPr>
              <w:t xml:space="preserve">  +--------------------------------------------------+</w:t>
            </w:r>
          </w:p>
          <w:p>
            <w:pPr>
              <w:spacing w:before="0" w:after="0"/>
            </w:pPr>
            <w:r>
              <w:rPr>
                <w:rFonts w:ascii="Courier New" w:hAnsi="Courier New"/>
                <w:color w:val="48CAE4"/>
                <w:sz w:val="18"/>
              </w:rPr>
              <w:t xml:space="preserve">  |  Subnet: PROD              Subnet: MGMT          |</w:t>
            </w:r>
          </w:p>
          <w:p>
            <w:pPr>
              <w:spacing w:before="0" w:after="0"/>
            </w:pPr>
            <w:r>
              <w:rPr>
                <w:rFonts w:ascii="Courier New" w:hAnsi="Courier New"/>
                <w:color w:val="90E0EF"/>
                <w:sz w:val="18"/>
              </w:rPr>
              <w:t xml:space="preserve">  |  [ VM Standard D32s v3 ]   [ Bastion (opcional)] |</w:t>
            </w:r>
          </w:p>
          <w:p>
            <w:pPr>
              <w:spacing w:before="0" w:after="0"/>
            </w:pPr>
            <w:r>
              <w:rPr>
                <w:rFonts w:ascii="Courier New" w:hAnsi="Courier New"/>
                <w:color w:val="90E0EF"/>
                <w:sz w:val="18"/>
              </w:rPr>
              <w:t xml:space="preserve">  |    32 vCPU | 128 GB RAM    NSG + Firewall Rules  |</w:t>
            </w:r>
          </w:p>
          <w:p>
            <w:pPr>
              <w:spacing w:before="0" w:after="0"/>
            </w:pPr>
            <w:r>
              <w:rPr>
                <w:rFonts w:ascii="Courier New" w:hAnsi="Courier New"/>
                <w:color w:val="90E0EF"/>
                <w:sz w:val="18"/>
              </w:rPr>
              <w:t xml:space="preserve">  |    Disco OS: 500 GB P-SSD                        |</w:t>
            </w:r>
          </w:p>
          <w:p>
            <w:pPr>
              <w:spacing w:before="0" w:after="0"/>
            </w:pPr>
            <w:r>
              <w:rPr>
                <w:rFonts w:ascii="Courier New" w:hAnsi="Courier New"/>
                <w:color w:val="90E0EF"/>
                <w:sz w:val="18"/>
              </w:rPr>
              <w:t xml:space="preserve">  |    Disco Datos: 1 TB + 1 TB P-SSD               |</w:t>
            </w:r>
          </w:p>
          <w:p>
            <w:pPr>
              <w:spacing w:before="0" w:after="0"/>
            </w:pPr>
            <w:r>
              <w:rPr>
                <w:rFonts w:ascii="Courier New" w:hAnsi="Courier New"/>
                <w:color w:val="90E0EF"/>
                <w:sz w:val="18"/>
              </w:rPr>
              <w:t xml:space="preserve">  +--------------------------------------------------+</w:t>
            </w:r>
          </w:p>
          <w:p>
            <w:pPr>
              <w:spacing w:before="0" w:after="0"/>
            </w:pPr>
            <w:r>
              <w:rPr>
                <w:rFonts w:ascii="Courier New" w:hAnsi="Courier New"/>
                <w:color w:val="90E0EF"/>
                <w:sz w:val="18"/>
              </w:rPr>
              <w:t xml:space="preserve">      |</w:t>
            </w:r>
          </w:p>
          <w:p>
            <w:pPr>
              <w:spacing w:before="0" w:after="0"/>
            </w:pPr>
            <w:r>
              <w:rPr>
                <w:rFonts w:ascii="Courier New" w:hAnsi="Courier New"/>
                <w:color w:val="90E0EF"/>
                <w:sz w:val="18"/>
              </w:rPr>
              <w:t xml:space="preserve">  +--------------------------------------------------+</w:t>
            </w:r>
          </w:p>
          <w:p>
            <w:pPr>
              <w:spacing w:before="0" w:after="0"/>
            </w:pPr>
            <w:r>
              <w:rPr>
                <w:rFonts w:ascii="Courier New" w:hAnsi="Courier New"/>
                <w:color w:val="FFD166"/>
                <w:sz w:val="18"/>
              </w:rPr>
              <w:t xml:space="preserve">  | Servicios Transversales                          |</w:t>
            </w:r>
          </w:p>
          <w:p>
            <w:pPr>
              <w:spacing w:before="0" w:after="0"/>
            </w:pPr>
            <w:r>
              <w:rPr>
                <w:rFonts w:ascii="Courier New" w:hAnsi="Courier New"/>
                <w:color w:val="FFD166"/>
                <w:sz w:val="18"/>
              </w:rPr>
              <w:t xml:space="preserve">  | * Microsoft Entra ID P2 + MFA + Acceso Cond.    |</w:t>
            </w:r>
          </w:p>
          <w:p>
            <w:pPr>
              <w:spacing w:before="0" w:after="0"/>
            </w:pPr>
            <w:r>
              <w:rPr>
                <w:rFonts w:ascii="Courier New" w:hAnsi="Courier New"/>
                <w:color w:val="FFD166"/>
                <w:sz w:val="18"/>
              </w:rPr>
              <w:t xml:space="preserve">  | * Azure Backup / Recovery Services Vault         |</w:t>
            </w:r>
          </w:p>
          <w:p>
            <w:pPr>
              <w:spacing w:before="0" w:after="0"/>
            </w:pPr>
            <w:r>
              <w:rPr>
                <w:rFonts w:ascii="Courier New" w:hAnsi="Courier New"/>
                <w:color w:val="FFD166"/>
                <w:sz w:val="18"/>
              </w:rPr>
              <w:t xml:space="preserve">  | * Azure Monitor + Log Analytics + Alertas        |</w:t>
            </w:r>
          </w:p>
          <w:p>
            <w:pPr>
              <w:spacing w:before="0" w:after="0"/>
            </w:pPr>
            <w:r>
              <w:rPr>
                <w:rFonts w:ascii="Courier New" w:hAnsi="Courier New"/>
                <w:color w:val="FFD166"/>
                <w:sz w:val="18"/>
              </w:rPr>
              <w:t xml:space="preserve">  | * Microsoft Defender for Cloud                   |</w:t>
            </w:r>
          </w:p>
          <w:p>
            <w:pPr>
              <w:spacing w:before="0" w:after="0"/>
            </w:pPr>
            <w:r>
              <w:rPr>
                <w:rFonts w:ascii="Courier New" w:hAnsi="Courier New"/>
                <w:color w:val="90E0EF"/>
                <w:sz w:val="18"/>
              </w:rPr>
              <w:t xml:space="preserve">  +--------------------------------------------------+</w:t>
            </w:r>
          </w:p>
        </w:tc>
      </w:tr>
    </w:tbl>
    <w:p>
      <w:pPr>
        <w:spacing w:before="40" w:after="40"/>
      </w:pPr>
    </w:p>
    <w:p>
      <w:pPr>
        <w:spacing w:before="240" w:after="80"/>
      </w:pPr>
      <w:r>
        <w:rPr>
          <w:rFonts w:ascii="Arial" w:hAnsi="Arial"/>
          <w:b/>
          <w:color w:val="2E75B6"/>
          <w:sz w:val="26"/>
        </w:rPr>
        <w:t>3.2 Componentes Tecnicos de la Arquitectura</w:t>
      </w:r>
    </w:p>
    <w:p>
      <w:pPr>
        <w:spacing w:before="60" w:after="60"/>
      </w:pPr>
      <w:r>
        <w:rPr>
          <w:rFonts w:ascii="Arial" w:hAnsi="Arial"/>
          <w:b w:val="0"/>
          <w:i w:val="0"/>
          <w:sz w:val="22"/>
        </w:rPr>
        <w:t>La siguiente tabla resume los componentes principales:</w:t>
      </w:r>
    </w:p>
    <w:p>
      <w:pPr>
        <w:spacing w:before="40" w:after="40"/>
      </w:pPr>
    </w:p>
    <w:tbl>
      <w:tblPr>
        <w:tblStyle w:val="TableGrid"/>
        <w:tblW w:type="auto" w:w="0"/>
        <w:jc w:val="left"/>
        <w:tblLook w:firstColumn="1" w:firstRow="1" w:lastColumn="0" w:lastRow="0" w:noHBand="0" w:noVBand="1" w:val="04A0"/>
      </w:tblPr>
      <w:tblGrid>
        <w:gridCol w:w="2551"/>
        <w:gridCol w:w="6520"/>
      </w:tblGrid>
      <w:tr>
        <w:tc>
          <w:tcPr>
            <w:tcW w:type="dxa" w:w="2551"/>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left"/>
            </w:pPr>
            <w:r>
              <w:rPr>
                <w:rFonts w:ascii="Arial" w:hAnsi="Arial"/>
                <w:b/>
                <w:color w:val="FFFFFF"/>
                <w:sz w:val="20"/>
              </w:rPr>
              <w:t>Componente</w:t>
            </w:r>
          </w:p>
        </w:tc>
        <w:tc>
          <w:tcPr>
            <w:tcW w:type="dxa" w:w="6520"/>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left"/>
            </w:pPr>
            <w:r>
              <w:rPr>
                <w:rFonts w:ascii="Arial" w:hAnsi="Arial"/>
                <w:b/>
                <w:color w:val="FFFFFF"/>
                <w:sz w:val="20"/>
              </w:rPr>
              <w:t>Especificacion</w:t>
            </w:r>
          </w:p>
        </w:tc>
      </w:tr>
      <w:tr>
        <w:tc>
          <w:tcPr>
            <w:tcW w:type="dxa" w:w="2551"/>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VM Standard D32s v3</w:t>
            </w:r>
          </w:p>
        </w:tc>
        <w:tc>
          <w:tcPr>
            <w:tcW w:type="dxa" w:w="6520"/>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Standard D32s v3 - 32 vCPUs, 128 GB RAM</w:t>
            </w:r>
          </w:p>
        </w:tc>
      </w:tr>
      <w:tr>
        <w:tc>
          <w:tcPr>
            <w:tcW w:type="dxa" w:w="2551"/>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Disco OS</w:t>
            </w:r>
          </w:p>
        </w:tc>
        <w:tc>
          <w:tcPr>
            <w:tcW w:type="dxa" w:w="6520"/>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Premium SSD administrado - 500 GB</w:t>
            </w:r>
          </w:p>
        </w:tc>
      </w:tr>
      <w:tr>
        <w:tc>
          <w:tcPr>
            <w:tcW w:type="dxa" w:w="2551"/>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Disco Datos 1</w:t>
            </w:r>
          </w:p>
        </w:tc>
        <w:tc>
          <w:tcPr>
            <w:tcW w:type="dxa" w:w="6520"/>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Premium SSD administrado - 1 TB</w:t>
            </w:r>
          </w:p>
        </w:tc>
      </w:tr>
      <w:tr>
        <w:tc>
          <w:tcPr>
            <w:tcW w:type="dxa" w:w="2551"/>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Disco Datos 2</w:t>
            </w:r>
          </w:p>
        </w:tc>
        <w:tc>
          <w:tcPr>
            <w:tcW w:type="dxa" w:w="6520"/>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Premium SSD administrado - 1 TB</w:t>
            </w:r>
          </w:p>
        </w:tc>
      </w:tr>
      <w:tr>
        <w:tc>
          <w:tcPr>
            <w:tcW w:type="dxa" w:w="2551"/>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Red Virtual (VNet)</w:t>
            </w:r>
          </w:p>
        </w:tc>
        <w:tc>
          <w:tcPr>
            <w:tcW w:type="dxa" w:w="6520"/>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Azure Virtual Network - subredes segmentadas (prod, mgmt)</w:t>
            </w:r>
          </w:p>
        </w:tc>
      </w:tr>
      <w:tr>
        <w:tc>
          <w:tcPr>
            <w:tcW w:type="dxa" w:w="2551"/>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VPN Gateway</w:t>
            </w:r>
          </w:p>
        </w:tc>
        <w:tc>
          <w:tcPr>
            <w:tcW w:type="dxa" w:w="6520"/>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VpnGw1 - Site-to-Site + Point-to-Site (usuarios remotos)</w:t>
            </w:r>
          </w:p>
        </w:tc>
      </w:tr>
      <w:tr>
        <w:tc>
          <w:tcPr>
            <w:tcW w:type="dxa" w:w="2551"/>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Identidad / MFA</w:t>
            </w:r>
          </w:p>
        </w:tc>
        <w:tc>
          <w:tcPr>
            <w:tcW w:type="dxa" w:w="6520"/>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Microsoft Entra ID P2 + Conditional Access + MFA</w:t>
            </w:r>
          </w:p>
        </w:tc>
      </w:tr>
      <w:tr>
        <w:tc>
          <w:tcPr>
            <w:tcW w:type="dxa" w:w="2551"/>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Backup</w:t>
            </w:r>
          </w:p>
        </w:tc>
        <w:tc>
          <w:tcPr>
            <w:tcW w:type="dxa" w:w="6520"/>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Azure Backup - Recovery Services Vault (RPO 4h, RTO 4h)</w:t>
            </w:r>
          </w:p>
        </w:tc>
      </w:tr>
      <w:tr>
        <w:tc>
          <w:tcPr>
            <w:tcW w:type="dxa" w:w="2551"/>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Monitoreo</w:t>
            </w:r>
          </w:p>
        </w:tc>
        <w:tc>
          <w:tcPr>
            <w:tcW w:type="dxa" w:w="6520"/>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Azure Monitor + Log Analytics + Alertas + Dashboard</w:t>
            </w:r>
          </w:p>
        </w:tc>
      </w:tr>
      <w:tr>
        <w:tc>
          <w:tcPr>
            <w:tcW w:type="dxa" w:w="2551"/>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Seguridad</w:t>
            </w:r>
          </w:p>
        </w:tc>
        <w:tc>
          <w:tcPr>
            <w:tcW w:type="dxa" w:w="6520"/>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NSG + Microsoft Defender for Cloud + Disk Encryption</w:t>
            </w:r>
          </w:p>
        </w:tc>
      </w:tr>
      <w:tr>
        <w:tc>
          <w:tcPr>
            <w:tcW w:type="dxa" w:w="2551"/>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Region</w:t>
            </w:r>
          </w:p>
        </w:tc>
        <w:tc>
          <w:tcPr>
            <w:tcW w:type="dxa" w:w="6520"/>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Mexico Central (East US 2 como contingencia)</w:t>
            </w:r>
          </w:p>
        </w:tc>
      </w:tr>
    </w:tbl>
    <w:p>
      <w:pPr>
        <w:spacing w:before="40" w:after="40"/>
      </w:pPr>
    </w:p>
    <w:p>
      <w:pPr>
        <w:spacing w:before="240" w:after="80"/>
      </w:pPr>
      <w:r>
        <w:rPr>
          <w:rFonts w:ascii="Arial" w:hAnsi="Arial"/>
          <w:b/>
          <w:color w:val="2E75B6"/>
          <w:sz w:val="26"/>
        </w:rPr>
        <w:t>3.3 Alta Disponibilidad y Continuidad de Negocio</w:t>
      </w:r>
    </w:p>
    <w:p>
      <w:pPr>
        <w:pStyle w:val="ListBullet"/>
        <w:spacing w:before="40" w:after="40"/>
      </w:pPr>
      <w:r>
        <w:rPr>
          <w:rFonts w:ascii="Arial" w:hAnsi="Arial"/>
          <w:sz w:val="22"/>
        </w:rPr>
        <w:t>Availability Zone: La VM se despliega en zona de disponibilidad (SLA 99.99% de computo)</w:t>
      </w:r>
    </w:p>
    <w:p>
      <w:pPr>
        <w:pStyle w:val="ListBullet"/>
        <w:spacing w:before="40" w:after="40"/>
      </w:pPr>
      <w:r>
        <w:rPr>
          <w:rFonts w:ascii="Arial" w:hAnsi="Arial"/>
          <w:sz w:val="22"/>
        </w:rPr>
        <w:t>Backup automatizado: Politicas de respaldo diario, retencion 30 dias, prueba de restauracion mensual</w:t>
      </w:r>
    </w:p>
    <w:p>
      <w:pPr>
        <w:pStyle w:val="ListBullet"/>
        <w:spacing w:before="40" w:after="40"/>
      </w:pPr>
      <w:r>
        <w:rPr>
          <w:rFonts w:ascii="Arial" w:hAnsi="Arial"/>
          <w:sz w:val="22"/>
        </w:rPr>
        <w:t>Discos Premium SSD: IOPS garantizadas, menor latencia, resiliencia incorporada</w:t>
      </w:r>
    </w:p>
    <w:p>
      <w:pPr>
        <w:pStyle w:val="ListBullet"/>
        <w:spacing w:before="40" w:after="40"/>
      </w:pPr>
      <w:r>
        <w:rPr>
          <w:rFonts w:ascii="Arial" w:hAnsi="Arial"/>
          <w:sz w:val="22"/>
        </w:rPr>
        <w:t>Failover de region: Replicacion a region secundaria via GRS (Geo-redundant Storage)</w:t>
      </w:r>
    </w:p>
    <w:p>
      <w:pPr>
        <w:spacing w:before="240" w:after="80"/>
      </w:pPr>
      <w:r>
        <w:rPr>
          <w:rFonts w:ascii="Arial" w:hAnsi="Arial"/>
          <w:b/>
          <w:color w:val="2E75B6"/>
          <w:sz w:val="26"/>
        </w:rPr>
        <w:t>3.4 Seguridad y Cumplimiento</w:t>
      </w:r>
    </w:p>
    <w:p>
      <w:pPr>
        <w:pStyle w:val="ListBullet"/>
        <w:spacing w:before="40" w:after="40"/>
      </w:pPr>
      <w:r>
        <w:rPr>
          <w:rFonts w:ascii="Arial" w:hAnsi="Arial"/>
          <w:sz w:val="22"/>
        </w:rPr>
        <w:t>NSG (Network Security Groups): Reglas de entrada/salida restrictivas, principio de minimo privilegio</w:t>
      </w:r>
    </w:p>
    <w:p>
      <w:pPr>
        <w:pStyle w:val="ListBullet"/>
        <w:spacing w:before="40" w:after="40"/>
      </w:pPr>
      <w:r>
        <w:rPr>
          <w:rFonts w:ascii="Arial" w:hAnsi="Arial"/>
          <w:sz w:val="22"/>
        </w:rPr>
        <w:t>Microsoft Entra ID P2: Gestion centralizada, RBAC, revisiones de acceso y PIM</w:t>
      </w:r>
    </w:p>
    <w:p>
      <w:pPr>
        <w:pStyle w:val="ListBullet"/>
        <w:spacing w:before="40" w:after="40"/>
      </w:pPr>
      <w:r>
        <w:rPr>
          <w:rFonts w:ascii="Arial" w:hAnsi="Arial"/>
          <w:sz w:val="22"/>
        </w:rPr>
        <w:t>MFA obligatorio: Autenticacion multifactor activada para el 100% de los usuarios desde dia 1</w:t>
      </w:r>
    </w:p>
    <w:p>
      <w:pPr>
        <w:pStyle w:val="ListBullet"/>
        <w:spacing w:before="40" w:after="40"/>
      </w:pPr>
      <w:r>
        <w:rPr>
          <w:rFonts w:ascii="Arial" w:hAnsi="Arial"/>
          <w:sz w:val="22"/>
        </w:rPr>
        <w:t>Acceso Condicional: Bloqueo de acceso desde ubicaciones no autorizadas o dispositivos no conformes</w:t>
      </w:r>
    </w:p>
    <w:p>
      <w:pPr>
        <w:pStyle w:val="ListBullet"/>
        <w:spacing w:before="40" w:after="40"/>
      </w:pPr>
      <w:r>
        <w:rPr>
          <w:rFonts w:ascii="Arial" w:hAnsi="Arial"/>
          <w:sz w:val="22"/>
        </w:rPr>
        <w:t>Defender for Cloud: Evaluacion continua de postura de seguridad, alertas de amenazas</w:t>
      </w:r>
    </w:p>
    <w:p>
      <w:pPr>
        <w:pStyle w:val="ListBullet"/>
        <w:spacing w:before="40" w:after="40"/>
      </w:pPr>
      <w:r>
        <w:rPr>
          <w:rFonts w:ascii="Arial" w:hAnsi="Arial"/>
          <w:sz w:val="22"/>
        </w:rPr>
        <w:t>Cifrado en reposo: Azure Disk Encryption (ADE) en todos los discos</w:t>
      </w:r>
    </w:p>
    <w:p>
      <w:pPr>
        <w:spacing w:before="360" w:after="160"/>
        <w:pBdr>
          <w:bottom w:val="single" w:sz="6" w:space="1" w:color="2E75B6"/>
        </w:pBdr>
      </w:pPr>
      <w:r>
        <w:rPr>
          <w:rFonts w:ascii="Arial" w:hAnsi="Arial"/>
          <w:b/>
          <w:color w:val="1F4E79"/>
          <w:sz w:val="32"/>
        </w:rPr>
        <w:t>4. Alcances del Proyecto</w:t>
      </w:r>
    </w:p>
    <w:p>
      <w:pPr>
        <w:spacing w:before="240" w:after="80"/>
      </w:pPr>
      <w:r>
        <w:rPr>
          <w:rFonts w:ascii="Arial" w:hAnsi="Arial"/>
          <w:b/>
          <w:color w:val="2E75B6"/>
          <w:sz w:val="26"/>
        </w:rPr>
        <w:t>4.1 Dentro del Alcance</w:t>
      </w:r>
    </w:p>
    <w:p>
      <w:pPr>
        <w:pStyle w:val="ListBullet"/>
        <w:spacing w:before="40" w:after="40"/>
      </w:pPr>
      <w:r>
        <w:rPr>
          <w:rFonts w:ascii="Arial" w:hAnsi="Arial"/>
          <w:b/>
          <w:sz w:val="22"/>
        </w:rPr>
        <w:t>Diseno y aprovisionamiento de la arquitectura Azure IaaS</w:t>
      </w:r>
      <w:r>
        <w:rPr>
          <w:rFonts w:ascii="Arial" w:hAnsi="Arial"/>
          <w:sz w:val="22"/>
        </w:rPr>
        <w:t xml:space="preserve"> completa conforme a especificaciones relevadas</w:t>
      </w:r>
    </w:p>
    <w:p>
      <w:pPr>
        <w:pStyle w:val="ListBullet"/>
        <w:spacing w:before="40" w:after="40"/>
      </w:pPr>
      <w:r>
        <w:rPr>
          <w:rFonts w:ascii="Arial" w:hAnsi="Arial"/>
          <w:b/>
          <w:sz w:val="22"/>
        </w:rPr>
        <w:t>Configuracion de Virtual Network,</w:t>
      </w:r>
      <w:r>
        <w:rPr>
          <w:rFonts w:ascii="Arial" w:hAnsi="Arial"/>
          <w:sz w:val="22"/>
        </w:rPr>
        <w:t xml:space="preserve"> subredes, NSG y enrutamiento</w:t>
      </w:r>
    </w:p>
    <w:p>
      <w:pPr>
        <w:pStyle w:val="ListBullet"/>
        <w:spacing w:before="40" w:after="40"/>
      </w:pPr>
      <w:r>
        <w:rPr>
          <w:rFonts w:ascii="Arial" w:hAnsi="Arial"/>
          <w:b/>
          <w:sz w:val="22"/>
        </w:rPr>
        <w:t>Implementacion de VPN Gateway</w:t>
      </w:r>
      <w:r>
        <w:rPr>
          <w:rFonts w:ascii="Arial" w:hAnsi="Arial"/>
          <w:sz w:val="22"/>
        </w:rPr>
        <w:t xml:space="preserve"> Site-to-Site para usuarios locales y Point-to-Site para remotos</w:t>
      </w:r>
    </w:p>
    <w:p>
      <w:pPr>
        <w:pStyle w:val="ListBullet"/>
        <w:spacing w:before="40" w:after="40"/>
      </w:pPr>
      <w:r>
        <w:rPr>
          <w:rFonts w:ascii="Arial" w:hAnsi="Arial"/>
          <w:b/>
          <w:sz w:val="22"/>
        </w:rPr>
        <w:t>Despliegue de la VM</w:t>
      </w:r>
      <w:r>
        <w:rPr>
          <w:rFonts w:ascii="Arial" w:hAnsi="Arial"/>
          <w:sz w:val="22"/>
        </w:rPr>
        <w:t xml:space="preserve"> incluyendo OS, discos y configuracion de red</w:t>
      </w:r>
    </w:p>
    <w:p>
      <w:pPr>
        <w:pStyle w:val="ListBullet"/>
        <w:spacing w:before="40" w:after="40"/>
      </w:pPr>
      <w:r>
        <w:rPr>
          <w:rFonts w:ascii="Arial" w:hAnsi="Arial"/>
          <w:b/>
          <w:sz w:val="22"/>
        </w:rPr>
        <w:t>Configuracion de Microsoft Entra ID P2</w:t>
      </w:r>
      <w:r>
        <w:rPr>
          <w:rFonts w:ascii="Arial" w:hAnsi="Arial"/>
          <w:sz w:val="22"/>
        </w:rPr>
        <w:t xml:space="preserve"> onboarding de hasta 100 usuarios, grupos y roles RBAC</w:t>
      </w:r>
    </w:p>
    <w:p>
      <w:pPr>
        <w:pStyle w:val="ListBullet"/>
        <w:spacing w:before="40" w:after="40"/>
      </w:pPr>
      <w:r>
        <w:rPr>
          <w:rFonts w:ascii="Arial" w:hAnsi="Arial"/>
          <w:b/>
          <w:sz w:val="22"/>
        </w:rPr>
        <w:t>Habilitacion de MFA y Acceso Condicional</w:t>
      </w:r>
      <w:r>
        <w:rPr>
          <w:rFonts w:ascii="Arial" w:hAnsi="Arial"/>
          <w:sz w:val="22"/>
        </w:rPr>
        <w:t xml:space="preserve"> para todos los usuarios</w:t>
      </w:r>
    </w:p>
    <w:p>
      <w:pPr>
        <w:pStyle w:val="ListBullet"/>
        <w:spacing w:before="40" w:after="40"/>
      </w:pPr>
      <w:r>
        <w:rPr>
          <w:rFonts w:ascii="Arial" w:hAnsi="Arial"/>
          <w:b/>
          <w:sz w:val="22"/>
        </w:rPr>
        <w:t>Configuracion de Azure Backup</w:t>
      </w:r>
      <w:r>
        <w:rPr>
          <w:rFonts w:ascii="Arial" w:hAnsi="Arial"/>
          <w:sz w:val="22"/>
        </w:rPr>
        <w:t xml:space="preserve"> politicas y prueba de restauracion validada</w:t>
      </w:r>
    </w:p>
    <w:p>
      <w:pPr>
        <w:pStyle w:val="ListBullet"/>
        <w:spacing w:before="40" w:after="40"/>
      </w:pPr>
      <w:r>
        <w:rPr>
          <w:rFonts w:ascii="Arial" w:hAnsi="Arial"/>
          <w:b/>
          <w:sz w:val="22"/>
        </w:rPr>
        <w:t>Implementacion de Azure Monitor</w:t>
      </w:r>
      <w:r>
        <w:rPr>
          <w:rFonts w:ascii="Arial" w:hAnsi="Arial"/>
          <w:sz w:val="22"/>
        </w:rPr>
        <w:t xml:space="preserve"> dashboards, alertas criticas y Log Analytics</w:t>
      </w:r>
    </w:p>
    <w:p>
      <w:pPr>
        <w:pStyle w:val="ListBullet"/>
        <w:spacing w:before="40" w:after="40"/>
      </w:pPr>
      <w:r>
        <w:rPr>
          <w:rFonts w:ascii="Arial" w:hAnsi="Arial"/>
          <w:b/>
          <w:sz w:val="22"/>
        </w:rPr>
        <w:t>Migracion de datos</w:t>
      </w:r>
      <w:r>
        <w:rPr>
          <w:rFonts w:ascii="Arial" w:hAnsi="Arial"/>
          <w:sz w:val="22"/>
        </w:rPr>
        <w:t xml:space="preserve"> desde el entorno actual (volumen: hasta 2.5 TB)</w:t>
      </w:r>
    </w:p>
    <w:p>
      <w:pPr>
        <w:pStyle w:val="ListBullet"/>
        <w:spacing w:before="40" w:after="40"/>
      </w:pPr>
      <w:r>
        <w:rPr>
          <w:rFonts w:ascii="Arial" w:hAnsi="Arial"/>
          <w:b/>
          <w:sz w:val="22"/>
        </w:rPr>
        <w:t>Hardening de seguridad</w:t>
      </w:r>
      <w:r>
        <w:rPr>
          <w:rFonts w:ascii="Arial" w:hAnsi="Arial"/>
          <w:sz w:val="22"/>
        </w:rPr>
        <w:t xml:space="preserve"> de la VM conforme a Azure Security Benchmark</w:t>
      </w:r>
    </w:p>
    <w:p>
      <w:pPr>
        <w:pStyle w:val="ListBullet"/>
        <w:spacing w:before="40" w:after="40"/>
      </w:pPr>
      <w:r>
        <w:rPr>
          <w:rFonts w:ascii="Arial" w:hAnsi="Arial"/>
          <w:b/>
          <w:sz w:val="22"/>
        </w:rPr>
        <w:t>Documentacion tecnica</w:t>
      </w:r>
      <w:r>
        <w:rPr>
          <w:rFonts w:ascii="Arial" w:hAnsi="Arial"/>
          <w:sz w:val="22"/>
        </w:rPr>
        <w:t xml:space="preserve"> arquitectura, runbooks, credenciales y procedimientos</w:t>
      </w:r>
    </w:p>
    <w:p>
      <w:pPr>
        <w:pStyle w:val="ListBullet"/>
        <w:spacing w:before="40" w:after="40"/>
      </w:pPr>
      <w:r>
        <w:rPr>
          <w:rFonts w:ascii="Arial" w:hAnsi="Arial"/>
          <w:b/>
          <w:sz w:val="22"/>
        </w:rPr>
        <w:t>Capacitacion al equipo de TI del cliente</w:t>
      </w:r>
      <w:r>
        <w:rPr>
          <w:rFonts w:ascii="Arial" w:hAnsi="Arial"/>
          <w:sz w:val="22"/>
        </w:rPr>
        <w:t xml:space="preserve"> 2 sesiones de 4 horas</w:t>
      </w:r>
    </w:p>
    <w:p>
      <w:pPr>
        <w:spacing w:before="240" w:after="80"/>
      </w:pPr>
      <w:r>
        <w:rPr>
          <w:rFonts w:ascii="Arial" w:hAnsi="Arial"/>
          <w:b/>
          <w:color w:val="2E75B6"/>
          <w:sz w:val="26"/>
        </w:rPr>
        <w:t>4.2 Fuera del Alcance</w:t>
      </w:r>
    </w:p>
    <w:p>
      <w:pPr>
        <w:pStyle w:val="ListBullet"/>
        <w:spacing w:before="40" w:after="40"/>
      </w:pPr>
      <w:r>
        <w:rPr>
          <w:rFonts w:ascii="Arial" w:hAnsi="Arial"/>
          <w:sz w:val="22"/>
        </w:rPr>
        <w:t>Desarrollo o modificacion de aplicaciones que corren dentro de la VM</w:t>
      </w:r>
    </w:p>
    <w:p>
      <w:pPr>
        <w:pStyle w:val="ListBullet"/>
        <w:spacing w:before="40" w:after="40"/>
      </w:pPr>
      <w:r>
        <w:rPr>
          <w:rFonts w:ascii="Arial" w:hAnsi="Arial"/>
          <w:sz w:val="22"/>
        </w:rPr>
        <w:t>Licenciamiento del sistema operativo invitado si aplica</w:t>
      </w:r>
    </w:p>
    <w:p>
      <w:pPr>
        <w:pStyle w:val="ListBullet"/>
        <w:spacing w:before="40" w:after="40"/>
      </w:pPr>
      <w:r>
        <w:rPr>
          <w:rFonts w:ascii="Arial" w:hAnsi="Arial"/>
          <w:sz w:val="22"/>
        </w:rPr>
        <w:t>Migracion de servicios de correo electronico u otros SaaS externos</w:t>
      </w:r>
    </w:p>
    <w:p>
      <w:pPr>
        <w:pStyle w:val="ListBullet"/>
        <w:spacing w:before="40" w:after="40"/>
      </w:pPr>
      <w:r>
        <w:rPr>
          <w:rFonts w:ascii="Arial" w:hAnsi="Arial"/>
          <w:sz w:val="22"/>
        </w:rPr>
        <w:t>Configuracion de dispositivos fisicos de red en instalaciones del cliente</w:t>
      </w:r>
    </w:p>
    <w:p>
      <w:pPr>
        <w:pStyle w:val="ListBullet"/>
        <w:spacing w:before="40" w:after="40"/>
      </w:pPr>
      <w:r>
        <w:rPr>
          <w:rFonts w:ascii="Arial" w:hAnsi="Arial"/>
          <w:sz w:val="22"/>
        </w:rPr>
        <w:t>Soporte operativo post-go-live mas alla del periodo de hypercare (2 semanas)</w:t>
      </w:r>
    </w:p>
    <w:p>
      <w:pPr>
        <w:pStyle w:val="ListBullet"/>
        <w:spacing w:before="40" w:after="40"/>
      </w:pPr>
      <w:r>
        <w:rPr>
          <w:rFonts w:ascii="Arial" w:hAnsi="Arial"/>
          <w:sz w:val="22"/>
        </w:rPr>
        <w:t>Implementacion de DR activo-activo o Multi-Region activo</w:t>
      </w:r>
    </w:p>
    <w:p>
      <w:pPr>
        <w:pStyle w:val="ListBullet"/>
        <w:spacing w:before="40" w:after="40"/>
      </w:pPr>
      <w:r>
        <w:rPr>
          <w:rFonts w:ascii="Arial" w:hAnsi="Arial"/>
          <w:sz w:val="22"/>
        </w:rPr>
        <w:t>Auditorias de cumplimiento normativo mas alla de recomendaciones de Defender for Cloud</w:t>
      </w:r>
    </w:p>
    <w:p>
      <w:pPr>
        <w:spacing w:before="360" w:after="160"/>
        <w:pBdr>
          <w:bottom w:val="single" w:sz="6" w:space="1" w:color="2E75B6"/>
        </w:pBdr>
      </w:pPr>
      <w:r>
        <w:rPr>
          <w:rFonts w:ascii="Arial" w:hAnsi="Arial"/>
          <w:b/>
          <w:color w:val="1F4E79"/>
          <w:sz w:val="32"/>
        </w:rPr>
        <w:t>5. Requerimientos Tecnicos</w:t>
      </w:r>
    </w:p>
    <w:p>
      <w:pPr>
        <w:spacing w:before="240" w:after="80"/>
      </w:pPr>
      <w:r>
        <w:rPr>
          <w:rFonts w:ascii="Arial" w:hAnsi="Arial"/>
          <w:b/>
          <w:color w:val="2E75B6"/>
          <w:sz w:val="26"/>
        </w:rPr>
        <w:t>5.1 Del Entorno Azure</w:t>
      </w:r>
    </w:p>
    <w:p>
      <w:pPr>
        <w:pStyle w:val="ListBullet"/>
        <w:spacing w:before="40" w:after="40"/>
      </w:pPr>
      <w:r>
        <w:rPr>
          <w:rFonts w:ascii="Arial" w:hAnsi="Arial"/>
          <w:sz w:val="22"/>
        </w:rPr>
        <w:t>Suscripcion Azure activa con credito suficiente o metodo de pago configurado</w:t>
      </w:r>
    </w:p>
    <w:p>
      <w:pPr>
        <w:pStyle w:val="ListBullet"/>
        <w:spacing w:before="40" w:after="40"/>
      </w:pPr>
      <w:r>
        <w:rPr>
          <w:rFonts w:ascii="Arial" w:hAnsi="Arial"/>
          <w:sz w:val="22"/>
        </w:rPr>
        <w:t>Acceso de Owner o Contributor al tenant de Azure del cliente</w:t>
      </w:r>
    </w:p>
    <w:p>
      <w:pPr>
        <w:pStyle w:val="ListBullet"/>
        <w:spacing w:before="40" w:after="40"/>
      </w:pPr>
      <w:r>
        <w:rPr>
          <w:rFonts w:ascii="Arial" w:hAnsi="Arial"/>
          <w:sz w:val="22"/>
        </w:rPr>
        <w:t>Tenant de Microsoft Entra ID (Azure Active Directory) activo</w:t>
      </w:r>
    </w:p>
    <w:p>
      <w:pPr>
        <w:pStyle w:val="ListBullet"/>
        <w:spacing w:before="40" w:after="40"/>
      </w:pPr>
      <w:r>
        <w:rPr>
          <w:rFonts w:ascii="Arial" w:hAnsi="Arial"/>
          <w:sz w:val="22"/>
        </w:rPr>
        <w:t>Quota de vCPUs suficiente para Standard D32s v3 en la region seleccionada</w:t>
      </w:r>
    </w:p>
    <w:p>
      <w:pPr>
        <w:spacing w:before="240" w:after="80"/>
      </w:pPr>
      <w:r>
        <w:rPr>
          <w:rFonts w:ascii="Arial" w:hAnsi="Arial"/>
          <w:b/>
          <w:color w:val="2E75B6"/>
          <w:sz w:val="26"/>
        </w:rPr>
        <w:t>5.2 Del Entorno On-Premises</w:t>
      </w:r>
    </w:p>
    <w:p>
      <w:pPr>
        <w:pStyle w:val="ListBullet"/>
        <w:spacing w:before="40" w:after="40"/>
      </w:pPr>
      <w:r>
        <w:rPr>
          <w:rFonts w:ascii="Arial" w:hAnsi="Arial"/>
          <w:sz w:val="22"/>
        </w:rPr>
        <w:t>Dispositivo VPN compatible con IKEv2 o SSTP en instalaciones del cliente para conexion S2S</w:t>
      </w:r>
    </w:p>
    <w:p>
      <w:pPr>
        <w:pStyle w:val="ListBullet"/>
        <w:spacing w:before="40" w:after="40"/>
      </w:pPr>
      <w:r>
        <w:rPr>
          <w:rFonts w:ascii="Arial" w:hAnsi="Arial"/>
          <w:sz w:val="22"/>
        </w:rPr>
        <w:t>Direccion IP publica estatica en el sitio del cliente para la VPN Site-to-Site</w:t>
      </w:r>
    </w:p>
    <w:p>
      <w:pPr>
        <w:pStyle w:val="ListBullet"/>
        <w:spacing w:before="40" w:after="40"/>
      </w:pPr>
      <w:r>
        <w:rPr>
          <w:rFonts w:ascii="Arial" w:hAnsi="Arial"/>
          <w:sz w:val="22"/>
        </w:rPr>
        <w:t>Ancho de banda minimo de 20 Mbps dedicados para la VPN</w:t>
      </w:r>
    </w:p>
    <w:p>
      <w:pPr>
        <w:pStyle w:val="ListBullet"/>
        <w:spacing w:before="40" w:after="40"/>
      </w:pPr>
      <w:r>
        <w:rPr>
          <w:rFonts w:ascii="Arial" w:hAnsi="Arial"/>
          <w:sz w:val="22"/>
        </w:rPr>
        <w:t>Inventario completo de aplicaciones y dependencias instaladas en la VM a migrar</w:t>
      </w:r>
    </w:p>
    <w:p>
      <w:pPr>
        <w:spacing w:before="240" w:after="80"/>
      </w:pPr>
      <w:r>
        <w:rPr>
          <w:rFonts w:ascii="Arial" w:hAnsi="Arial"/>
          <w:b/>
          <w:color w:val="2E75B6"/>
          <w:sz w:val="26"/>
        </w:rPr>
        <w:t>5.3 De Usuarios Remotos</w:t>
      </w:r>
    </w:p>
    <w:p>
      <w:pPr>
        <w:pStyle w:val="ListBullet"/>
        <w:spacing w:before="40" w:after="40"/>
      </w:pPr>
      <w:r>
        <w:rPr>
          <w:rFonts w:ascii="Arial" w:hAnsi="Arial"/>
          <w:sz w:val="22"/>
        </w:rPr>
        <w:t>Dispositivos con soporte para cliente VPN de Azure (Windows 10/11, macOS 11+, iOS 14+, Android 6+)</w:t>
      </w:r>
    </w:p>
    <w:p>
      <w:pPr>
        <w:pStyle w:val="ListBullet"/>
        <w:spacing w:before="40" w:after="40"/>
      </w:pPr>
      <w:r>
        <w:rPr>
          <w:rFonts w:ascii="Arial" w:hAnsi="Arial"/>
          <w:sz w:val="22"/>
        </w:rPr>
        <w:t>Dispositivos con soporte para Microsoft Authenticator (para MFA)</w:t>
      </w:r>
    </w:p>
    <w:p>
      <w:pPr>
        <w:pStyle w:val="ListBullet"/>
        <w:spacing w:before="40" w:after="40"/>
      </w:pPr>
      <w:r>
        <w:rPr>
          <w:rFonts w:ascii="Arial" w:hAnsi="Arial"/>
          <w:sz w:val="22"/>
        </w:rPr>
        <w:t>Conexion a internet estable de al menos 5 Mbps por usuario remoto</w:t>
      </w:r>
    </w:p>
    <w:p>
      <w:pPr>
        <w:spacing w:before="360" w:after="160"/>
        <w:pBdr>
          <w:bottom w:val="single" w:sz="6" w:space="1" w:color="2E75B6"/>
        </w:pBdr>
      </w:pPr>
      <w:r>
        <w:rPr>
          <w:rFonts w:ascii="Arial" w:hAnsi="Arial"/>
          <w:b/>
          <w:color w:val="1F4E79"/>
          <w:sz w:val="32"/>
        </w:rPr>
        <w:t>6. Requerimientos de Equipo (Capital Humano)</w:t>
      </w:r>
    </w:p>
    <w:p>
      <w:pPr>
        <w:spacing w:before="60" w:after="60"/>
      </w:pPr>
      <w:r>
        <w:rPr>
          <w:rFonts w:ascii="Arial" w:hAnsi="Arial"/>
          <w:b w:val="0"/>
          <w:i w:val="0"/>
          <w:sz w:val="22"/>
        </w:rPr>
        <w:t>El exito del proyecto requiere la participacion coordinada de los siguientes perfiles:</w:t>
      </w:r>
    </w:p>
    <w:p>
      <w:pPr>
        <w:spacing w:before="40" w:after="40"/>
      </w:pPr>
    </w:p>
    <w:tbl>
      <w:tblPr>
        <w:tblStyle w:val="TableGrid"/>
        <w:tblW w:type="auto" w:w="0"/>
        <w:jc w:val="left"/>
        <w:tblLook w:firstColumn="1" w:firstRow="1" w:lastColumn="0" w:lastRow="0" w:noHBand="0" w:noVBand="1" w:val="04A0"/>
      </w:tblPr>
      <w:tblGrid>
        <w:gridCol w:w="2551"/>
        <w:gridCol w:w="2268"/>
        <w:gridCol w:w="4252"/>
      </w:tblGrid>
      <w:tr>
        <w:tc>
          <w:tcPr>
            <w:tcW w:type="dxa" w:w="2551"/>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left"/>
            </w:pPr>
            <w:r>
              <w:rPr>
                <w:rFonts w:ascii="Arial" w:hAnsi="Arial"/>
                <w:b/>
                <w:color w:val="FFFFFF"/>
                <w:sz w:val="20"/>
              </w:rPr>
              <w:t>Rol</w:t>
            </w:r>
          </w:p>
        </w:tc>
        <w:tc>
          <w:tcPr>
            <w:tcW w:type="dxa" w:w="2268"/>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left"/>
            </w:pPr>
            <w:r>
              <w:rPr>
                <w:rFonts w:ascii="Arial" w:hAnsi="Arial"/>
                <w:b/>
                <w:color w:val="FFFFFF"/>
                <w:sz w:val="20"/>
              </w:rPr>
              <w:t>Dedicacion</w:t>
            </w:r>
          </w:p>
        </w:tc>
        <w:tc>
          <w:tcPr>
            <w:tcW w:type="dxa" w:w="4252"/>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left"/>
            </w:pPr>
            <w:r>
              <w:rPr>
                <w:rFonts w:ascii="Arial" w:hAnsi="Arial"/>
                <w:b/>
                <w:color w:val="FFFFFF"/>
                <w:sz w:val="20"/>
              </w:rPr>
              <w:t>Responsabilidades</w:t>
            </w:r>
          </w:p>
        </w:tc>
      </w:tr>
      <w:tr>
        <w:tc>
          <w:tcPr>
            <w:tcW w:type="dxa" w:w="2551"/>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Arquitecto Azure (Proveedor)</w:t>
            </w:r>
          </w:p>
        </w:tc>
        <w:tc>
          <w:tcPr>
            <w:tcW w:type="dxa" w:w="2268"/>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Tiempo completo Fases 1-3</w:t>
            </w:r>
          </w:p>
        </w:tc>
        <w:tc>
          <w:tcPr>
            <w:tcW w:type="dxa" w:w="4252"/>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Diseno de arquitectura, supervision tecnica, definicion de politicas de seguridad y HA</w:t>
            </w:r>
          </w:p>
        </w:tc>
      </w:tr>
      <w:tr>
        <w:tc>
          <w:tcPr>
            <w:tcW w:type="dxa" w:w="2551"/>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Ingeniero Cloud/DevOps (Proveedor)</w:t>
            </w:r>
          </w:p>
        </w:tc>
        <w:tc>
          <w:tcPr>
            <w:tcW w:type="dxa" w:w="2268"/>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Tiempo completo Fases 2-5</w:t>
            </w:r>
          </w:p>
        </w:tc>
        <w:tc>
          <w:tcPr>
            <w:tcW w:type="dxa" w:w="4252"/>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Despliegue de infraestructura, automatizacion, VPN/redes, hardening de VM</w:t>
            </w:r>
          </w:p>
        </w:tc>
      </w:tr>
      <w:tr>
        <w:tc>
          <w:tcPr>
            <w:tcW w:type="dxa" w:w="2551"/>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Especialista de Identidad (Prov.)</w:t>
            </w:r>
          </w:p>
        </w:tc>
        <w:tc>
          <w:tcPr>
            <w:tcW w:type="dxa" w:w="2268"/>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Part-time Fase 2</w:t>
            </w:r>
          </w:p>
        </w:tc>
        <w:tc>
          <w:tcPr>
            <w:tcW w:type="dxa" w:w="4252"/>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Configuracion Entra ID, MFA, Acceso Condicional, onboarding de usuarios</w:t>
            </w:r>
          </w:p>
        </w:tc>
      </w:tr>
      <w:tr>
        <w:tc>
          <w:tcPr>
            <w:tcW w:type="dxa" w:w="2551"/>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Project Manager (Proveedor)</w:t>
            </w:r>
          </w:p>
        </w:tc>
        <w:tc>
          <w:tcPr>
            <w:tcW w:type="dxa" w:w="2268"/>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Part-time - Todas las fases</w:t>
            </w:r>
          </w:p>
        </w:tc>
        <w:tc>
          <w:tcPr>
            <w:tcW w:type="dxa" w:w="4252"/>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Coordinacion, seguimiento de hitos, gestion de riesgos, comunicacion con cliente</w:t>
            </w:r>
          </w:p>
        </w:tc>
      </w:tr>
      <w:tr>
        <w:tc>
          <w:tcPr>
            <w:tcW w:type="dxa" w:w="2551"/>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Administrador TI (Cliente)</w:t>
            </w:r>
          </w:p>
        </w:tc>
        <w:tc>
          <w:tcPr>
            <w:tcW w:type="dxa" w:w="2268"/>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Part-time Fases 3-5</w:t>
            </w:r>
          </w:p>
        </w:tc>
        <w:tc>
          <w:tcPr>
            <w:tcW w:type="dxa" w:w="4252"/>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Punto de contacto tecnico, validacion UAT, capacitacion, operacion post-proyecto</w:t>
            </w:r>
          </w:p>
        </w:tc>
      </w:tr>
      <w:tr>
        <w:tc>
          <w:tcPr>
            <w:tcW w:type="dxa" w:w="2551"/>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Responsable de Seguridad (Cliente)</w:t>
            </w:r>
          </w:p>
        </w:tc>
        <w:tc>
          <w:tcPr>
            <w:tcW w:type="dxa" w:w="2268"/>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Revision y aprobacion</w:t>
            </w:r>
          </w:p>
        </w:tc>
        <w:tc>
          <w:tcPr>
            <w:tcW w:type="dxa" w:w="4252"/>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Aprobacion de politicas de seguridad, validacion de accesos, cumplimiento normativo</w:t>
            </w:r>
          </w:p>
        </w:tc>
      </w:tr>
    </w:tbl>
    <w:p>
      <w:pPr>
        <w:spacing w:before="40" w:after="40"/>
      </w:pPr>
    </w:p>
    <w:p>
      <w:pPr>
        <w:spacing w:before="360" w:after="160"/>
        <w:pBdr>
          <w:bottom w:val="single" w:sz="6" w:space="1" w:color="2E75B6"/>
        </w:pBdr>
      </w:pPr>
      <w:r>
        <w:rPr>
          <w:rFonts w:ascii="Arial" w:hAnsi="Arial"/>
          <w:b/>
          <w:color w:val="1F4E79"/>
          <w:sz w:val="32"/>
        </w:rPr>
        <w:t>7. Supuestos del Proyecto</w:t>
      </w:r>
    </w:p>
    <w:p>
      <w:pPr>
        <w:pStyle w:val="ListBullet"/>
        <w:spacing w:before="40" w:after="40"/>
      </w:pPr>
      <w:r>
        <w:rPr>
          <w:rFonts w:ascii="Arial" w:hAnsi="Arial"/>
          <w:sz w:val="22"/>
        </w:rPr>
        <w:t>El cliente proporcionara acceso oportuno a los sistemas actuales para el relevamiento tecnico en la Semana 1.</w:t>
      </w:r>
    </w:p>
    <w:p>
      <w:pPr>
        <w:pStyle w:val="ListBullet"/>
        <w:spacing w:before="40" w:after="40"/>
      </w:pPr>
      <w:r>
        <w:rPr>
          <w:rFonts w:ascii="Arial" w:hAnsi="Arial"/>
          <w:sz w:val="22"/>
        </w:rPr>
        <w:t>La suscripcion de Azure estara activa y con permisos necesarios antes del inicio de la Fase 2.</w:t>
      </w:r>
    </w:p>
    <w:p>
      <w:pPr>
        <w:pStyle w:val="ListBullet"/>
        <w:spacing w:before="40" w:after="40"/>
      </w:pPr>
      <w:r>
        <w:rPr>
          <w:rFonts w:ascii="Arial" w:hAnsi="Arial"/>
          <w:sz w:val="22"/>
        </w:rPr>
        <w:t>El dispositivo VPN on-premises es compatible con los protocolos IKEv2/SSTP requeridos por Azure VPN Gateway.</w:t>
      </w:r>
    </w:p>
    <w:p>
      <w:pPr>
        <w:pStyle w:val="ListBullet"/>
        <w:spacing w:before="40" w:after="40"/>
      </w:pPr>
      <w:r>
        <w:rPr>
          <w:rFonts w:ascii="Arial" w:hAnsi="Arial"/>
          <w:sz w:val="22"/>
        </w:rPr>
        <w:t>El volumen total de datos a migrar no excede los 2.5 TB; datos adicionales se cotizaran por separado.</w:t>
      </w:r>
    </w:p>
    <w:p>
      <w:pPr>
        <w:pStyle w:val="ListBullet"/>
        <w:spacing w:before="40" w:after="40"/>
      </w:pPr>
      <w:r>
        <w:rPr>
          <w:rFonts w:ascii="Arial" w:hAnsi="Arial"/>
          <w:sz w:val="22"/>
        </w:rPr>
        <w:t>El cliente asignara al menos un recurso tecnico de TI disponible durante pruebas y capacitacion.</w:t>
      </w:r>
    </w:p>
    <w:p>
      <w:pPr>
        <w:pStyle w:val="ListBullet"/>
        <w:spacing w:before="40" w:after="40"/>
      </w:pPr>
      <w:r>
        <w:rPr>
          <w:rFonts w:ascii="Arial" w:hAnsi="Arial"/>
          <w:sz w:val="22"/>
        </w:rPr>
        <w:t>Las licencias de sistema operativo seran responsabilidad del cliente o se utilizara BYOL si aplica.</w:t>
      </w:r>
    </w:p>
    <w:p>
      <w:pPr>
        <w:pStyle w:val="ListBullet"/>
        <w:spacing w:before="40" w:after="40"/>
      </w:pPr>
      <w:r>
        <w:rPr>
          <w:rFonts w:ascii="Arial" w:hAnsi="Arial"/>
          <w:sz w:val="22"/>
        </w:rPr>
        <w:t>No se requiere integracion con sistemas de directorio existentes (LDAP/AD on-prem) mas alla de lo indicado.</w:t>
      </w:r>
    </w:p>
    <w:p>
      <w:pPr>
        <w:pStyle w:val="ListBullet"/>
        <w:spacing w:before="40" w:after="40"/>
      </w:pPr>
      <w:r>
        <w:rPr>
          <w:rFonts w:ascii="Arial" w:hAnsi="Arial"/>
          <w:sz w:val="22"/>
        </w:rPr>
        <w:t>Los tiempos estimados asumen disponibilidad del equipo sin interrupciones mayores.</w:t>
      </w:r>
    </w:p>
    <w:p>
      <w:pPr>
        <w:pStyle w:val="ListBullet"/>
        <w:spacing w:before="40" w:after="40"/>
      </w:pPr>
      <w:r>
        <w:rPr>
          <w:rFonts w:ascii="Arial" w:hAnsi="Arial"/>
          <w:sz w:val="22"/>
        </w:rPr>
        <w:t>Tipo de cambio USD/MXN utilizado: $17.00 MXN por dolar (referencial; validar al momento de contratar).</w:t>
      </w:r>
    </w:p>
    <w:p>
      <w:pPr>
        <w:spacing w:before="360" w:after="160"/>
        <w:pBdr>
          <w:bottom w:val="single" w:sz="6" w:space="1" w:color="2E75B6"/>
        </w:pBdr>
      </w:pPr>
      <w:r>
        <w:rPr>
          <w:rFonts w:ascii="Arial" w:hAnsi="Arial"/>
          <w:b/>
          <w:color w:val="1F4E79"/>
          <w:sz w:val="32"/>
        </w:rPr>
        <w:t>8. Cronograma del Proyecto</w:t>
      </w:r>
    </w:p>
    <w:p>
      <w:pPr>
        <w:spacing w:before="60" w:after="60"/>
      </w:pPr>
      <w:r>
        <w:rPr>
          <w:rFonts w:ascii="Arial" w:hAnsi="Arial"/>
          <w:b w:val="0"/>
          <w:i w:val="0"/>
          <w:sz w:val="22"/>
        </w:rPr>
        <w:t>El proyecto se estructura en 5 fases con duracion total estimada de 10 semanas (~2.5 meses):</w:t>
      </w:r>
    </w:p>
    <w:p>
      <w:pPr>
        <w:spacing w:before="40" w:after="40"/>
      </w:pPr>
    </w:p>
    <w:tbl>
      <w:tblPr>
        <w:tblStyle w:val="TableGrid"/>
        <w:tblW w:type="auto" w:w="0"/>
        <w:jc w:val="left"/>
        <w:tblLook w:firstColumn="1" w:firstRow="1" w:lastColumn="0" w:lastRow="0" w:noHBand="0" w:noVBand="1" w:val="04A0"/>
      </w:tblPr>
      <w:tblGrid>
        <w:gridCol w:w="1417"/>
        <w:gridCol w:w="3685"/>
        <w:gridCol w:w="3118"/>
        <w:gridCol w:w="850"/>
      </w:tblGrid>
      <w:tr>
        <w:tc>
          <w:tcPr>
            <w:tcW w:type="dxa" w:w="1417"/>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left"/>
            </w:pPr>
            <w:r>
              <w:rPr>
                <w:rFonts w:ascii="Arial" w:hAnsi="Arial"/>
                <w:b/>
                <w:color w:val="FFFFFF"/>
                <w:sz w:val="20"/>
              </w:rPr>
              <w:t>Fase</w:t>
            </w:r>
          </w:p>
        </w:tc>
        <w:tc>
          <w:tcPr>
            <w:tcW w:type="dxa" w:w="3685"/>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left"/>
            </w:pPr>
            <w:r>
              <w:rPr>
                <w:rFonts w:ascii="Arial" w:hAnsi="Arial"/>
                <w:b/>
                <w:color w:val="FFFFFF"/>
                <w:sz w:val="20"/>
              </w:rPr>
              <w:t>Actividades</w:t>
            </w:r>
          </w:p>
        </w:tc>
        <w:tc>
          <w:tcPr>
            <w:tcW w:type="dxa" w:w="3118"/>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left"/>
            </w:pPr>
            <w:r>
              <w:rPr>
                <w:rFonts w:ascii="Arial" w:hAnsi="Arial"/>
                <w:b/>
                <w:color w:val="FFFFFF"/>
                <w:sz w:val="20"/>
              </w:rPr>
              <w:t>Entregables</w:t>
            </w:r>
          </w:p>
        </w:tc>
        <w:tc>
          <w:tcPr>
            <w:tcW w:type="dxa" w:w="850"/>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left"/>
            </w:pPr>
            <w:r>
              <w:rPr>
                <w:rFonts w:ascii="Arial" w:hAnsi="Arial"/>
                <w:b/>
                <w:color w:val="FFFFFF"/>
                <w:sz w:val="20"/>
              </w:rPr>
              <w:t>Dur.</w:t>
            </w:r>
          </w:p>
        </w:tc>
      </w:tr>
      <w:tr>
        <w:tc>
          <w:tcPr>
            <w:tcW w:type="dxa" w:w="1417"/>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Fase 1</w:t>
              <w:br/>
              <w:t>Sem 1-2</w:t>
            </w:r>
          </w:p>
        </w:tc>
        <w:tc>
          <w:tcPr>
            <w:tcW w:type="dxa" w:w="3685"/>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Kick-off, relevamiento tecnico, diseno de arquitectura, aprovisionamiento de suscripcion Azure, naming conventions y RBAC</w:t>
            </w:r>
          </w:p>
        </w:tc>
        <w:tc>
          <w:tcPr>
            <w:tcW w:type="dxa" w:w="3118"/>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Doc. de diseno, suscripcion activa, grupos y tags aplicados</w:t>
            </w:r>
          </w:p>
        </w:tc>
        <w:tc>
          <w:tcPr>
            <w:tcW w:type="dxa" w:w="850"/>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Sem 1-2</w:t>
            </w:r>
          </w:p>
        </w:tc>
      </w:tr>
      <w:tr>
        <w:tc>
          <w:tcPr>
            <w:tcW w:type="dxa" w:w="1417"/>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Fase 2</w:t>
              <w:br/>
              <w:t>Sem 3-4</w:t>
            </w:r>
          </w:p>
        </w:tc>
        <w:tc>
          <w:tcPr>
            <w:tcW w:type="dxa" w:w="3685"/>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Creacion de VNet/subredes, NSG, VPN Gateway (S2S y P2S), pruebas de conectividad, Entra ID, MFA y Acceso Condicional</w:t>
            </w:r>
          </w:p>
        </w:tc>
        <w:tc>
          <w:tcPr>
            <w:tcW w:type="dxa" w:w="3118"/>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VNet y VPN funcionales, MFA activo, usuarios de prueba validados</w:t>
            </w:r>
          </w:p>
        </w:tc>
        <w:tc>
          <w:tcPr>
            <w:tcW w:type="dxa" w:w="850"/>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Sem 3-4</w:t>
            </w:r>
          </w:p>
        </w:tc>
      </w:tr>
      <w:tr>
        <w:tc>
          <w:tcPr>
            <w:tcW w:type="dxa" w:w="1417"/>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Fase 3</w:t>
              <w:br/>
              <w:t>Sem 5-6</w:t>
            </w:r>
          </w:p>
        </w:tc>
        <w:tc>
          <w:tcPr>
            <w:tcW w:type="dxa" w:w="3685"/>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Despliegue de VM (OS, discos, hardening), instalacion de apps base, configuracion de Backup y Defender for Cloud</w:t>
            </w:r>
          </w:p>
        </w:tc>
        <w:tc>
          <w:tcPr>
            <w:tcW w:type="dxa" w:w="3118"/>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VM en produccion, discos configurados, backup validado con restauracion</w:t>
            </w:r>
          </w:p>
        </w:tc>
        <w:tc>
          <w:tcPr>
            <w:tcW w:type="dxa" w:w="850"/>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Sem 5-6</w:t>
            </w:r>
          </w:p>
        </w:tc>
      </w:tr>
      <w:tr>
        <w:tc>
          <w:tcPr>
            <w:tcW w:type="dxa" w:w="1417"/>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Fase 4</w:t>
              <w:br/>
              <w:t>Sem 7-8</w:t>
            </w:r>
          </w:p>
        </w:tc>
        <w:tc>
          <w:tcPr>
            <w:tcW w:type="dxa" w:w="3685"/>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Migracion de datos, pruebas UAT, capacitacion al equipo TI, documentacion de operacion</w:t>
            </w:r>
          </w:p>
        </w:tc>
        <w:tc>
          <w:tcPr>
            <w:tcW w:type="dxa" w:w="3118"/>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Datos migrados, UAT aprobado, manual de operacion y capacitacion</w:t>
            </w:r>
          </w:p>
        </w:tc>
        <w:tc>
          <w:tcPr>
            <w:tcW w:type="dxa" w:w="850"/>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Sem 7-8</w:t>
            </w:r>
          </w:p>
        </w:tc>
      </w:tr>
      <w:tr>
        <w:tc>
          <w:tcPr>
            <w:tcW w:type="dxa" w:w="1417"/>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Fase 5</w:t>
              <w:br/>
              <w:t>Sem 9-10</w:t>
            </w:r>
          </w:p>
        </w:tc>
        <w:tc>
          <w:tcPr>
            <w:tcW w:type="dxa" w:w="3685"/>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Go-Live, monitoreo intensivo hypercare 2 semanas, ajustes post-produccion, cierre del proyecto</w:t>
            </w:r>
          </w:p>
        </w:tc>
        <w:tc>
          <w:tcPr>
            <w:tcW w:type="dxa" w:w="3118"/>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Ambiente estable en produccion, reporte de cierre, traspaso a ops</w:t>
            </w:r>
          </w:p>
        </w:tc>
        <w:tc>
          <w:tcPr>
            <w:tcW w:type="dxa" w:w="850"/>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Sem 9-10</w:t>
            </w:r>
          </w:p>
        </w:tc>
      </w:tr>
    </w:tbl>
    <w:p>
      <w:pPr>
        <w:spacing w:before="40" w:after="40"/>
      </w:pPr>
    </w:p>
    <w:p>
      <w:pPr>
        <w:spacing w:before="60" w:after="60"/>
      </w:pPr>
      <w:r>
        <w:rPr>
          <w:rFonts w:ascii="Arial" w:hAnsi="Arial"/>
          <w:b w:val="0"/>
          <w:i/>
          <w:color w:val="666666"/>
          <w:sz w:val="20"/>
        </w:rPr>
        <w:t>Nota: Los tiempos son estimados y podran ajustarse segun hallazgos del relevamiento tecnico y disponibilidad de recursos.</w:t>
      </w:r>
    </w:p>
    <w:p>
      <w:pPr>
        <w:spacing w:before="360" w:after="160"/>
        <w:pBdr>
          <w:bottom w:val="single" w:sz="6" w:space="1" w:color="2E75B6"/>
        </w:pBdr>
      </w:pPr>
      <w:r>
        <w:rPr>
          <w:rFonts w:ascii="Arial" w:hAnsi="Arial"/>
          <w:b/>
          <w:color w:val="1F4E79"/>
          <w:sz w:val="32"/>
        </w:rPr>
        <w:t>9. Estimacion de Costos - Azure Pricing Calculator</w:t>
      </w:r>
    </w:p>
    <w:p>
      <w:pPr>
        <w:spacing w:before="60" w:after="60"/>
      </w:pPr>
      <w:r>
        <w:rPr>
          <w:rFonts w:ascii="Arial" w:hAnsi="Arial"/>
          <w:b w:val="0"/>
          <w:i w:val="0"/>
          <w:sz w:val="22"/>
        </w:rPr>
        <w:t>Estimaciones basadas en precios publicados de Azure para la region Mexico Central a mayo 2025. Se incluye beneficio de reserva de 1 anio para la VM. Precios pueden variar; validar en https://azure.microsoft.com/es-mx/pricing/calculator/</w:t>
      </w:r>
    </w:p>
    <w:p>
      <w:pPr>
        <w:spacing w:before="40" w:after="40"/>
      </w:pPr>
    </w:p>
    <w:tbl>
      <w:tblPr>
        <w:tblStyle w:val="TableGrid"/>
        <w:tblW w:type="auto" w:w="0"/>
        <w:jc w:val="left"/>
        <w:tblLook w:firstColumn="1" w:firstRow="1" w:lastColumn="0" w:lastRow="0" w:noHBand="0" w:noVBand="1" w:val="04A0"/>
      </w:tblPr>
      <w:tblGrid>
        <w:gridCol w:w="3118"/>
        <w:gridCol w:w="1701"/>
        <w:gridCol w:w="850"/>
        <w:gridCol w:w="1417"/>
        <w:gridCol w:w="1417"/>
      </w:tblGrid>
      <w:tr>
        <w:tc>
          <w:tcPr>
            <w:tcW w:type="dxa" w:w="3118"/>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left"/>
            </w:pPr>
            <w:r>
              <w:rPr>
                <w:rFonts w:ascii="Arial" w:hAnsi="Arial"/>
                <w:b/>
                <w:color w:val="FFFFFF"/>
                <w:sz w:val="20"/>
              </w:rPr>
              <w:t>Servicio Azure</w:t>
            </w:r>
          </w:p>
        </w:tc>
        <w:tc>
          <w:tcPr>
            <w:tcW w:type="dxa" w:w="1701"/>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left"/>
            </w:pPr>
            <w:r>
              <w:rPr>
                <w:rFonts w:ascii="Arial" w:hAnsi="Arial"/>
                <w:b/>
                <w:color w:val="FFFFFF"/>
                <w:sz w:val="20"/>
              </w:rPr>
              <w:t>SKU / Tipo</w:t>
            </w:r>
          </w:p>
        </w:tc>
        <w:tc>
          <w:tcPr>
            <w:tcW w:type="dxa" w:w="850"/>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center"/>
            </w:pPr>
            <w:r>
              <w:rPr>
                <w:rFonts w:ascii="Arial" w:hAnsi="Arial"/>
                <w:b/>
                <w:color w:val="FFFFFF"/>
                <w:sz w:val="20"/>
              </w:rPr>
              <w:t>Cant.</w:t>
            </w:r>
          </w:p>
        </w:tc>
        <w:tc>
          <w:tcPr>
            <w:tcW w:type="dxa" w:w="1417"/>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center"/>
            </w:pPr>
            <w:r>
              <w:rPr>
                <w:rFonts w:ascii="Arial" w:hAnsi="Arial"/>
                <w:b/>
                <w:color w:val="FFFFFF"/>
                <w:sz w:val="20"/>
              </w:rPr>
              <w:t>USD/mes est.</w:t>
            </w:r>
          </w:p>
        </w:tc>
        <w:tc>
          <w:tcPr>
            <w:tcW w:type="dxa" w:w="1417"/>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center"/>
            </w:pPr>
            <w:r>
              <w:rPr>
                <w:rFonts w:ascii="Arial" w:hAnsi="Arial"/>
                <w:b/>
                <w:color w:val="FFFFFF"/>
                <w:sz w:val="20"/>
              </w:rPr>
              <w:t>MXN/mes est.</w:t>
            </w:r>
          </w:p>
        </w:tc>
      </w:tr>
      <w:tr>
        <w:tc>
          <w:tcPr>
            <w:tcW w:type="dxa" w:w="3118"/>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VM Standard D32s v3</w:t>
            </w:r>
          </w:p>
        </w:tc>
        <w:tc>
          <w:tcPr>
            <w:tcW w:type="dxa" w:w="1701"/>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Reserva 1 anio</w:t>
            </w:r>
          </w:p>
        </w:tc>
        <w:tc>
          <w:tcPr>
            <w:tcW w:type="dxa" w:w="850"/>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1</w:t>
            </w:r>
          </w:p>
        </w:tc>
        <w:tc>
          <w:tcPr>
            <w:tcW w:type="dxa" w:w="1417"/>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~$680</w:t>
            </w:r>
          </w:p>
        </w:tc>
        <w:tc>
          <w:tcPr>
            <w:tcW w:type="dxa" w:w="1417"/>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~$11,560</w:t>
            </w:r>
          </w:p>
        </w:tc>
      </w:tr>
      <w:tr>
        <w:tc>
          <w:tcPr>
            <w:tcW w:type="dxa" w:w="3118"/>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Disco OS Premium SSD 500 GB</w:t>
            </w:r>
          </w:p>
        </w:tc>
        <w:tc>
          <w:tcPr>
            <w:tcW w:type="dxa" w:w="1701"/>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LRS</w:t>
            </w:r>
          </w:p>
        </w:tc>
        <w:tc>
          <w:tcPr>
            <w:tcW w:type="dxa" w:w="850"/>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1</w:t>
            </w:r>
          </w:p>
        </w:tc>
        <w:tc>
          <w:tcPr>
            <w:tcW w:type="dxa" w:w="1417"/>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~$38</w:t>
            </w:r>
          </w:p>
        </w:tc>
        <w:tc>
          <w:tcPr>
            <w:tcW w:type="dxa" w:w="1417"/>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~$646</w:t>
            </w:r>
          </w:p>
        </w:tc>
      </w:tr>
      <w:tr>
        <w:tc>
          <w:tcPr>
            <w:tcW w:type="dxa" w:w="3118"/>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Disco Datos Premium SSD 1 TB x2</w:t>
            </w:r>
          </w:p>
        </w:tc>
        <w:tc>
          <w:tcPr>
            <w:tcW w:type="dxa" w:w="1701"/>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LRS</w:t>
            </w:r>
          </w:p>
        </w:tc>
        <w:tc>
          <w:tcPr>
            <w:tcW w:type="dxa" w:w="850"/>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2</w:t>
            </w:r>
          </w:p>
        </w:tc>
        <w:tc>
          <w:tcPr>
            <w:tcW w:type="dxa" w:w="1417"/>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~$136</w:t>
            </w:r>
          </w:p>
        </w:tc>
        <w:tc>
          <w:tcPr>
            <w:tcW w:type="dxa" w:w="1417"/>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~$2,312</w:t>
            </w:r>
          </w:p>
        </w:tc>
      </w:tr>
      <w:tr>
        <w:tc>
          <w:tcPr>
            <w:tcW w:type="dxa" w:w="3118"/>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VPN Gateway VpnGw1</w:t>
            </w:r>
          </w:p>
        </w:tc>
        <w:tc>
          <w:tcPr>
            <w:tcW w:type="dxa" w:w="1701"/>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Generation 1</w:t>
            </w:r>
          </w:p>
        </w:tc>
        <w:tc>
          <w:tcPr>
            <w:tcW w:type="dxa" w:w="850"/>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1</w:t>
            </w:r>
          </w:p>
        </w:tc>
        <w:tc>
          <w:tcPr>
            <w:tcW w:type="dxa" w:w="1417"/>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~$139</w:t>
            </w:r>
          </w:p>
        </w:tc>
        <w:tc>
          <w:tcPr>
            <w:tcW w:type="dxa" w:w="1417"/>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~$2,363</w:t>
            </w:r>
          </w:p>
        </w:tc>
      </w:tr>
      <w:tr>
        <w:tc>
          <w:tcPr>
            <w:tcW w:type="dxa" w:w="3118"/>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Entra ID P2 (100 usuarios)</w:t>
            </w:r>
          </w:p>
        </w:tc>
        <w:tc>
          <w:tcPr>
            <w:tcW w:type="dxa" w:w="1701"/>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P2 por usuario</w:t>
            </w:r>
          </w:p>
        </w:tc>
        <w:tc>
          <w:tcPr>
            <w:tcW w:type="dxa" w:w="850"/>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100</w:t>
            </w:r>
          </w:p>
        </w:tc>
        <w:tc>
          <w:tcPr>
            <w:tcW w:type="dxa" w:w="1417"/>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~$900</w:t>
            </w:r>
          </w:p>
        </w:tc>
        <w:tc>
          <w:tcPr>
            <w:tcW w:type="dxa" w:w="1417"/>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~$15,300</w:t>
            </w:r>
          </w:p>
        </w:tc>
      </w:tr>
      <w:tr>
        <w:tc>
          <w:tcPr>
            <w:tcW w:type="dxa" w:w="3118"/>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Recovery Services Vault (Backup)</w:t>
            </w:r>
          </w:p>
        </w:tc>
        <w:tc>
          <w:tcPr>
            <w:tcW w:type="dxa" w:w="1701"/>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GRS</w:t>
            </w:r>
          </w:p>
        </w:tc>
        <w:tc>
          <w:tcPr>
            <w:tcW w:type="dxa" w:w="850"/>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~2.5 TB</w:t>
            </w:r>
          </w:p>
        </w:tc>
        <w:tc>
          <w:tcPr>
            <w:tcW w:type="dxa" w:w="1417"/>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~$55</w:t>
            </w:r>
          </w:p>
        </w:tc>
        <w:tc>
          <w:tcPr>
            <w:tcW w:type="dxa" w:w="1417"/>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~$935</w:t>
            </w:r>
          </w:p>
        </w:tc>
      </w:tr>
      <w:tr>
        <w:tc>
          <w:tcPr>
            <w:tcW w:type="dxa" w:w="3118"/>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Azure Monitor / Log Analytics</w:t>
            </w:r>
          </w:p>
        </w:tc>
        <w:tc>
          <w:tcPr>
            <w:tcW w:type="dxa" w:w="1701"/>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Pay-as-you-go</w:t>
            </w:r>
          </w:p>
        </w:tc>
        <w:tc>
          <w:tcPr>
            <w:tcW w:type="dxa" w:w="850"/>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~5 GB/d</w:t>
            </w:r>
          </w:p>
        </w:tc>
        <w:tc>
          <w:tcPr>
            <w:tcW w:type="dxa" w:w="1417"/>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~$30</w:t>
            </w:r>
          </w:p>
        </w:tc>
        <w:tc>
          <w:tcPr>
            <w:tcW w:type="dxa" w:w="1417"/>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~$510</w:t>
            </w:r>
          </w:p>
        </w:tc>
      </w:tr>
      <w:tr>
        <w:tc>
          <w:tcPr>
            <w:tcW w:type="dxa" w:w="3118"/>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Microsoft Defender for Cloud</w:t>
            </w:r>
          </w:p>
        </w:tc>
        <w:tc>
          <w:tcPr>
            <w:tcW w:type="dxa" w:w="1701"/>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Standard</w:t>
            </w:r>
          </w:p>
        </w:tc>
        <w:tc>
          <w:tcPr>
            <w:tcW w:type="dxa" w:w="850"/>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1 VM</w:t>
            </w:r>
          </w:p>
        </w:tc>
        <w:tc>
          <w:tcPr>
            <w:tcW w:type="dxa" w:w="1417"/>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~$15</w:t>
            </w:r>
          </w:p>
        </w:tc>
        <w:tc>
          <w:tcPr>
            <w:tcW w:type="dxa" w:w="1417"/>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~$255</w:t>
            </w:r>
          </w:p>
        </w:tc>
      </w:tr>
      <w:tr>
        <w:tc>
          <w:tcPr>
            <w:tcW w:type="dxa" w:w="3118"/>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Virtual Network + IP Publica</w:t>
            </w:r>
          </w:p>
        </w:tc>
        <w:tc>
          <w:tcPr>
            <w:tcW w:type="dxa" w:w="1701"/>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Standard Static</w:t>
            </w:r>
          </w:p>
        </w:tc>
        <w:tc>
          <w:tcPr>
            <w:tcW w:type="dxa" w:w="850"/>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1</w:t>
            </w:r>
          </w:p>
        </w:tc>
        <w:tc>
          <w:tcPr>
            <w:tcW w:type="dxa" w:w="1417"/>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~$15</w:t>
            </w:r>
          </w:p>
        </w:tc>
        <w:tc>
          <w:tcPr>
            <w:tcW w:type="dxa" w:w="1417"/>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~$255</w:t>
            </w:r>
          </w:p>
        </w:tc>
      </w:tr>
      <w:tr>
        <w:tc>
          <w:tcPr>
            <w:tcW w:type="dxa" w:w="3118"/>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Ancho de Banda Saliente</w:t>
            </w:r>
          </w:p>
        </w:tc>
        <w:tc>
          <w:tcPr>
            <w:tcW w:type="dxa" w:w="1701"/>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left"/>
            </w:pPr>
            <w:r>
              <w:rPr>
                <w:rFonts w:ascii="Arial" w:hAnsi="Arial"/>
                <w:sz w:val="20"/>
              </w:rPr>
              <w:t>100 GB+/mes</w:t>
            </w:r>
          </w:p>
        </w:tc>
        <w:tc>
          <w:tcPr>
            <w:tcW w:type="dxa" w:w="850"/>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w:t>
            </w:r>
          </w:p>
        </w:tc>
        <w:tc>
          <w:tcPr>
            <w:tcW w:type="dxa" w:w="1417"/>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~$8</w:t>
            </w:r>
          </w:p>
        </w:tc>
        <w:tc>
          <w:tcPr>
            <w:tcW w:type="dxa" w:w="1417"/>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pPr>
              <w:jc w:val="right"/>
            </w:pPr>
            <w:r>
              <w:rPr>
                <w:rFonts w:ascii="Arial" w:hAnsi="Arial"/>
                <w:sz w:val="20"/>
              </w:rPr>
              <w:t>~$136</w:t>
            </w:r>
          </w:p>
        </w:tc>
      </w:tr>
      <w:tr>
        <w:tc>
          <w:tcPr>
            <w:tcW w:type="dxa" w:w="5669"/>
            <w:gridSpan w:val="3"/>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r>
              <w:rPr>
                <w:rFonts w:ascii="Arial" w:hAnsi="Arial"/>
                <w:b/>
                <w:color w:val="FFFFFF"/>
                <w:sz w:val="20"/>
              </w:rPr>
              <w:t>TOTAL ESTIMADO MENSUAL</w:t>
            </w:r>
          </w:p>
        </w:tc>
        <w:tc>
          <w:tcPr>
            <w:tcW w:type="dxa" w:w="1417"/>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right"/>
            </w:pPr>
            <w:r>
              <w:rPr>
                <w:rFonts w:ascii="Arial" w:hAnsi="Arial"/>
                <w:b/>
                <w:color w:val="FFFFFF"/>
                <w:sz w:val="20"/>
              </w:rPr>
              <w:t>~$2,016 USD</w:t>
            </w:r>
          </w:p>
        </w:tc>
        <w:tc>
          <w:tcPr>
            <w:tcW w:type="dxa" w:w="1417"/>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right"/>
            </w:pPr>
            <w:r>
              <w:rPr>
                <w:rFonts w:ascii="Arial" w:hAnsi="Arial"/>
                <w:b/>
                <w:color w:val="FFFFFF"/>
                <w:sz w:val="20"/>
              </w:rPr>
              <w:t>~$34,272 MXN</w:t>
            </w:r>
          </w:p>
        </w:tc>
      </w:tr>
    </w:tbl>
    <w:p>
      <w:pPr>
        <w:spacing w:before="40" w:after="40"/>
      </w:pPr>
    </w:p>
    <w:p>
      <w:pPr>
        <w:spacing w:before="60" w:after="60"/>
      </w:pPr>
      <w:r>
        <w:rPr>
          <w:rFonts w:ascii="Arial" w:hAnsi="Arial"/>
          <w:b w:val="0"/>
          <w:i/>
          <w:color w:val="666666"/>
          <w:sz w:val="18"/>
        </w:rPr>
        <w:t>* Precio con Reserva de 1 anio en VM (ahorro ~38% vs. pay-as-you-go). Entra ID P2 a $9 USD/usuario/mes para 100 usuarios.</w:t>
      </w:r>
    </w:p>
    <w:p>
      <w:pPr>
        <w:spacing w:before="60" w:after="60"/>
      </w:pPr>
      <w:r>
        <w:rPr>
          <w:rFonts w:ascii="Arial" w:hAnsi="Arial"/>
          <w:b w:val="0"/>
          <w:i/>
          <w:color w:val="666666"/>
          <w:sz w:val="18"/>
        </w:rPr>
        <w:t>* Tipo de cambio referencial: $17.00 MXN por USD. Ajustar segun tasa vigente al momento de contratar.</w:t>
      </w:r>
    </w:p>
    <w:p>
      <w:pPr>
        <w:spacing w:before="240" w:after="80"/>
      </w:pPr>
      <w:r>
        <w:rPr>
          <w:rFonts w:ascii="Arial" w:hAnsi="Arial"/>
          <w:b/>
          <w:color w:val="2E75B6"/>
          <w:sz w:val="26"/>
        </w:rPr>
        <w:t>9.1 Escalabilidad a +50 Usuarios</w:t>
      </w:r>
    </w:p>
    <w:p>
      <w:pPr>
        <w:spacing w:before="60" w:after="60"/>
      </w:pPr>
      <w:r>
        <w:rPr>
          <w:rFonts w:ascii="Arial" w:hAnsi="Arial"/>
          <w:b w:val="0"/>
          <w:i w:val="0"/>
          <w:sz w:val="22"/>
        </w:rPr>
        <w:t>El crecimiento a 150 usuarios implica principalmente el incremento en licencias Entra ID P2 (+$450 USD/mes aprox.) y un ajuste marginal en el VPN Gateway (puede actualizarse a VpnGw2 sin downtime). El costo de computo de la VM no se ve afectado dado que el dimensionamiento actual de 32 vCPUs/128 GB RAM soporta la carga proyectada.</w:t>
      </w:r>
    </w:p>
    <w:p>
      <w:pPr>
        <w:spacing w:before="360" w:after="160"/>
        <w:pBdr>
          <w:bottom w:val="single" w:sz="6" w:space="1" w:color="2E75B6"/>
        </w:pBdr>
      </w:pPr>
      <w:r>
        <w:rPr>
          <w:rFonts w:ascii="Arial" w:hAnsi="Arial"/>
          <w:b/>
          <w:color w:val="1F4E79"/>
          <w:sz w:val="32"/>
        </w:rPr>
        <w:t>10. Gestion de Riesgos</w:t>
      </w:r>
    </w:p>
    <w:tbl>
      <w:tblPr>
        <w:tblStyle w:val="TableGrid"/>
        <w:tblW w:type="auto" w:w="0"/>
        <w:jc w:val="left"/>
        <w:tblLook w:firstColumn="1" w:firstRow="1" w:lastColumn="0" w:lastRow="0" w:noHBand="0" w:noVBand="1" w:val="04A0"/>
      </w:tblPr>
      <w:tblGrid>
        <w:gridCol w:w="2835"/>
        <w:gridCol w:w="1417"/>
        <w:gridCol w:w="1134"/>
        <w:gridCol w:w="3685"/>
      </w:tblGrid>
      <w:tr>
        <w:tc>
          <w:tcPr>
            <w:tcW w:type="dxa" w:w="2835"/>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left"/>
            </w:pPr>
            <w:r>
              <w:rPr>
                <w:rFonts w:ascii="Arial" w:hAnsi="Arial"/>
                <w:b/>
                <w:color w:val="FFFFFF"/>
                <w:sz w:val="20"/>
              </w:rPr>
              <w:t>Riesgo</w:t>
            </w:r>
          </w:p>
        </w:tc>
        <w:tc>
          <w:tcPr>
            <w:tcW w:type="dxa" w:w="1417"/>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left"/>
            </w:pPr>
            <w:r>
              <w:rPr>
                <w:rFonts w:ascii="Arial" w:hAnsi="Arial"/>
                <w:b/>
                <w:color w:val="FFFFFF"/>
                <w:sz w:val="20"/>
              </w:rPr>
              <w:t>Probabilidad</w:t>
            </w:r>
          </w:p>
        </w:tc>
        <w:tc>
          <w:tcPr>
            <w:tcW w:type="dxa" w:w="1134"/>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left"/>
            </w:pPr>
            <w:r>
              <w:rPr>
                <w:rFonts w:ascii="Arial" w:hAnsi="Arial"/>
                <w:b/>
                <w:color w:val="FFFFFF"/>
                <w:sz w:val="20"/>
              </w:rPr>
              <w:t>Impacto</w:t>
            </w:r>
          </w:p>
        </w:tc>
        <w:tc>
          <w:tcPr>
            <w:tcW w:type="dxa" w:w="3685"/>
            <w:shd w:val="clear" w:color="auto" w:fill="1F4E79"/>
            <w:tcBorders>
              <w:top w:val="single" w:sz="8" w:space="0" w:color="1F4E79"/>
              <w:left w:val="single" w:sz="8" w:space="0" w:color="1F4E79"/>
              <w:bottom w:val="single" w:sz="8" w:space="0" w:color="1F4E79"/>
              <w:right w:val="single" w:sz="8" w:space="0" w:color="1F4E79"/>
            </w:tcBorders>
            <w:tcMar>
              <w:top w:w="80" w:type="dxa"/>
              <w:left w:w="120" w:type="dxa"/>
              <w:bottom w:w="80" w:type="dxa"/>
              <w:right w:w="120" w:type="dxa"/>
            </w:tcMar>
          </w:tcPr>
          <w:p>
            <w:pPr>
              <w:jc w:val="left"/>
            </w:pPr>
            <w:r>
              <w:rPr>
                <w:rFonts w:ascii="Arial" w:hAnsi="Arial"/>
                <w:b/>
                <w:color w:val="FFFFFF"/>
                <w:sz w:val="20"/>
              </w:rPr>
              <w:t>Mitigacion</w:t>
            </w:r>
          </w:p>
        </w:tc>
      </w:tr>
      <w:tr>
        <w:tc>
          <w:tcPr>
            <w:tcW w:type="dxa" w:w="2835"/>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Acceso limitado a datos del entorno actual para migracion</w:t>
            </w:r>
          </w:p>
        </w:tc>
        <w:tc>
          <w:tcPr>
            <w:tcW w:type="dxa" w:w="1417"/>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Media</w:t>
            </w:r>
          </w:p>
        </w:tc>
        <w:tc>
          <w:tcPr>
            <w:tcW w:type="dxa" w:w="1134"/>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Alto</w:t>
            </w:r>
          </w:p>
        </w:tc>
        <w:tc>
          <w:tcPr>
            <w:tcW w:type="dxa" w:w="3685"/>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Relevamiento previo exhaustivo; plan de migracion escalonado</w:t>
            </w:r>
          </w:p>
        </w:tc>
      </w:tr>
      <w:tr>
        <w:tc>
          <w:tcPr>
            <w:tcW w:type="dxa" w:w="2835"/>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Latencia o indisponibilidad en region Mexico Central</w:t>
            </w:r>
          </w:p>
        </w:tc>
        <w:tc>
          <w:tcPr>
            <w:tcW w:type="dxa" w:w="1417"/>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Baja</w:t>
            </w:r>
          </w:p>
        </w:tc>
        <w:tc>
          <w:tcPr>
            <w:tcW w:type="dxa" w:w="1134"/>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Medio</w:t>
            </w:r>
          </w:p>
        </w:tc>
        <w:tc>
          <w:tcPr>
            <w:tcW w:type="dxa" w:w="3685"/>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Region alternativa East US 2 definida como contingencia en diseno</w:t>
            </w:r>
          </w:p>
        </w:tc>
      </w:tr>
      <w:tr>
        <w:tc>
          <w:tcPr>
            <w:tcW w:type="dxa" w:w="2835"/>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Resistencia al cambio por parte de usuarios finales</w:t>
            </w:r>
          </w:p>
        </w:tc>
        <w:tc>
          <w:tcPr>
            <w:tcW w:type="dxa" w:w="1417"/>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Media</w:t>
            </w:r>
          </w:p>
        </w:tc>
        <w:tc>
          <w:tcPr>
            <w:tcW w:type="dxa" w:w="1134"/>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Medio</w:t>
            </w:r>
          </w:p>
        </w:tc>
        <w:tc>
          <w:tcPr>
            <w:tcW w:type="dxa" w:w="3685"/>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Plan de capacitacion y comunicacion; piloto con usuarios clave</w:t>
            </w:r>
          </w:p>
        </w:tc>
      </w:tr>
      <w:tr>
        <w:tc>
          <w:tcPr>
            <w:tcW w:type="dxa" w:w="2835"/>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Crecimiento de costos por consumo no controlado</w:t>
            </w:r>
          </w:p>
        </w:tc>
        <w:tc>
          <w:tcPr>
            <w:tcW w:type="dxa" w:w="1417"/>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Media</w:t>
            </w:r>
          </w:p>
        </w:tc>
        <w:tc>
          <w:tcPr>
            <w:tcW w:type="dxa" w:w="1134"/>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Medio</w:t>
            </w:r>
          </w:p>
        </w:tc>
        <w:tc>
          <w:tcPr>
            <w:tcW w:type="dxa" w:w="3685"/>
            <w:shd w:val="clear" w:color="auto" w:fill="F2F2F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Azure Cost Management + alertas de presupuesto desde Fase 1</w:t>
            </w:r>
          </w:p>
        </w:tc>
      </w:tr>
      <w:tr>
        <w:tc>
          <w:tcPr>
            <w:tcW w:type="dxa" w:w="2835"/>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Delays en aprovisionamiento de suscripcion Azure del cliente</w:t>
            </w:r>
          </w:p>
        </w:tc>
        <w:tc>
          <w:tcPr>
            <w:tcW w:type="dxa" w:w="1417"/>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Baja</w:t>
            </w:r>
          </w:p>
        </w:tc>
        <w:tc>
          <w:tcPr>
            <w:tcW w:type="dxa" w:w="1134"/>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Alto</w:t>
            </w:r>
          </w:p>
        </w:tc>
        <w:tc>
          <w:tcPr>
            <w:tcW w:type="dxa" w:w="3685"/>
            <w:shd w:val="clear" w:color="auto" w:fill="FFFFFF"/>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
              <w:rPr>
                <w:rFonts w:ascii="Arial" w:hAnsi="Arial"/>
                <w:b w:val="0"/>
                <w:sz w:val="20"/>
              </w:rPr>
              <w:t>Gestion anticipada de suscripcion; actividad en critical path</w:t>
            </w:r>
          </w:p>
        </w:tc>
      </w:tr>
    </w:tbl>
    <w:p>
      <w:pPr>
        <w:spacing w:before="40" w:after="40"/>
      </w:pPr>
    </w:p>
    <w:p>
      <w:pPr>
        <w:spacing w:before="360" w:after="160"/>
        <w:pBdr>
          <w:bottom w:val="single" w:sz="6" w:space="1" w:color="2E75B6"/>
        </w:pBdr>
      </w:pPr>
      <w:r>
        <w:rPr>
          <w:rFonts w:ascii="Arial" w:hAnsi="Arial"/>
          <w:b/>
          <w:color w:val="1F4E79"/>
          <w:sz w:val="32"/>
        </w:rPr>
        <w:t>11. Condiciones Comerciales</w:t>
      </w:r>
    </w:p>
    <w:p>
      <w:pPr>
        <w:spacing w:before="240" w:after="80"/>
      </w:pPr>
      <w:r>
        <w:rPr>
          <w:rFonts w:ascii="Arial" w:hAnsi="Arial"/>
          <w:b/>
          <w:color w:val="2E75B6"/>
          <w:sz w:val="26"/>
        </w:rPr>
        <w:t>11.1 Esquema de Contratacion</w:t>
      </w:r>
    </w:p>
    <w:p>
      <w:pPr>
        <w:pStyle w:val="ListBullet"/>
        <w:spacing w:before="40" w:after="40"/>
      </w:pPr>
      <w:r>
        <w:rPr>
          <w:rFonts w:ascii="Arial" w:hAnsi="Arial"/>
          <w:b/>
          <w:sz w:val="22"/>
        </w:rPr>
        <w:t>Modalidad:</w:t>
      </w:r>
      <w:r>
        <w:rPr>
          <w:rFonts w:ascii="Arial" w:hAnsi="Arial"/>
          <w:sz w:val="22"/>
        </w:rPr>
        <w:t xml:space="preserve"> Proyecto de implementacion a precio fijo por fases</w:t>
      </w:r>
    </w:p>
    <w:p>
      <w:pPr>
        <w:pStyle w:val="ListBullet"/>
        <w:spacing w:before="40" w:after="40"/>
      </w:pPr>
      <w:r>
        <w:rPr>
          <w:rFonts w:ascii="Arial" w:hAnsi="Arial"/>
          <w:b/>
          <w:sz w:val="22"/>
        </w:rPr>
        <w:t>Costo de implementacion:</w:t>
      </w:r>
      <w:r>
        <w:rPr>
          <w:rFonts w:ascii="Arial" w:hAnsi="Arial"/>
          <w:sz w:val="22"/>
        </w:rPr>
        <w:t xml:space="preserve"> A cotizar segun tarifas del proveedor + costos Azure del cliente</w:t>
      </w:r>
    </w:p>
    <w:p>
      <w:pPr>
        <w:pStyle w:val="ListBullet"/>
        <w:spacing w:before="40" w:after="40"/>
      </w:pPr>
      <w:r>
        <w:rPr>
          <w:rFonts w:ascii="Arial" w:hAnsi="Arial"/>
          <w:b/>
          <w:sz w:val="22"/>
        </w:rPr>
        <w:t>Infraestructura Azure:</w:t>
      </w:r>
      <w:r>
        <w:rPr>
          <w:rFonts w:ascii="Arial" w:hAnsi="Arial"/>
          <w:sz w:val="22"/>
        </w:rPr>
        <w:t xml:space="preserve"> Cargo directo a la suscripcion del cliente</w:t>
      </w:r>
    </w:p>
    <w:p>
      <w:pPr>
        <w:pStyle w:val="ListBullet"/>
        <w:spacing w:before="40" w:after="40"/>
      </w:pPr>
      <w:r>
        <w:rPr>
          <w:rFonts w:ascii="Arial" w:hAnsi="Arial"/>
          <w:b/>
          <w:sz w:val="22"/>
        </w:rPr>
        <w:t>Soporte post-go-live:</w:t>
      </w:r>
      <w:r>
        <w:rPr>
          <w:rFonts w:ascii="Arial" w:hAnsi="Arial"/>
          <w:sz w:val="22"/>
        </w:rPr>
        <w:t xml:space="preserve"> Opcional, cotizacion separada (recomendado: contrato de managed services)</w:t>
      </w:r>
    </w:p>
    <w:p>
      <w:pPr>
        <w:spacing w:before="240" w:after="80"/>
      </w:pPr>
      <w:r>
        <w:rPr>
          <w:rFonts w:ascii="Arial" w:hAnsi="Arial"/>
          <w:b/>
          <w:color w:val="2E75B6"/>
          <w:sz w:val="26"/>
        </w:rPr>
        <w:t>11.2 Forma de Pago Sugerida</w:t>
      </w:r>
    </w:p>
    <w:p>
      <w:pPr>
        <w:pStyle w:val="ListBullet"/>
        <w:spacing w:before="40" w:after="40"/>
      </w:pPr>
      <w:r>
        <w:rPr>
          <w:rFonts w:ascii="Arial" w:hAnsi="Arial"/>
          <w:sz w:val="22"/>
        </w:rPr>
        <w:t>30% a la firma del contrato / kick-off</w:t>
      </w:r>
    </w:p>
    <w:p>
      <w:pPr>
        <w:pStyle w:val="ListBullet"/>
        <w:spacing w:before="40" w:after="40"/>
      </w:pPr>
      <w:r>
        <w:rPr>
          <w:rFonts w:ascii="Arial" w:hAnsi="Arial"/>
          <w:sz w:val="22"/>
        </w:rPr>
        <w:t>30% al inicio de la Fase 3 (VM en produccion)</w:t>
      </w:r>
    </w:p>
    <w:p>
      <w:pPr>
        <w:pStyle w:val="ListBullet"/>
        <w:spacing w:before="40" w:after="40"/>
      </w:pPr>
      <w:r>
        <w:rPr>
          <w:rFonts w:ascii="Arial" w:hAnsi="Arial"/>
          <w:sz w:val="22"/>
        </w:rPr>
        <w:t>40% al cierre del proyecto (go-live validado)</w:t>
      </w:r>
    </w:p>
    <w:p>
      <w:pPr>
        <w:spacing w:before="240" w:after="80"/>
      </w:pPr>
      <w:r>
        <w:rPr>
          <w:rFonts w:ascii="Arial" w:hAnsi="Arial"/>
          <w:b/>
          <w:color w:val="2E75B6"/>
          <w:sz w:val="26"/>
        </w:rPr>
        <w:t>11.3 Vigencia de la Propuesta</w:t>
      </w:r>
    </w:p>
    <w:p>
      <w:pPr>
        <w:spacing w:before="60" w:after="60"/>
      </w:pPr>
      <w:r>
        <w:rPr>
          <w:rFonts w:ascii="Arial" w:hAnsi="Arial"/>
          <w:b w:val="0"/>
          <w:i w:val="0"/>
          <w:sz w:val="22"/>
        </w:rPr>
        <w:t>La presente propuesta tiene una vigencia de 30 dias naturales a partir de su fecha de emision.</w:t>
      </w:r>
    </w:p>
    <w:p>
      <w:pPr>
        <w:spacing w:before="360" w:after="160"/>
        <w:pBdr>
          <w:bottom w:val="single" w:sz="6" w:space="1" w:color="2E75B6"/>
        </w:pBdr>
      </w:pPr>
      <w:r>
        <w:rPr>
          <w:rFonts w:ascii="Arial" w:hAnsi="Arial"/>
          <w:b/>
          <w:color w:val="1F4E79"/>
          <w:sz w:val="32"/>
        </w:rPr>
        <w:t>12. Proximos Pasos</w:t>
      </w:r>
    </w:p>
    <w:p>
      <w:pPr>
        <w:spacing w:before="80" w:after="80"/>
      </w:pPr>
      <w:r>
        <w:rPr>
          <w:rFonts w:ascii="Arial" w:hAnsi="Arial"/>
          <w:b/>
          <w:color w:val="0070C0"/>
          <w:sz w:val="22"/>
        </w:rPr>
        <w:t xml:space="preserve">1.  </w:t>
      </w:r>
      <w:r>
        <w:rPr>
          <w:rFonts w:ascii="Arial" w:hAnsi="Arial"/>
          <w:b/>
          <w:sz w:val="22"/>
        </w:rPr>
        <w:t>Revision y aprobacion de la propuesta por parte del cliente</w:t>
      </w:r>
    </w:p>
    <w:p>
      <w:pPr>
        <w:spacing w:before="80" w:after="80"/>
      </w:pPr>
      <w:r>
        <w:rPr>
          <w:rFonts w:ascii="Arial" w:hAnsi="Arial"/>
          <w:b/>
          <w:color w:val="0070C0"/>
          <w:sz w:val="22"/>
        </w:rPr>
        <w:t xml:space="preserve">2.  </w:t>
      </w:r>
      <w:r>
        <w:rPr>
          <w:rFonts w:ascii="Arial" w:hAnsi="Arial"/>
          <w:b/>
          <w:sz w:val="22"/>
        </w:rPr>
        <w:t>Sesion de aclaraciones tecnicas (si aplica)</w:t>
      </w:r>
    </w:p>
    <w:p>
      <w:pPr>
        <w:spacing w:before="80" w:after="80"/>
      </w:pPr>
      <w:r>
        <w:rPr>
          <w:rFonts w:ascii="Arial" w:hAnsi="Arial"/>
          <w:b/>
          <w:color w:val="0070C0"/>
          <w:sz w:val="22"/>
        </w:rPr>
        <w:t xml:space="preserve">3.  </w:t>
      </w:r>
      <w:r>
        <w:rPr>
          <w:rFonts w:ascii="Arial" w:hAnsi="Arial"/>
          <w:b/>
          <w:sz w:val="22"/>
        </w:rPr>
        <w:t>Firma de contrato / Orden de Compra</w:t>
      </w:r>
    </w:p>
    <w:p>
      <w:pPr>
        <w:spacing w:before="80" w:after="80"/>
      </w:pPr>
      <w:r>
        <w:rPr>
          <w:rFonts w:ascii="Arial" w:hAnsi="Arial"/>
          <w:b/>
          <w:color w:val="0070C0"/>
          <w:sz w:val="22"/>
        </w:rPr>
        <w:t xml:space="preserve">4.  </w:t>
      </w:r>
      <w:r>
        <w:rPr>
          <w:rFonts w:ascii="Arial" w:hAnsi="Arial"/>
          <w:b/>
          <w:sz w:val="22"/>
        </w:rPr>
        <w:t>Inicio de la Fase 1 - Kick-off y relevamiento tecnico</w:t>
      </w:r>
    </w:p>
    <w:p>
      <w:pPr>
        <w:spacing w:before="40" w:after="40"/>
      </w:pPr>
    </w:p>
    <w:p>
      <w:pPr>
        <w:spacing w:before="60" w:after="60"/>
      </w:pPr>
      <w:r>
        <w:rPr>
          <w:rFonts w:ascii="Arial" w:hAnsi="Arial"/>
          <w:b w:val="0"/>
          <w:i w:val="0"/>
          <w:sz w:val="22"/>
        </w:rPr>
        <w:t>Para cualquier duda o aclaracion respecto a esta propuesta, favor de contactar a:</w:t>
      </w:r>
    </w:p>
    <w:p>
      <w:pPr>
        <w:spacing w:before="40" w:after="40"/>
      </w:pPr>
    </w:p>
    <w:p>
      <w:r>
        <w:rPr>
          <w:rFonts w:ascii="Arial" w:hAnsi="Arial"/>
          <w:b/>
          <w:sz w:val="22"/>
        </w:rPr>
        <w:t>[Nombre del ejecutivo de cuenta]</w:t>
      </w:r>
    </w:p>
    <w:p>
      <w:r>
        <w:rPr>
          <w:rFonts w:ascii="Arial" w:hAnsi="Arial"/>
          <w:b w:val="0"/>
          <w:sz w:val="22"/>
        </w:rPr>
        <w:t>[Correo electronico]</w:t>
      </w:r>
    </w:p>
    <w:p>
      <w:r>
        <w:rPr>
          <w:rFonts w:ascii="Arial" w:hAnsi="Arial"/>
          <w:b w:val="0"/>
          <w:sz w:val="22"/>
        </w:rPr>
        <w:t>[Telefono]</w:t>
      </w:r>
    </w:p>
    <w:p>
      <w:pPr>
        <w:spacing w:before="40" w:after="40"/>
      </w:pPr>
    </w:p>
    <w:p>
      <w:pPr>
        <w:spacing w:before="40" w:after="40"/>
      </w:pPr>
    </w:p>
    <w:p>
      <w:pPr>
        <w:pBdr>
          <w:bottom w:val="single" w:sz="6" w:space="1" w:color="2E75B6"/>
        </w:pBdr>
      </w:pPr>
    </w:p>
    <w:p>
      <w:pPr>
        <w:jc w:val="center"/>
      </w:pPr>
      <w:r>
        <w:rPr>
          <w:rFonts w:ascii="Arial" w:hAnsi="Arial"/>
          <w:i/>
          <w:color w:val="666666"/>
          <w:sz w:val="20"/>
        </w:rPr>
        <w:t>-- Fin del Documento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