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595959"/>
          <w:sz w:val="28"/>
          <w:szCs w:val="28"/>
        </w:rPr>
        <w:t xml:space="preserve">MANUAL TÉCNICO</w:t>
      </w:r>
    </w:p>
    <w:p>
      <w:pPr>
        <w:spacing w:after="200" w:before="200"/>
        <w:jc w:val="center"/>
      </w:pPr>
      <w:r>
        <w:rPr>
          <w:b/>
          <w:bCs/>
          <w:color w:val="1F3864"/>
          <w:sz w:val="56"/>
          <w:szCs w:val="56"/>
        </w:rPr>
        <w:t xml:space="preserve">Microsoft Teams Phone</w:t>
      </w:r>
    </w:p>
    <w:p>
      <w:pPr>
        <w:spacing w:after="800"/>
        <w:jc w:val="center"/>
      </w:pPr>
      <w:r>
        <w:rPr>
          <w:i/>
          <w:iCs/>
          <w:color w:val="2E74B5"/>
          <w:sz w:val="26"/>
          <w:szCs w:val="26"/>
        </w:rPr>
        <w:t xml:space="preserve">De los conceptos generales a la configuración e integración de nivel intermedio</w:t>
      </w:r>
    </w:p>
    <w:p>
      <w:pPr>
        <w:spacing w:before="1600"/>
        <w:jc w:val="center"/>
      </w:pPr>
      <w:r>
        <w:rPr>
          <w:color w:val="595959"/>
          <w:sz w:val="20"/>
          <w:szCs w:val="20"/>
        </w:rPr>
        <w:t xml:space="preserve">Contenido: fundamentos, licenciamiento, conectividad PSTN, habilitación de configuraciones, integraciones y migraciones (Skype for Business / PBX legado).</w:t>
      </w:r>
    </w:p>
    <w:p>
      <w:pPr>
        <w:spacing w:before="3000"/>
        <w:jc w:val="center"/>
      </w:pPr>
      <w:r>
        <w:rPr>
          <w:color w:val="595959"/>
          <w:sz w:val="20"/>
          <w:szCs w:val="20"/>
        </w:rPr>
        <w:t xml:space="preserve">Agosto 2026</w:t>
      </w:r>
    </w:p>
    <w:p>
      <w:r>
        <w:br w:type="page"/>
      </w:r>
    </w:p>
    <w:p>
      <w:pPr>
        <w:pStyle w:val="Heading1"/>
        <w:pBdr>
          <w:bottom w:val="single" w:color="2E74B5" w:sz="6" w:space="4"/>
        </w:pBdr>
        <w:spacing w:after="200" w:before="400"/>
      </w:pPr>
      <w:r>
        <w:rPr>
          <w:b/>
          <w:bCs/>
          <w:color w:val="1F3864"/>
          <w:sz w:val="32"/>
          <w:szCs w:val="32"/>
        </w:rPr>
        <w:t xml:space="preserve">Índice</w:t>
      </w:r>
    </w:p>
    <w:p>
      <w:pPr>
        <w:spacing w:after="200"/>
      </w:pPr>
      <w:r>
        <w:rPr>
          <w:i/>
          <w:iCs/>
          <w:color w:val="595959"/>
          <w:sz w:val="18"/>
          <w:szCs w:val="18"/>
        </w:rPr>
        <w:t xml:space="preserve">(Este índice se genera automáticamente. Al abrir el documento en Word, haga clic derecho sobre él y seleccione “Actualizar campo” → “Actualizar todo el 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4B5" w:sz="6" w:space="4"/>
        </w:pBdr>
        <w:spacing w:after="200" w:before="400"/>
      </w:pPr>
      <w:r>
        <w:rPr>
          <w:b/>
          <w:bCs/>
          <w:color w:val="1F3864"/>
          <w:sz w:val="32"/>
          <w:szCs w:val="32"/>
        </w:rPr>
        <w:t xml:space="preserve">1. Introducción a Microsoft Teams Phone</w:t>
      </w:r>
    </w:p>
    <w:p>
      <w:pPr>
        <w:spacing w:after="160" w:line="276"/>
      </w:pPr>
      <w:r>
        <w:rPr>
          <w:sz w:val="22"/>
          <w:szCs w:val="22"/>
        </w:rPr>
        <w:t xml:space="preserve">Microsoft Teams Phone es la plataforma de telefonía empresarial en la nube integrada en Microsoft Teams. Sustituye a las centrales telefónicas (PBX) tradicionales, llevando el control de llamadas, el buzón de voz, las colas de llamadas y los menús de atención automática (IVR) a la nube de Microsoft 365. Con Teams Phone, los usuarios pueden realizar y recibir llamadas hacia y desde números externos (PSTN, red telefónica pública conmutada) directamente desde la aplicación de Teams, en equipos de escritorio, dispositivos móviles y teléfonos certificados para Teams.</w:t>
      </w:r>
    </w:p>
    <w:p>
      <w:pPr>
        <w:pStyle w:val="Heading2"/>
        <w:spacing w:after="150" w:before="300"/>
      </w:pPr>
      <w:r>
        <w:rPr>
          <w:b/>
          <w:bCs/>
          <w:color w:val="2E74B5"/>
          <w:sz w:val="26"/>
          <w:szCs w:val="26"/>
        </w:rPr>
        <w:t xml:space="preserve">1.1 ¿Qué problema resuelve?</w:t>
      </w:r>
    </w:p>
    <w:p>
      <w:pPr>
        <w:spacing w:after="160" w:line="276"/>
      </w:pPr>
      <w:r>
        <w:rPr>
          <w:sz w:val="22"/>
          <w:szCs w:val="22"/>
        </w:rPr>
        <w:t xml:space="preserve">Las organizaciones que aún dependen de centrales telefónicas locales (Cisco, Avaya, Mitel, NEC, entre otras) enfrentan costos de mantenimiento de hardware, contratos de telefonía separados del resto de las herramientas de colaboración y dificultad para dar soporte al trabajo remoto o híbrido. Teams Phone unifica chat, reuniones y llamadas en una sola aplicación y una sola consola de administración, reduciendo la complejidad operativa y, en la mayoría de los casos, el costo total de propiedad a mediano plazo.</w:t>
      </w:r>
    </w:p>
    <w:p>
      <w:pPr>
        <w:pStyle w:val="Heading2"/>
        <w:spacing w:after="150" w:before="300"/>
      </w:pPr>
      <w:r>
        <w:rPr>
          <w:b/>
          <w:bCs/>
          <w:color w:val="2E74B5"/>
          <w:sz w:val="26"/>
          <w:szCs w:val="26"/>
        </w:rPr>
        <w:t xml:space="preserve">1.2 Evolución: de Skype Empresarial y las PBX tradicionales a Teams Phone</w:t>
      </w:r>
    </w:p>
    <w:p>
      <w:pPr>
        <w:spacing w:after="160" w:line="276"/>
      </w:pPr>
      <w:r>
        <w:rPr>
          <w:sz w:val="22"/>
          <w:szCs w:val="22"/>
        </w:rPr>
        <w:t xml:space="preserve">Microsoft trasladó gradualmente las capacidades de voz de Skype Empresarial (Skype for Business) a Microsoft Teams. Skype Empresarial Online se retiró en julio de 2021, lo que obligó a las organizaciones que aún lo usaban a definir una ruta de actualización hacia Teams. En paralelo, muchas empresas con PBX locales han emprendido proyectos de migración hacia Teams Phone para consolidar su plataforma de comunicaciones unificadas (UC) en un solo proveedor.</w:t>
      </w:r>
    </w:p>
    <w:p>
      <w:pPr>
        <w:pBdr>
          <w:left w:val="single" w:color="2E74B5" w:sz="18" w:space="8"/>
        </w:pBdr>
        <w:shd w:fill="DDEBF7" w:val="clear"/>
        <w:spacing w:after="200" w:before="100"/>
        <w:ind w:left="100"/>
      </w:pPr>
      <w:r>
        <w:rPr>
          <w:i/>
          <w:iCs/>
          <w:color w:val="1F3864"/>
          <w:sz w:val="20"/>
          <w:szCs w:val="20"/>
        </w:rPr>
        <w:t xml:space="preserve">Nota: Este documento asume que se parte de un entorno sin telefonía en Teams, o bien de un entorno con Skype Empresarial o una PBX legada que se desea migrar. Las secciones 6 y 7 profundizan en ambos escenarios.</w:t>
      </w:r>
    </w:p>
    <w:p>
      <w:pPr>
        <w:pStyle w:val="Heading2"/>
        <w:spacing w:after="150" w:before="300"/>
      </w:pPr>
      <w:r>
        <w:rPr>
          <w:b/>
          <w:bCs/>
          <w:color w:val="2E74B5"/>
          <w:sz w:val="26"/>
          <w:szCs w:val="26"/>
        </w:rPr>
        <w:t xml:space="preserve">1.3 Componentes clave del ecosistema</w:t>
      </w:r>
    </w:p>
    <w:p>
      <w:pPr>
        <w:pStyle w:val="ListParagraph"/>
        <w:numPr>
          <w:ilvl w:val="0"/>
          <w:numId w:val="2"/>
        </w:numPr>
        <w:spacing w:after="80" w:line="276"/>
      </w:pPr>
      <w:r>
        <w:rPr>
          <w:sz w:val="22"/>
          <w:szCs w:val="22"/>
        </w:rPr>
        <w:t xml:space="preserve">Teams Phone (antes “Phone System”): la licencia y el motor que habilita el control de llamadas tipo PBX dentro de Teams (transferencia, retención, desvío, buzón de voz en la nube, etc.).</w:t>
      </w:r>
    </w:p>
    <w:p>
      <w:pPr>
        <w:pStyle w:val="ListParagraph"/>
        <w:numPr>
          <w:ilvl w:val="0"/>
          <w:numId w:val="2"/>
        </w:numPr>
        <w:spacing w:after="80" w:line="276"/>
      </w:pPr>
      <w:r>
        <w:rPr>
          <w:sz w:val="22"/>
          <w:szCs w:val="22"/>
        </w:rPr>
        <w:t xml:space="preserve">Conectividad PSTN: el mecanismo que conecta Teams Phone con la red telefónica pública. Existen tres/cuatro modelos: Calling Plans, Operator Connect, Direct Routing y Teams Phone Mobile.</w:t>
      </w:r>
    </w:p>
    <w:p>
      <w:pPr>
        <w:pStyle w:val="ListParagraph"/>
        <w:numPr>
          <w:ilvl w:val="0"/>
          <w:numId w:val="2"/>
        </w:numPr>
        <w:spacing w:after="80" w:line="276"/>
      </w:pPr>
      <w:r>
        <w:rPr>
          <w:sz w:val="22"/>
          <w:szCs w:val="22"/>
        </w:rPr>
        <w:t xml:space="preserve">Cuentas de recursos (Resource Accounts): identidades especiales que representan aplicaciones de voz como los Auto Attendants y las colas de llamadas (Call Queues).</w:t>
      </w:r>
    </w:p>
    <w:p>
      <w:pPr>
        <w:pStyle w:val="ListParagraph"/>
        <w:numPr>
          <w:ilvl w:val="0"/>
          <w:numId w:val="2"/>
        </w:numPr>
        <w:spacing w:after="80" w:line="276"/>
      </w:pPr>
      <w:r>
        <w:rPr>
          <w:sz w:val="22"/>
          <w:szCs w:val="22"/>
        </w:rPr>
        <w:t xml:space="preserve">Políticas de voz: conjuntos de reglas (enrutamiento, marcado, llamadas) que se asignan a usuarios o grupos para controlar el comportamiento de las llamadas.</w:t>
      </w:r>
    </w:p>
    <w:p>
      <w:pPr>
        <w:pStyle w:val="ListParagraph"/>
        <w:numPr>
          <w:ilvl w:val="0"/>
          <w:numId w:val="2"/>
        </w:numPr>
        <w:spacing w:after="80" w:line="276"/>
      </w:pPr>
      <w:r>
        <w:rPr>
          <w:sz w:val="22"/>
          <w:szCs w:val="22"/>
        </w:rPr>
        <w:t xml:space="preserve">Centro de administración de Teams (Teams Admin Center): la consola web principal para configurar, asignar y monitorear todo lo relacionado con voz.</w:t>
      </w:r>
    </w:p>
    <w:p>
      <w:r>
        <w:br w:type="page"/>
      </w:r>
    </w:p>
    <w:p>
      <w:pPr>
        <w:pStyle w:val="Heading1"/>
        <w:pBdr>
          <w:bottom w:val="single" w:color="2E74B5" w:sz="6" w:space="4"/>
        </w:pBdr>
        <w:spacing w:after="200" w:before="400"/>
      </w:pPr>
      <w:r>
        <w:rPr>
          <w:b/>
          <w:bCs/>
          <w:color w:val="1F3864"/>
          <w:sz w:val="32"/>
          <w:szCs w:val="32"/>
        </w:rPr>
        <w:t xml:space="preserve">2. Conceptos generales y arquitectura</w:t>
      </w:r>
    </w:p>
    <w:p>
      <w:pPr>
        <w:pStyle w:val="Heading2"/>
        <w:spacing w:after="150" w:before="300"/>
      </w:pPr>
      <w:r>
        <w:rPr>
          <w:b/>
          <w:bCs/>
          <w:color w:val="2E74B5"/>
          <w:sz w:val="26"/>
          <w:szCs w:val="26"/>
        </w:rPr>
        <w:t xml:space="preserve">2.1 Arquitectura de alto nivel</w:t>
      </w:r>
    </w:p>
    <w:p>
      <w:pPr>
        <w:spacing w:after="160" w:line="276"/>
      </w:pPr>
      <w:r>
        <w:rPr>
          <w:sz w:val="22"/>
          <w:szCs w:val="22"/>
        </w:rPr>
        <w:t xml:space="preserve">En términos simples, una llamada saliente desde un usuario de Teams sigue este camino: el cliente de Teams inicia la llamada → el servicio de Teams Phone en Microsoft 365 valida la licencia y las políticas del usuario → se determina la ruta de salida según el modelo de conectividad PSTN configurado (Microsoft, un operador certificado, o un SBC propio) → la llamada sale hacia la red telefónica pública. Las llamadas entrantes siguen el camino inverso.</w:t>
      </w:r>
    </w:p>
    <w:p>
      <w:pPr>
        <w:spacing w:after="160" w:line="276"/>
      </w:pPr>
      <w:r>
        <w:rPr>
          <w:sz w:val="22"/>
          <w:szCs w:val="22"/>
        </w:rPr>
        <w:t xml:space="preserve">Para Direct Routing en particular, el flujo pasa por un Session Border Controller (SBC): un elemento de red (físico, virtual o como servicio administrado) que traduce protocolos de señalización SIP y medios entre el proveedor de telefonía y la nube de Microsoft, y que debe estar certificado por Microsoft.</w:t>
      </w:r>
    </w:p>
    <w:p>
      <w:pPr>
        <w:pStyle w:val="Heading2"/>
        <w:spacing w:after="150" w:before="300"/>
      </w:pPr>
      <w:r>
        <w:rPr>
          <w:b/>
          <w:bCs/>
          <w:color w:val="2E74B5"/>
          <w:sz w:val="26"/>
          <w:szCs w:val="26"/>
        </w:rPr>
        <w:t xml:space="preserve">2.2 Glosario de términos esenciales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80"/>
              <w:left w:type="dxa" w:w="100"/>
              <w:bottom w:type="dxa" w:w="80"/>
              <w:right w:type="dxa" w:w="100"/>
            </w:tcMar>
            <w:vAlign w:val="center"/>
          </w:tcPr>
          <w:p>
            <w:r>
              <w:rPr>
                <w:b/>
                <w:bCs/>
                <w:color w:val="FFFFFF"/>
                <w:sz w:val="20"/>
                <w:szCs w:val="20"/>
              </w:rPr>
              <w:t xml:space="preserve">Término</w:t>
            </w:r>
          </w:p>
        </w:tc>
        <w:tc>
          <w:tcPr>
            <w:tcW w:type="dxa" w:w="6300"/>
            <w:shd w:fill="1F3864" w:val="clear"/>
            <w:tcMar>
              <w:top w:type="dxa" w:w="80"/>
              <w:left w:type="dxa" w:w="100"/>
              <w:bottom w:type="dxa" w:w="80"/>
              <w:right w:type="dxa" w:w="100"/>
            </w:tcMar>
            <w:vAlign w:val="center"/>
          </w:tcPr>
          <w:p>
            <w:r>
              <w:rPr>
                <w:b/>
                <w:bCs/>
                <w:color w:val="FFFFFF"/>
                <w:sz w:val="20"/>
                <w:szCs w:val="20"/>
              </w:rPr>
              <w:t xml:space="preserve">Definición breve</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PSTN</w:t>
            </w:r>
          </w:p>
        </w:tc>
        <w:tc>
          <w:tcPr>
            <w:tcW w:type="dxa" w:w="6300"/>
            <w:tcMar>
              <w:top w:type="dxa" w:w="80"/>
              <w:left w:type="dxa" w:w="100"/>
              <w:bottom w:type="dxa" w:w="80"/>
              <w:right w:type="dxa" w:w="100"/>
            </w:tcMar>
            <w:vAlign w:val="center"/>
          </w:tcPr>
          <w:p>
            <w:r>
              <w:rPr>
                <w:b w:val="false"/>
                <w:bCs w:val="false"/>
                <w:color w:val="000000"/>
                <w:sz w:val="20"/>
                <w:szCs w:val="20"/>
              </w:rPr>
              <w:t xml:space="preserve">Public Switched Telephone Network: la red telefónica pública tradicional (fija y móvil).</w:t>
            </w:r>
          </w:p>
        </w:tc>
      </w:tr>
      <w:tr>
        <w:tc>
          <w:tcPr>
            <w:tcW w:type="dxa" w:w="3200"/>
            <w:shd w:fill="F2F2F2" w:val="clear"/>
            <w:tcMar>
              <w:top w:type="dxa" w:w="80"/>
              <w:left w:type="dxa" w:w="100"/>
              <w:bottom w:type="dxa" w:w="80"/>
              <w:right w:type="dxa" w:w="100"/>
            </w:tcMar>
            <w:vAlign w:val="center"/>
          </w:tcPr>
          <w:p>
            <w:r>
              <w:rPr>
                <w:b w:val="false"/>
                <w:bCs w:val="false"/>
                <w:color w:val="000000"/>
                <w:sz w:val="20"/>
                <w:szCs w:val="20"/>
              </w:rPr>
              <w:t xml:space="preserve">SBC</w:t>
            </w:r>
          </w:p>
        </w:tc>
        <w:tc>
          <w:tcPr>
            <w:tcW w:type="dxa" w:w="6300"/>
            <w:shd w:fill="F2F2F2" w:val="clear"/>
            <w:tcMar>
              <w:top w:type="dxa" w:w="80"/>
              <w:left w:type="dxa" w:w="100"/>
              <w:bottom w:type="dxa" w:w="80"/>
              <w:right w:type="dxa" w:w="100"/>
            </w:tcMar>
            <w:vAlign w:val="center"/>
          </w:tcPr>
          <w:p>
            <w:r>
              <w:rPr>
                <w:b w:val="false"/>
                <w:bCs w:val="false"/>
                <w:color w:val="000000"/>
                <w:sz w:val="20"/>
                <w:szCs w:val="20"/>
              </w:rPr>
              <w:t xml:space="preserve">Session Border Controller: equipo o servicio que conecta el trunk SIP del operador con Teams en Direct Routing.</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Trunk SIP</w:t>
            </w:r>
          </w:p>
        </w:tc>
        <w:tc>
          <w:tcPr>
            <w:tcW w:type="dxa" w:w="6300"/>
            <w:tcMar>
              <w:top w:type="dxa" w:w="80"/>
              <w:left w:type="dxa" w:w="100"/>
              <w:bottom w:type="dxa" w:w="80"/>
              <w:right w:type="dxa" w:w="100"/>
            </w:tcMar>
            <w:vAlign w:val="center"/>
          </w:tcPr>
          <w:p>
            <w:r>
              <w:rPr>
                <w:b w:val="false"/>
                <w:bCs w:val="false"/>
                <w:color w:val="000000"/>
                <w:sz w:val="20"/>
                <w:szCs w:val="20"/>
              </w:rPr>
              <w:t xml:space="preserve">Canal de comunicación entre el SBC y el proveedor de telefonía, basado en el protocolo SIP.</w:t>
            </w:r>
          </w:p>
        </w:tc>
      </w:tr>
      <w:tr>
        <w:tc>
          <w:tcPr>
            <w:tcW w:type="dxa" w:w="3200"/>
            <w:shd w:fill="F2F2F2" w:val="clear"/>
            <w:tcMar>
              <w:top w:type="dxa" w:w="80"/>
              <w:left w:type="dxa" w:w="100"/>
              <w:bottom w:type="dxa" w:w="80"/>
              <w:right w:type="dxa" w:w="100"/>
            </w:tcMar>
            <w:vAlign w:val="center"/>
          </w:tcPr>
          <w:p>
            <w:r>
              <w:rPr>
                <w:b w:val="false"/>
                <w:bCs w:val="false"/>
                <w:color w:val="000000"/>
                <w:sz w:val="20"/>
                <w:szCs w:val="20"/>
              </w:rPr>
              <w:t xml:space="preserve">Cuenta de recursos</w:t>
            </w:r>
          </w:p>
        </w:tc>
        <w:tc>
          <w:tcPr>
            <w:tcW w:type="dxa" w:w="6300"/>
            <w:shd w:fill="F2F2F2" w:val="clear"/>
            <w:tcMar>
              <w:top w:type="dxa" w:w="80"/>
              <w:left w:type="dxa" w:w="100"/>
              <w:bottom w:type="dxa" w:w="80"/>
              <w:right w:type="dxa" w:w="100"/>
            </w:tcMar>
            <w:vAlign w:val="center"/>
          </w:tcPr>
          <w:p>
            <w:r>
              <w:rPr>
                <w:b w:val="false"/>
                <w:bCs w:val="false"/>
                <w:color w:val="000000"/>
                <w:sz w:val="20"/>
                <w:szCs w:val="20"/>
              </w:rPr>
              <w:t xml:space="preserve">Identidad sin inicio de sesión interactivo usada por Auto Attendants y Colas de llamadas.</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Política de enrutamiento de voz en línea</w:t>
            </w:r>
          </w:p>
        </w:tc>
        <w:tc>
          <w:tcPr>
            <w:tcW w:type="dxa" w:w="6300"/>
            <w:tcMar>
              <w:top w:type="dxa" w:w="80"/>
              <w:left w:type="dxa" w:w="100"/>
              <w:bottom w:type="dxa" w:w="80"/>
              <w:right w:type="dxa" w:w="100"/>
            </w:tcMar>
            <w:vAlign w:val="center"/>
          </w:tcPr>
          <w:p>
            <w:r>
              <w:rPr>
                <w:b w:val="false"/>
                <w:bCs w:val="false"/>
                <w:color w:val="000000"/>
                <w:sz w:val="20"/>
                <w:szCs w:val="20"/>
              </w:rPr>
              <w:t xml:space="preserve">(Online Voice Routing Policy) Define qué rutas/trunks puede usar un usuario para llamadas salientes en Direct Routing.</w:t>
            </w:r>
          </w:p>
        </w:tc>
      </w:tr>
      <w:tr>
        <w:tc>
          <w:tcPr>
            <w:tcW w:type="dxa" w:w="3200"/>
            <w:shd w:fill="F2F2F2" w:val="clear"/>
            <w:tcMar>
              <w:top w:type="dxa" w:w="80"/>
              <w:left w:type="dxa" w:w="100"/>
              <w:bottom w:type="dxa" w:w="80"/>
              <w:right w:type="dxa" w:w="100"/>
            </w:tcMar>
            <w:vAlign w:val="center"/>
          </w:tcPr>
          <w:p>
            <w:r>
              <w:rPr>
                <w:b w:val="false"/>
                <w:bCs w:val="false"/>
                <w:color w:val="000000"/>
                <w:sz w:val="20"/>
                <w:szCs w:val="20"/>
              </w:rPr>
              <w:t xml:space="preserve">Plan de marcado (Dial Plan)</w:t>
            </w:r>
          </w:p>
        </w:tc>
        <w:tc>
          <w:tcPr>
            <w:tcW w:type="dxa" w:w="6300"/>
            <w:shd w:fill="F2F2F2" w:val="clear"/>
            <w:tcMar>
              <w:top w:type="dxa" w:w="80"/>
              <w:left w:type="dxa" w:w="100"/>
              <w:bottom w:type="dxa" w:w="80"/>
              <w:right w:type="dxa" w:w="100"/>
            </w:tcMar>
            <w:vAlign w:val="center"/>
          </w:tcPr>
          <w:p>
            <w:r>
              <w:rPr>
                <w:b w:val="false"/>
                <w:bCs w:val="false"/>
                <w:color w:val="000000"/>
                <w:sz w:val="20"/>
                <w:szCs w:val="20"/>
              </w:rPr>
              <w:t xml:space="preserve">Reglas de normalización y traducción de números marcados antes de enrutar la llamada.</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Enterprise Voice</w:t>
            </w:r>
          </w:p>
        </w:tc>
        <w:tc>
          <w:tcPr>
            <w:tcW w:type="dxa" w:w="6300"/>
            <w:tcMar>
              <w:top w:type="dxa" w:w="80"/>
              <w:left w:type="dxa" w:w="100"/>
              <w:bottom w:type="dxa" w:w="80"/>
              <w:right w:type="dxa" w:w="100"/>
            </w:tcMar>
            <w:vAlign w:val="center"/>
          </w:tcPr>
          <w:p>
            <w:r>
              <w:rPr>
                <w:b w:val="false"/>
                <w:bCs w:val="false"/>
                <w:color w:val="000000"/>
                <w:sz w:val="20"/>
                <w:szCs w:val="20"/>
              </w:rPr>
              <w:t xml:space="preserve">Atributo que habilita a un usuario para hacer/recibir llamadas PSTN (EnterpriseVoiceEnabled = True).</w:t>
            </w:r>
          </w:p>
        </w:tc>
      </w:tr>
      <w:tr>
        <w:tc>
          <w:tcPr>
            <w:tcW w:type="dxa" w:w="3200"/>
            <w:shd w:fill="F2F2F2" w:val="clear"/>
            <w:tcMar>
              <w:top w:type="dxa" w:w="80"/>
              <w:left w:type="dxa" w:w="100"/>
              <w:bottom w:type="dxa" w:w="80"/>
              <w:right w:type="dxa" w:w="100"/>
            </w:tcMar>
            <w:vAlign w:val="center"/>
          </w:tcPr>
          <w:p>
            <w:r>
              <w:rPr>
                <w:b w:val="false"/>
                <w:bCs w:val="false"/>
                <w:color w:val="000000"/>
                <w:sz w:val="20"/>
                <w:szCs w:val="20"/>
              </w:rPr>
              <w:t xml:space="preserve">Llamada compartida (Shared Calling)</w:t>
            </w:r>
          </w:p>
        </w:tc>
        <w:tc>
          <w:tcPr>
            <w:tcW w:type="dxa" w:w="6300"/>
            <w:shd w:fill="F2F2F2" w:val="clear"/>
            <w:tcMar>
              <w:top w:type="dxa" w:w="80"/>
              <w:left w:type="dxa" w:w="100"/>
              <w:bottom w:type="dxa" w:w="80"/>
              <w:right w:type="dxa" w:w="100"/>
            </w:tcMar>
            <w:vAlign w:val="center"/>
          </w:tcPr>
          <w:p>
            <w:r>
              <w:rPr>
                <w:b w:val="false"/>
                <w:bCs w:val="false"/>
                <w:color w:val="000000"/>
                <w:sz w:val="20"/>
                <w:szCs w:val="20"/>
              </w:rPr>
              <w:t xml:space="preserve">Modelo en el que varios usuarios comparten un mismo número saliente a través de una cuenta de recursos.</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Modo de coexistencia</w:t>
            </w:r>
          </w:p>
        </w:tc>
        <w:tc>
          <w:tcPr>
            <w:tcW w:type="dxa" w:w="6300"/>
            <w:tcMar>
              <w:top w:type="dxa" w:w="80"/>
              <w:left w:type="dxa" w:w="100"/>
              <w:bottom w:type="dxa" w:w="80"/>
              <w:right w:type="dxa" w:w="100"/>
            </w:tcMar>
            <w:vAlign w:val="center"/>
          </w:tcPr>
          <w:p>
            <w:r>
              <w:rPr>
                <w:b w:val="false"/>
                <w:bCs w:val="false"/>
                <w:color w:val="000000"/>
                <w:sz w:val="20"/>
                <w:szCs w:val="20"/>
              </w:rPr>
              <w:t xml:space="preserve">Configuración que define si un usuario recibe chats/llamadas en Skype Empresarial, en Teams, o en ambos, durante una migración.</w:t>
            </w:r>
          </w:p>
        </w:tc>
      </w:tr>
    </w:tbl>
    <w:p>
      <w:pPr>
        <w:pStyle w:val="Heading2"/>
        <w:spacing w:after="150" w:before="300"/>
      </w:pPr>
      <w:r>
        <w:rPr>
          <w:b/>
          <w:bCs/>
          <w:color w:val="2E74B5"/>
          <w:sz w:val="26"/>
          <w:szCs w:val="26"/>
        </w:rPr>
        <w:t xml:space="preserve">2.3 Licenciamiento</w:t>
      </w:r>
    </w:p>
    <w:p>
      <w:pPr>
        <w:spacing w:after="160" w:line="276"/>
      </w:pPr>
      <w:r>
        <w:rPr>
          <w:sz w:val="22"/>
          <w:szCs w:val="22"/>
        </w:rPr>
        <w:t xml:space="preserve">El licenciamiento de Teams Phone se compone de dos capas independientes que siempre deben combinarse:</w:t>
      </w:r>
    </w:p>
    <w:p>
      <w:pPr>
        <w:pStyle w:val="ListParagraph"/>
        <w:numPr>
          <w:ilvl w:val="0"/>
          <w:numId w:val="3"/>
        </w:numPr>
        <w:spacing w:after="80" w:line="276"/>
      </w:pPr>
      <w:r>
        <w:rPr>
          <w:sz w:val="22"/>
          <w:szCs w:val="22"/>
        </w:rPr>
        <w:t xml:space="preserve">Licencia de Teams Phone (antes “Phone System”): habilita las funciones de PBX en la nube (transferir, retener, desviar, colas, auto attendants, buzón de voz). Está incluida en Microsoft 365 E5 / A5 / G5, y disponible como complemento (add-on) para E1/E3 y planes Business.</w:t>
      </w:r>
    </w:p>
    <w:p>
      <w:pPr>
        <w:pStyle w:val="ListParagraph"/>
        <w:numPr>
          <w:ilvl w:val="0"/>
          <w:numId w:val="3"/>
        </w:numPr>
        <w:spacing w:after="80" w:line="276"/>
      </w:pPr>
      <w:r>
        <w:rPr>
          <w:sz w:val="22"/>
          <w:szCs w:val="22"/>
        </w:rPr>
        <w:t xml:space="preserve">Conectividad PSTN: se contrata por separado, mediante Calling Plans, Operator Connect o Direct Routing. Esta capa es la que realmente permite llamar a números externos; sin ella, Teams Phone solo permite llamadas internas entre usuarios de Teams.</w:t>
      </w:r>
    </w:p>
    <w:p>
      <w:pPr>
        <w:spacing w:after="160" w:line="276"/>
      </w:pPr>
      <w:r>
        <w:rPr>
          <w:sz w:val="22"/>
          <w:szCs w:val="22"/>
        </w:rPr>
        <w:t xml:space="preserve">Adicionalmente existen licencias específicas para escenarios particulares:</w:t>
      </w:r>
    </w:p>
    <w:p>
      <w:pPr>
        <w:pStyle w:val="ListParagraph"/>
        <w:numPr>
          <w:ilvl w:val="0"/>
          <w:numId w:val="2"/>
        </w:numPr>
        <w:spacing w:after="80" w:line="276"/>
      </w:pPr>
      <w:r>
        <w:rPr>
          <w:sz w:val="22"/>
          <w:szCs w:val="22"/>
        </w:rPr>
        <w:t xml:space="preserve">Cuenta de recursos (Resource Account): requerida para cada Auto Attendant o Cola de llamadas. Los tenants con Teams Phone reciben una cuota de licencias gratuitas de cuentas de recursos.</w:t>
      </w:r>
    </w:p>
    <w:p>
      <w:pPr>
        <w:pStyle w:val="ListParagraph"/>
        <w:numPr>
          <w:ilvl w:val="0"/>
          <w:numId w:val="2"/>
        </w:numPr>
        <w:spacing w:after="80" w:line="276"/>
      </w:pPr>
      <w:r>
        <w:rPr>
          <w:sz w:val="22"/>
          <w:szCs w:val="22"/>
        </w:rPr>
        <w:t xml:space="preserve">Audio Conferencing: permite a personas externas unirse a reuniones marcando un número telefónico; es una licencia distinta a Teams Phone.</w:t>
      </w:r>
    </w:p>
    <w:p>
      <w:pPr>
        <w:pStyle w:val="ListParagraph"/>
        <w:numPr>
          <w:ilvl w:val="0"/>
          <w:numId w:val="2"/>
        </w:numPr>
        <w:spacing w:after="80" w:line="276"/>
      </w:pPr>
      <w:r>
        <w:rPr>
          <w:sz w:val="22"/>
          <w:szCs w:val="22"/>
        </w:rPr>
        <w:t xml:space="preserve">Créditos de comunicación (Communications Credits): saldo prepagado para llamadas internacionales o escenarios “pay-as-you-go” que exceden el paquete contratado.</w:t>
      </w:r>
    </w:p>
    <w:p>
      <w:pPr>
        <w:pBdr>
          <w:left w:val="single" w:color="2E74B5" w:sz="18" w:space="8"/>
        </w:pBdr>
        <w:shd w:fill="DDEBF7" w:val="clear"/>
        <w:spacing w:after="200" w:before="100"/>
        <w:ind w:left="100"/>
      </w:pPr>
      <w:r>
        <w:rPr>
          <w:i/>
          <w:iCs/>
          <w:color w:val="1F3864"/>
          <w:sz w:val="20"/>
          <w:szCs w:val="20"/>
        </w:rPr>
        <w:t xml:space="preserve">Nota: Desde noviembre de 2025, las cuentas de recursos que realizan llamadas salientes a la PSTN (por ejemplo, un Call Queue devolviendo una llamada) requieren créditos de comunicación o una licencia de pago por uso; ya no basta con una licencia de Calling Plan asignada a la cuenta de recursos.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500"/>
        <w:gridCol w:w="2000"/>
      </w:tblGrid>
      <w:tr>
        <w:trPr>
          <w:tblHeader/>
        </w:trPr>
        <w:tc>
          <w:tcPr>
            <w:tcW w:type="dxa" w:w="3000"/>
            <w:shd w:fill="1F3864" w:val="clear"/>
            <w:tcMar>
              <w:top w:type="dxa" w:w="80"/>
              <w:left w:type="dxa" w:w="100"/>
              <w:bottom w:type="dxa" w:w="80"/>
              <w:right w:type="dxa" w:w="100"/>
            </w:tcMar>
            <w:vAlign w:val="center"/>
          </w:tcPr>
          <w:p>
            <w:r>
              <w:rPr>
                <w:b/>
                <w:bCs/>
                <w:color w:val="FFFFFF"/>
                <w:sz w:val="20"/>
                <w:szCs w:val="20"/>
              </w:rPr>
              <w:t xml:space="preserve">Modelo de licencia</w:t>
            </w:r>
          </w:p>
        </w:tc>
        <w:tc>
          <w:tcPr>
            <w:tcW w:type="dxa" w:w="2000"/>
            <w:shd w:fill="1F3864" w:val="clear"/>
            <w:tcMar>
              <w:top w:type="dxa" w:w="80"/>
              <w:left w:type="dxa" w:w="100"/>
              <w:bottom w:type="dxa" w:w="80"/>
              <w:right w:type="dxa" w:w="100"/>
            </w:tcMar>
            <w:vAlign w:val="center"/>
          </w:tcPr>
          <w:p>
            <w:r>
              <w:rPr>
                <w:b/>
                <w:bCs/>
                <w:color w:val="FFFFFF"/>
                <w:sz w:val="20"/>
                <w:szCs w:val="20"/>
              </w:rPr>
              <w:t xml:space="preserve">Incluye Teams Phone</w:t>
            </w:r>
          </w:p>
        </w:tc>
        <w:tc>
          <w:tcPr>
            <w:tcW w:type="dxa" w:w="2500"/>
            <w:shd w:fill="1F3864" w:val="clear"/>
            <w:tcMar>
              <w:top w:type="dxa" w:w="80"/>
              <w:left w:type="dxa" w:w="100"/>
              <w:bottom w:type="dxa" w:w="80"/>
              <w:right w:type="dxa" w:w="100"/>
            </w:tcMar>
            <w:vAlign w:val="center"/>
          </w:tcPr>
          <w:p>
            <w:r>
              <w:rPr>
                <w:b/>
                <w:bCs/>
                <w:color w:val="FFFFFF"/>
                <w:sz w:val="20"/>
                <w:szCs w:val="20"/>
              </w:rPr>
              <w:t xml:space="preserve">Requiere add-on</w:t>
            </w:r>
          </w:p>
        </w:tc>
        <w:tc>
          <w:tcPr>
            <w:tcW w:type="dxa" w:w="2000"/>
            <w:shd w:fill="1F3864" w:val="clear"/>
            <w:tcMar>
              <w:top w:type="dxa" w:w="80"/>
              <w:left w:type="dxa" w:w="100"/>
              <w:bottom w:type="dxa" w:w="80"/>
              <w:right w:type="dxa" w:w="100"/>
            </w:tcMar>
            <w:vAlign w:val="center"/>
          </w:tcPr>
          <w:p>
            <w:r>
              <w:rPr>
                <w:b/>
                <w:bCs/>
                <w:color w:val="FFFFFF"/>
                <w:sz w:val="20"/>
                <w:szCs w:val="20"/>
              </w:rPr>
              <w:t xml:space="preserve">Comentario</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Microsoft 365 / Office 365 E5</w:t>
            </w:r>
          </w:p>
        </w:tc>
        <w:tc>
          <w:tcPr>
            <w:tcW w:type="dxa" w:w="2000"/>
            <w:tcMar>
              <w:top w:type="dxa" w:w="80"/>
              <w:left w:type="dxa" w:w="100"/>
              <w:bottom w:type="dxa" w:w="80"/>
              <w:right w:type="dxa" w:w="100"/>
            </w:tcMar>
            <w:vAlign w:val="center"/>
          </w:tcPr>
          <w:p>
            <w:r>
              <w:rPr>
                <w:b w:val="false"/>
                <w:bCs w:val="false"/>
                <w:color w:val="000000"/>
                <w:sz w:val="20"/>
                <w:szCs w:val="20"/>
              </w:rPr>
              <w:t xml:space="preserve">Sí</w:t>
            </w:r>
          </w:p>
        </w:tc>
        <w:tc>
          <w:tcPr>
            <w:tcW w:type="dxa" w:w="2500"/>
            <w:tcMar>
              <w:top w:type="dxa" w:w="80"/>
              <w:left w:type="dxa" w:w="100"/>
              <w:bottom w:type="dxa" w:w="80"/>
              <w:right w:type="dxa" w:w="100"/>
            </w:tcMar>
            <w:vAlign w:val="center"/>
          </w:tcPr>
          <w:p>
            <w:r>
              <w:rPr>
                <w:b w:val="false"/>
                <w:bCs w:val="false"/>
                <w:color w:val="000000"/>
                <w:sz w:val="20"/>
                <w:szCs w:val="20"/>
              </w:rPr>
              <w:t xml:space="preserve">No (solo conectividad PSTN)</w:t>
            </w:r>
          </w:p>
        </w:tc>
        <w:tc>
          <w:tcPr>
            <w:tcW w:type="dxa" w:w="2000"/>
            <w:tcMar>
              <w:top w:type="dxa" w:w="80"/>
              <w:left w:type="dxa" w:w="100"/>
              <w:bottom w:type="dxa" w:w="80"/>
              <w:right w:type="dxa" w:w="100"/>
            </w:tcMar>
            <w:vAlign w:val="center"/>
          </w:tcPr>
          <w:p>
            <w:r>
              <w:rPr>
                <w:b w:val="false"/>
                <w:bCs w:val="false"/>
                <w:color w:val="000000"/>
                <w:sz w:val="20"/>
                <w:szCs w:val="20"/>
              </w:rPr>
              <w:t xml:space="preserve">Opción más simple para grandes empresas que ya usan E5.</w:t>
            </w:r>
          </w:p>
        </w:tc>
      </w:tr>
      <w:tr>
        <w:tc>
          <w:tcPr>
            <w:tcW w:type="dxa" w:w="3000"/>
            <w:shd w:fill="F2F2F2" w:val="clear"/>
            <w:tcMar>
              <w:top w:type="dxa" w:w="80"/>
              <w:left w:type="dxa" w:w="100"/>
              <w:bottom w:type="dxa" w:w="80"/>
              <w:right w:type="dxa" w:w="100"/>
            </w:tcMar>
            <w:vAlign w:val="center"/>
          </w:tcPr>
          <w:p>
            <w:r>
              <w:rPr>
                <w:b w:val="false"/>
                <w:bCs w:val="false"/>
                <w:color w:val="000000"/>
                <w:sz w:val="20"/>
                <w:szCs w:val="20"/>
              </w:rPr>
              <w:t xml:space="preserve">Microsoft 365 E3 / E1 / Business</w:t>
            </w:r>
          </w:p>
        </w:tc>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No</w:t>
            </w:r>
          </w:p>
        </w:tc>
        <w:tc>
          <w:tcPr>
            <w:tcW w:type="dxa" w:w="2500"/>
            <w:shd w:fill="F2F2F2" w:val="clear"/>
            <w:tcMar>
              <w:top w:type="dxa" w:w="80"/>
              <w:left w:type="dxa" w:w="100"/>
              <w:bottom w:type="dxa" w:w="80"/>
              <w:right w:type="dxa" w:w="100"/>
            </w:tcMar>
            <w:vAlign w:val="center"/>
          </w:tcPr>
          <w:p>
            <w:r>
              <w:rPr>
                <w:b w:val="false"/>
                <w:bCs w:val="false"/>
                <w:color w:val="000000"/>
                <w:sz w:val="20"/>
                <w:szCs w:val="20"/>
              </w:rPr>
              <w:t xml:space="preserve">Sí, Teams Phone Standard (~US$8/usuario/mes)</w:t>
            </w:r>
          </w:p>
        </w:tc>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Se agrega como complemento por usuario.</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Cuenta de recursos (Auto Attendant / Call Queue)</w:t>
            </w:r>
          </w:p>
        </w:tc>
        <w:tc>
          <w:tcPr>
            <w:tcW w:type="dxa" w:w="2000"/>
            <w:tcMar>
              <w:top w:type="dxa" w:w="80"/>
              <w:left w:type="dxa" w:w="100"/>
              <w:bottom w:type="dxa" w:w="80"/>
              <w:right w:type="dxa" w:w="100"/>
            </w:tcMar>
            <w:vAlign w:val="center"/>
          </w:tcPr>
          <w:p>
            <w:r>
              <w:rPr>
                <w:b w:val="false"/>
                <w:bCs w:val="false"/>
                <w:color w:val="000000"/>
                <w:sz w:val="20"/>
                <w:szCs w:val="20"/>
              </w:rPr>
              <w:t xml:space="preserve">N/A</w:t>
            </w:r>
          </w:p>
        </w:tc>
        <w:tc>
          <w:tcPr>
            <w:tcW w:type="dxa" w:w="2500"/>
            <w:tcMar>
              <w:top w:type="dxa" w:w="80"/>
              <w:left w:type="dxa" w:w="100"/>
              <w:bottom w:type="dxa" w:w="80"/>
              <w:right w:type="dxa" w:w="100"/>
            </w:tcMar>
            <w:vAlign w:val="center"/>
          </w:tcPr>
          <w:p>
            <w:r>
              <w:rPr>
                <w:b w:val="false"/>
                <w:bCs w:val="false"/>
                <w:color w:val="000000"/>
                <w:sz w:val="20"/>
                <w:szCs w:val="20"/>
              </w:rPr>
              <w:t xml:space="preserve">Licencia de cuenta de recursos</w:t>
            </w:r>
          </w:p>
        </w:tc>
        <w:tc>
          <w:tcPr>
            <w:tcW w:type="dxa" w:w="2000"/>
            <w:tcMar>
              <w:top w:type="dxa" w:w="80"/>
              <w:left w:type="dxa" w:w="100"/>
              <w:bottom w:type="dxa" w:w="80"/>
              <w:right w:type="dxa" w:w="100"/>
            </w:tcMar>
            <w:vAlign w:val="center"/>
          </w:tcPr>
          <w:p>
            <w:r>
              <w:rPr>
                <w:b w:val="false"/>
                <w:bCs w:val="false"/>
                <w:color w:val="000000"/>
                <w:sz w:val="20"/>
                <w:szCs w:val="20"/>
              </w:rPr>
              <w:t xml:space="preserve">Cuota gratuita incluida según el número de usuarios de Teams Phone.</w:t>
            </w:r>
          </w:p>
        </w:tc>
      </w:tr>
    </w:tbl>
    <w:p>
      <w:r>
        <w:br w:type="page"/>
      </w:r>
    </w:p>
    <w:p>
      <w:pPr>
        <w:pStyle w:val="Heading1"/>
        <w:pBdr>
          <w:bottom w:val="single" w:color="2E74B5" w:sz="6" w:space="4"/>
        </w:pBdr>
        <w:spacing w:after="200" w:before="400"/>
      </w:pPr>
      <w:r>
        <w:rPr>
          <w:b/>
          <w:bCs/>
          <w:color w:val="1F3864"/>
          <w:sz w:val="32"/>
          <w:szCs w:val="32"/>
        </w:rPr>
        <w:t xml:space="preserve">3. Opciones de conectividad PSTN</w:t>
      </w:r>
    </w:p>
    <w:p>
      <w:pPr>
        <w:spacing w:after="160" w:line="276"/>
      </w:pPr>
      <w:r>
        <w:rPr>
          <w:sz w:val="22"/>
          <w:szCs w:val="22"/>
        </w:rPr>
        <w:t xml:space="preserve">Microsoft documenta actualmente cuatro modelos de conectividad PSTN. Todos requieren la licencia de Teams Phone; la diferencia está en quién provee y administra el acceso a la red telefónica pública.</w:t>
      </w:r>
    </w:p>
    <w:p>
      <w:pPr>
        <w:pStyle w:val="Heading2"/>
        <w:spacing w:after="150" w:before="300"/>
      </w:pPr>
      <w:r>
        <w:rPr>
          <w:b/>
          <w:bCs/>
          <w:color w:val="2E74B5"/>
          <w:sz w:val="26"/>
          <w:szCs w:val="26"/>
        </w:rPr>
        <w:t xml:space="preserve">3.1 Microsoft Calling Plans</w:t>
      </w:r>
    </w:p>
    <w:p>
      <w:pPr>
        <w:spacing w:after="160" w:line="276"/>
      </w:pPr>
      <w:r>
        <w:rPr>
          <w:sz w:val="22"/>
          <w:szCs w:val="22"/>
        </w:rPr>
        <w:t xml:space="preserve">Microsoft actúa como operador. La organización compra un paquete de minutos (nacional, internacional, o ambos) y Microsoft provee y administra los números telefónicos. Es la opción más sencilla de configurar, ya que todo se gestiona desde el Centro de administración de Teams, pero su disponibilidad varía según el país y suele ser más costosa a gran escala.</w:t>
      </w:r>
    </w:p>
    <w:p>
      <w:pPr>
        <w:pStyle w:val="Heading2"/>
        <w:spacing w:after="150" w:before="300"/>
      </w:pPr>
      <w:r>
        <w:rPr>
          <w:b/>
          <w:bCs/>
          <w:color w:val="2E74B5"/>
          <w:sz w:val="26"/>
          <w:szCs w:val="26"/>
        </w:rPr>
        <w:t xml:space="preserve">3.2 Operator Connect</w:t>
      </w:r>
    </w:p>
    <w:p>
      <w:pPr>
        <w:spacing w:after="160" w:line="276"/>
      </w:pPr>
      <w:r>
        <w:rPr>
          <w:sz w:val="22"/>
          <w:szCs w:val="22"/>
        </w:rPr>
        <w:t xml:space="preserve">Un operador certificado por Microsoft provee la conectividad PSTN, pero la administración de números y asignaciones se sigue haciendo desde el Centro de administración de Teams, sin necesidad de desplegar un SBC propio. El operador gestiona la infraestructura (incluyendo el SBC) y factura por separado. Suele ofrecer tarifas más competitivas que los Calling Plans y una implementación más rápida que Direct Routing.</w:t>
      </w:r>
    </w:p>
    <w:p>
      <w:pPr>
        <w:pStyle w:val="Heading2"/>
        <w:spacing w:after="150" w:before="300"/>
      </w:pPr>
      <w:r>
        <w:rPr>
          <w:b/>
          <w:bCs/>
          <w:color w:val="2E74B5"/>
          <w:sz w:val="26"/>
          <w:szCs w:val="26"/>
        </w:rPr>
        <w:t xml:space="preserve">3.3 Direct Routing</w:t>
      </w:r>
    </w:p>
    <w:p>
      <w:pPr>
        <w:spacing w:after="160" w:line="276"/>
      </w:pPr>
      <w:r>
        <w:rPr>
          <w:sz w:val="22"/>
          <w:szCs w:val="22"/>
        </w:rPr>
        <w:t xml:space="preserve">Permite conectar cualquier operador PSTN (certificado o no) mediante un SBC certificado por Microsoft, que puede ser propio, administrado por un integrador, o contratado como servicio (Direct Routing as a Service, DRaaS). Es el modelo más flexible: permite conservar contratos y numeración existentes, integrar centrales PBX de terceros, dispositivos analógicos y escenarios de enrutamiento avanzado o multinacional. A cambio, requiere mayor conocimiento técnico (certificados TLS, SIP, DNS, políticas de enrutamiento de voz).</w:t>
      </w:r>
    </w:p>
    <w:p>
      <w:pPr>
        <w:pBdr>
          <w:left w:val="single" w:color="2E74B5" w:sz="18" w:space="8"/>
        </w:pBdr>
        <w:shd w:fill="DDEBF7" w:val="clear"/>
        <w:spacing w:after="200" w:before="100"/>
        <w:ind w:left="100"/>
      </w:pPr>
      <w:r>
        <w:rPr>
          <w:i/>
          <w:iCs/>
          <w:color w:val="1F3864"/>
          <w:sz w:val="20"/>
          <w:szCs w:val="20"/>
        </w:rPr>
        <w:t xml:space="preserve">Nota: A comienzos de 2026, Microsoft actualizó las autoridades certificadoras raíz utilizadas para la señalización SIP entre su infraestructura y los SBC de los clientes, como parte de cambios más amplios de la industria en materia de certificados TLS. Si su organización opera Direct Routing, es necesario verificar que el SBC use una cadena de certificados vigente.</w:t>
      </w:r>
    </w:p>
    <w:p>
      <w:pPr>
        <w:pStyle w:val="Heading2"/>
        <w:spacing w:after="150" w:before="300"/>
      </w:pPr>
      <w:r>
        <w:rPr>
          <w:b/>
          <w:bCs/>
          <w:color w:val="2E74B5"/>
          <w:sz w:val="26"/>
          <w:szCs w:val="26"/>
        </w:rPr>
        <w:t xml:space="preserve">3.4 Teams Phone Mobile</w:t>
      </w:r>
    </w:p>
    <w:p>
      <w:pPr>
        <w:spacing w:after="160" w:line="276"/>
      </w:pPr>
      <w:r>
        <w:rPr>
          <w:sz w:val="22"/>
          <w:szCs w:val="22"/>
        </w:rPr>
        <w:t xml:space="preserve">El número SIM de un operador móvil certificado se convierte en el número de Teams Phone del usuario. Las llamadas, el historial y el buzón de voz quedan sincronizados entre el marcador nativo del teléfono y la aplicación de Teams. Es adecuado para personal de campo o fuerza de trabajo móvil, aunque la disponibilidad depende de los operadores certificados en cada país.</w:t>
      </w:r>
    </w:p>
    <w:p>
      <w:pPr>
        <w:pStyle w:val="Heading2"/>
        <w:spacing w:after="150" w:before="300"/>
      </w:pPr>
      <w:r>
        <w:rPr>
          <w:b/>
          <w:bCs/>
          <w:color w:val="2E74B5"/>
          <w:sz w:val="26"/>
          <w:szCs w:val="26"/>
        </w:rPr>
        <w:t xml:space="preserve">3.5 Comparación general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700"/>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Criterio</w:t>
            </w:r>
          </w:p>
        </w:tc>
        <w:tc>
          <w:tcPr>
            <w:tcW w:type="dxa" w:w="2200"/>
            <w:shd w:fill="1F3864" w:val="clear"/>
            <w:tcMar>
              <w:top w:type="dxa" w:w="80"/>
              <w:left w:type="dxa" w:w="100"/>
              <w:bottom w:type="dxa" w:w="80"/>
              <w:right w:type="dxa" w:w="100"/>
            </w:tcMar>
            <w:vAlign w:val="center"/>
          </w:tcPr>
          <w:p>
            <w:r>
              <w:rPr>
                <w:b/>
                <w:bCs/>
                <w:color w:val="FFFFFF"/>
                <w:sz w:val="20"/>
                <w:szCs w:val="20"/>
              </w:rPr>
              <w:t xml:space="preserve">Calling Plans</w:t>
            </w:r>
          </w:p>
        </w:tc>
        <w:tc>
          <w:tcPr>
            <w:tcW w:type="dxa" w:w="2200"/>
            <w:shd w:fill="1F3864" w:val="clear"/>
            <w:tcMar>
              <w:top w:type="dxa" w:w="80"/>
              <w:left w:type="dxa" w:w="100"/>
              <w:bottom w:type="dxa" w:w="80"/>
              <w:right w:type="dxa" w:w="100"/>
            </w:tcMar>
            <w:vAlign w:val="center"/>
          </w:tcPr>
          <w:p>
            <w:r>
              <w:rPr>
                <w:b/>
                <w:bCs/>
                <w:color w:val="FFFFFF"/>
                <w:sz w:val="20"/>
                <w:szCs w:val="20"/>
              </w:rPr>
              <w:t xml:space="preserve">Operator Connect</w:t>
            </w:r>
          </w:p>
        </w:tc>
        <w:tc>
          <w:tcPr>
            <w:tcW w:type="dxa" w:w="2700"/>
            <w:shd w:fill="1F3864" w:val="clear"/>
            <w:tcMar>
              <w:top w:type="dxa" w:w="80"/>
              <w:left w:type="dxa" w:w="100"/>
              <w:bottom w:type="dxa" w:w="80"/>
              <w:right w:type="dxa" w:w="100"/>
            </w:tcMar>
            <w:vAlign w:val="center"/>
          </w:tcPr>
          <w:p>
            <w:r>
              <w:rPr>
                <w:b/>
                <w:bCs/>
                <w:color w:val="FFFFFF"/>
                <w:sz w:val="20"/>
                <w:szCs w:val="20"/>
              </w:rPr>
              <w:t xml:space="preserve">Direct Routing</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¿Quién administra el SBC?</w:t>
            </w:r>
          </w:p>
        </w:tc>
        <w:tc>
          <w:tcPr>
            <w:tcW w:type="dxa" w:w="2200"/>
            <w:tcMar>
              <w:top w:type="dxa" w:w="80"/>
              <w:left w:type="dxa" w:w="100"/>
              <w:bottom w:type="dxa" w:w="80"/>
              <w:right w:type="dxa" w:w="100"/>
            </w:tcMar>
            <w:vAlign w:val="center"/>
          </w:tcPr>
          <w:p>
            <w:r>
              <w:rPr>
                <w:b w:val="false"/>
                <w:bCs w:val="false"/>
                <w:color w:val="000000"/>
                <w:sz w:val="20"/>
                <w:szCs w:val="20"/>
              </w:rPr>
              <w:t xml:space="preserve">Microsoft</w:t>
            </w:r>
          </w:p>
        </w:tc>
        <w:tc>
          <w:tcPr>
            <w:tcW w:type="dxa" w:w="2200"/>
            <w:tcMar>
              <w:top w:type="dxa" w:w="80"/>
              <w:left w:type="dxa" w:w="100"/>
              <w:bottom w:type="dxa" w:w="80"/>
              <w:right w:type="dxa" w:w="100"/>
            </w:tcMar>
            <w:vAlign w:val="center"/>
          </w:tcPr>
          <w:p>
            <w:r>
              <w:rPr>
                <w:b w:val="false"/>
                <w:bCs w:val="false"/>
                <w:color w:val="000000"/>
                <w:sz w:val="20"/>
                <w:szCs w:val="20"/>
              </w:rPr>
              <w:t xml:space="preserve">El operador</w:t>
            </w:r>
          </w:p>
        </w:tc>
        <w:tc>
          <w:tcPr>
            <w:tcW w:type="dxa" w:w="2700"/>
            <w:tcMar>
              <w:top w:type="dxa" w:w="80"/>
              <w:left w:type="dxa" w:w="100"/>
              <w:bottom w:type="dxa" w:w="80"/>
              <w:right w:type="dxa" w:w="100"/>
            </w:tcMar>
            <w:vAlign w:val="center"/>
          </w:tcPr>
          <w:p>
            <w:r>
              <w:rPr>
                <w:b w:val="false"/>
                <w:bCs w:val="false"/>
                <w:color w:val="000000"/>
                <w:sz w:val="20"/>
                <w:szCs w:val="20"/>
              </w:rPr>
              <w:t xml:space="preserve">El cliente, un integrador o un DRaaS</w:t>
            </w:r>
          </w:p>
        </w:tc>
      </w:tr>
      <w:tr>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Complejidad de despliegue</w:t>
            </w:r>
          </w:p>
        </w:tc>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Baja</w:t>
            </w:r>
          </w:p>
        </w:tc>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Baja-media</w:t>
            </w:r>
          </w:p>
        </w:tc>
        <w:tc>
          <w:tcPr>
            <w:tcW w:type="dxa" w:w="2700"/>
            <w:shd w:fill="F2F2F2" w:val="clear"/>
            <w:tcMar>
              <w:top w:type="dxa" w:w="80"/>
              <w:left w:type="dxa" w:w="100"/>
              <w:bottom w:type="dxa" w:w="80"/>
              <w:right w:type="dxa" w:w="100"/>
            </w:tcMar>
            <w:vAlign w:val="center"/>
          </w:tcPr>
          <w:p>
            <w:r>
              <w:rPr>
                <w:b w:val="false"/>
                <w:bCs w:val="false"/>
                <w:color w:val="000000"/>
                <w:sz w:val="20"/>
                <w:szCs w:val="20"/>
              </w:rPr>
              <w:t xml:space="preserve">Media-alta</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Flexibilidad de enrutamiento</w:t>
            </w:r>
          </w:p>
        </w:tc>
        <w:tc>
          <w:tcPr>
            <w:tcW w:type="dxa" w:w="2200"/>
            <w:tcMar>
              <w:top w:type="dxa" w:w="80"/>
              <w:left w:type="dxa" w:w="100"/>
              <w:bottom w:type="dxa" w:w="80"/>
              <w:right w:type="dxa" w:w="100"/>
            </w:tcMar>
            <w:vAlign w:val="center"/>
          </w:tcPr>
          <w:p>
            <w:r>
              <w:rPr>
                <w:b w:val="false"/>
                <w:bCs w:val="false"/>
                <w:color w:val="000000"/>
                <w:sz w:val="20"/>
                <w:szCs w:val="20"/>
              </w:rPr>
              <w:t xml:space="preserve">Limitada</w:t>
            </w:r>
          </w:p>
        </w:tc>
        <w:tc>
          <w:tcPr>
            <w:tcW w:type="dxa" w:w="2200"/>
            <w:tcMar>
              <w:top w:type="dxa" w:w="80"/>
              <w:left w:type="dxa" w:w="100"/>
              <w:bottom w:type="dxa" w:w="80"/>
              <w:right w:type="dxa" w:w="100"/>
            </w:tcMar>
            <w:vAlign w:val="center"/>
          </w:tcPr>
          <w:p>
            <w:r>
              <w:rPr>
                <w:b w:val="false"/>
                <w:bCs w:val="false"/>
                <w:color w:val="000000"/>
                <w:sz w:val="20"/>
                <w:szCs w:val="20"/>
              </w:rPr>
              <w:t xml:space="preserve">Media</w:t>
            </w:r>
          </w:p>
        </w:tc>
        <w:tc>
          <w:tcPr>
            <w:tcW w:type="dxa" w:w="2700"/>
            <w:tcMar>
              <w:top w:type="dxa" w:w="80"/>
              <w:left w:type="dxa" w:w="100"/>
              <w:bottom w:type="dxa" w:w="80"/>
              <w:right w:type="dxa" w:w="100"/>
            </w:tcMar>
            <w:vAlign w:val="center"/>
          </w:tcPr>
          <w:p>
            <w:r>
              <w:rPr>
                <w:b w:val="false"/>
                <w:bCs w:val="false"/>
                <w:color w:val="000000"/>
                <w:sz w:val="20"/>
                <w:szCs w:val="20"/>
              </w:rPr>
              <w:t xml:space="preserve">Alta</w:t>
            </w:r>
          </w:p>
        </w:tc>
      </w:tr>
      <w:tr>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Cobertura geográfica</w:t>
            </w:r>
          </w:p>
        </w:tc>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Limitada a países soportados por Microsoft</w:t>
            </w:r>
          </w:p>
        </w:tc>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Según cobertura del operador elegido</w:t>
            </w:r>
          </w:p>
        </w:tc>
        <w:tc>
          <w:tcPr>
            <w:tcW w:type="dxa" w:w="2700"/>
            <w:shd w:fill="F2F2F2" w:val="clear"/>
            <w:tcMar>
              <w:top w:type="dxa" w:w="80"/>
              <w:left w:type="dxa" w:w="100"/>
              <w:bottom w:type="dxa" w:w="80"/>
              <w:right w:type="dxa" w:w="100"/>
            </w:tcMar>
            <w:vAlign w:val="center"/>
          </w:tcPr>
          <w:p>
            <w:r>
              <w:rPr>
                <w:b w:val="false"/>
                <w:bCs w:val="false"/>
                <w:color w:val="000000"/>
                <w:sz w:val="20"/>
                <w:szCs w:val="20"/>
              </w:rPr>
              <w:t xml:space="preserve">Cualquier país donde el operador propio dé servicio</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Integración con PBX/analógicos</w:t>
            </w:r>
          </w:p>
        </w:tc>
        <w:tc>
          <w:tcPr>
            <w:tcW w:type="dxa" w:w="2200"/>
            <w:tcMar>
              <w:top w:type="dxa" w:w="80"/>
              <w:left w:type="dxa" w:w="100"/>
              <w:bottom w:type="dxa" w:w="80"/>
              <w:right w:type="dxa" w:w="100"/>
            </w:tcMar>
            <w:vAlign w:val="center"/>
          </w:tcPr>
          <w:p>
            <w:r>
              <w:rPr>
                <w:b w:val="false"/>
                <w:bCs w:val="false"/>
                <w:color w:val="000000"/>
                <w:sz w:val="20"/>
                <w:szCs w:val="20"/>
              </w:rPr>
              <w:t xml:space="preserve">No</w:t>
            </w:r>
          </w:p>
        </w:tc>
        <w:tc>
          <w:tcPr>
            <w:tcW w:type="dxa" w:w="2200"/>
            <w:tcMar>
              <w:top w:type="dxa" w:w="80"/>
              <w:left w:type="dxa" w:w="100"/>
              <w:bottom w:type="dxa" w:w="80"/>
              <w:right w:type="dxa" w:w="100"/>
            </w:tcMar>
            <w:vAlign w:val="center"/>
          </w:tcPr>
          <w:p>
            <w:r>
              <w:rPr>
                <w:b w:val="false"/>
                <w:bCs w:val="false"/>
                <w:color w:val="000000"/>
                <w:sz w:val="20"/>
                <w:szCs w:val="20"/>
              </w:rPr>
              <w:t xml:space="preserve">Limitada (según operador)</w:t>
            </w:r>
          </w:p>
        </w:tc>
        <w:tc>
          <w:tcPr>
            <w:tcW w:type="dxa" w:w="2700"/>
            <w:tcMar>
              <w:top w:type="dxa" w:w="80"/>
              <w:left w:type="dxa" w:w="100"/>
              <w:bottom w:type="dxa" w:w="80"/>
              <w:right w:type="dxa" w:w="100"/>
            </w:tcMar>
            <w:vAlign w:val="center"/>
          </w:tcPr>
          <w:p>
            <w:r>
              <w:rPr>
                <w:b w:val="false"/>
                <w:bCs w:val="false"/>
                <w:color w:val="000000"/>
                <w:sz w:val="20"/>
                <w:szCs w:val="20"/>
              </w:rPr>
              <w:t xml:space="preserve">Sí</w:t>
            </w:r>
          </w:p>
        </w:tc>
      </w:tr>
      <w:tr>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Costo típico a escala</w:t>
            </w:r>
          </w:p>
        </w:tc>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Más alto</w:t>
            </w:r>
          </w:p>
        </w:tc>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Medio</w:t>
            </w:r>
          </w:p>
        </w:tc>
        <w:tc>
          <w:tcPr>
            <w:tcW w:type="dxa" w:w="2700"/>
            <w:shd w:fill="F2F2F2" w:val="clear"/>
            <w:tcMar>
              <w:top w:type="dxa" w:w="80"/>
              <w:left w:type="dxa" w:w="100"/>
              <w:bottom w:type="dxa" w:w="80"/>
              <w:right w:type="dxa" w:w="100"/>
            </w:tcMar>
            <w:vAlign w:val="center"/>
          </w:tcPr>
          <w:p>
            <w:r>
              <w:rPr>
                <w:b w:val="false"/>
                <w:bCs w:val="false"/>
                <w:color w:val="000000"/>
                <w:sz w:val="20"/>
                <w:szCs w:val="20"/>
              </w:rPr>
              <w:t xml:space="preserve">Más bajo por minuto</w:t>
            </w:r>
          </w:p>
        </w:tc>
      </w:tr>
    </w:tbl>
    <w:p>
      <w:pPr>
        <w:pStyle w:val="Heading2"/>
        <w:spacing w:after="150" w:before="300"/>
      </w:pPr>
      <w:r>
        <w:rPr>
          <w:b/>
          <w:bCs/>
          <w:color w:val="2E74B5"/>
          <w:sz w:val="26"/>
          <w:szCs w:val="26"/>
        </w:rPr>
        <w:t xml:space="preserve">3.6 Escenarios híbridos</w:t>
      </w:r>
    </w:p>
    <w:p>
      <w:pPr>
        <w:spacing w:after="160" w:line="276"/>
      </w:pPr>
      <w:r>
        <w:rPr>
          <w:sz w:val="22"/>
          <w:szCs w:val="22"/>
        </w:rPr>
        <w:t xml:space="preserve">Los tres/cuatro modelos no son excluyentes: es posible combinarlos dentro del mismo tenant. Un caso típico es usar Operator Connect o Calling Plans para la mayoría de los usuarios y Direct Routing para integrar una central PBX heredada, dispositivos analógicos (faxes, buscapersonas) o un centro de contacto. También se puede asignar una política de enrutamiento de voz de Direct Routing a usuarios de Calling Plan u Operator Connect para casos puntuales, como enrutar llamadas hacia un centro de llamadas interno sin pasar por la PSTN pública.</w:t>
      </w:r>
    </w:p>
    <w:p>
      <w:r>
        <w:br w:type="page"/>
      </w:r>
    </w:p>
    <w:p>
      <w:pPr>
        <w:pStyle w:val="Heading1"/>
        <w:pBdr>
          <w:bottom w:val="single" w:color="2E74B5" w:sz="6" w:space="4"/>
        </w:pBdr>
        <w:spacing w:after="200" w:before="400"/>
      </w:pPr>
      <w:r>
        <w:rPr>
          <w:b/>
          <w:bCs/>
          <w:color w:val="1F3864"/>
          <w:sz w:val="32"/>
          <w:szCs w:val="32"/>
        </w:rPr>
        <w:t xml:space="preserve">4. Habilitación y configuración de Teams Phone</w:t>
      </w:r>
    </w:p>
    <w:p>
      <w:pPr>
        <w:spacing w:after="160" w:line="276"/>
      </w:pPr>
      <w:r>
        <w:rPr>
          <w:sz w:val="22"/>
          <w:szCs w:val="22"/>
        </w:rPr>
        <w:t xml:space="preserve">Esta sección describe la secuencia típica para habilitar la telefonía en un tenant de Microsoft 365, a nivel intermedio, suficiente para una implementación piloto o de alcance moderado.</w:t>
      </w:r>
    </w:p>
    <w:p>
      <w:pPr>
        <w:pStyle w:val="Heading2"/>
        <w:spacing w:after="150" w:before="300"/>
      </w:pPr>
      <w:r>
        <w:rPr>
          <w:b/>
          <w:bCs/>
          <w:color w:val="2E74B5"/>
          <w:sz w:val="26"/>
          <w:szCs w:val="26"/>
        </w:rPr>
        <w:t xml:space="preserve">4.1 Prerrequisitos</w:t>
      </w:r>
    </w:p>
    <w:p>
      <w:pPr>
        <w:pStyle w:val="ListParagraph"/>
        <w:numPr>
          <w:ilvl w:val="0"/>
          <w:numId w:val="2"/>
        </w:numPr>
        <w:spacing w:after="80" w:line="276"/>
      </w:pPr>
      <w:r>
        <w:rPr>
          <w:sz w:val="22"/>
          <w:szCs w:val="22"/>
        </w:rPr>
        <w:t xml:space="preserve">Tenant de Microsoft 365 con Teams habilitado (desde 2023-2024 Teams se factura como SKU independiente en muchos planes empresariales nuevos).</w:t>
      </w:r>
    </w:p>
    <w:p>
      <w:pPr>
        <w:pStyle w:val="ListParagraph"/>
        <w:numPr>
          <w:ilvl w:val="0"/>
          <w:numId w:val="2"/>
        </w:numPr>
        <w:spacing w:after="80" w:line="276"/>
      </w:pPr>
      <w:r>
        <w:rPr>
          <w:sz w:val="22"/>
          <w:szCs w:val="22"/>
        </w:rPr>
        <w:t xml:space="preserve">Roles administrativos adecuados: administrador de Teams o administrador global para tareas de licenciamiento y configuración de voz.</w:t>
      </w:r>
    </w:p>
    <w:p>
      <w:pPr>
        <w:pStyle w:val="ListParagraph"/>
        <w:numPr>
          <w:ilvl w:val="0"/>
          <w:numId w:val="2"/>
        </w:numPr>
        <w:spacing w:after="80" w:line="276"/>
      </w:pPr>
      <w:r>
        <w:rPr>
          <w:sz w:val="22"/>
          <w:szCs w:val="22"/>
        </w:rPr>
        <w:t xml:space="preserve">Definición del modelo de conectividad PSTN a utilizar (ver sección 3).</w:t>
      </w:r>
    </w:p>
    <w:p>
      <w:pPr>
        <w:pStyle w:val="ListParagraph"/>
        <w:numPr>
          <w:ilvl w:val="0"/>
          <w:numId w:val="2"/>
        </w:numPr>
        <w:spacing w:after="80" w:line="276"/>
      </w:pPr>
      <w:r>
        <w:rPr>
          <w:sz w:val="22"/>
          <w:szCs w:val="22"/>
        </w:rPr>
        <w:t xml:space="preserve">Para Direct Routing: un SBC certificado, un dominio verificado en el tenant (no se admite el dominio *.onmicrosoft.com) y un certificado TLS válido para el FQDN del SBC.</w:t>
      </w:r>
    </w:p>
    <w:p>
      <w:pPr>
        <w:pStyle w:val="ListParagraph"/>
        <w:numPr>
          <w:ilvl w:val="0"/>
          <w:numId w:val="2"/>
        </w:numPr>
        <w:spacing w:after="80" w:line="276"/>
      </w:pPr>
      <w:r>
        <w:rPr>
          <w:sz w:val="22"/>
          <w:szCs w:val="22"/>
        </w:rPr>
        <w:t xml:space="preserve">Inventario de números telefónicos a portar o asignar, y de las direcciones de emergencia asociadas.</w:t>
      </w:r>
    </w:p>
    <w:p>
      <w:pPr>
        <w:pStyle w:val="Heading2"/>
        <w:spacing w:after="150" w:before="300"/>
      </w:pPr>
      <w:r>
        <w:rPr>
          <w:b/>
          <w:bCs/>
          <w:color w:val="2E74B5"/>
          <w:sz w:val="26"/>
          <w:szCs w:val="26"/>
        </w:rPr>
        <w:t xml:space="preserve">4.2 Asignación de licencias</w:t>
      </w:r>
    </w:p>
    <w:p>
      <w:pPr>
        <w:pStyle w:val="ListParagraph"/>
        <w:numPr>
          <w:ilvl w:val="0"/>
          <w:numId w:val="3"/>
        </w:numPr>
        <w:spacing w:after="80" w:line="276"/>
      </w:pPr>
      <w:r>
        <w:rPr>
          <w:sz w:val="22"/>
          <w:szCs w:val="22"/>
        </w:rPr>
        <w:t xml:space="preserve">Ingresar al Centro de administración de Microsoft 365 (admin.microsoft.com).</w:t>
      </w:r>
    </w:p>
    <w:p>
      <w:pPr>
        <w:pStyle w:val="ListParagraph"/>
        <w:numPr>
          <w:ilvl w:val="0"/>
          <w:numId w:val="3"/>
        </w:numPr>
        <w:spacing w:after="80" w:line="276"/>
      </w:pPr>
      <w:r>
        <w:rPr>
          <w:sz w:val="22"/>
          <w:szCs w:val="22"/>
        </w:rPr>
        <w:t xml:space="preserve">Seleccionar Usuarios &gt; Usuarios activos y elegir al usuario a licenciar.</w:t>
      </w:r>
    </w:p>
    <w:p>
      <w:pPr>
        <w:pStyle w:val="ListParagraph"/>
        <w:numPr>
          <w:ilvl w:val="0"/>
          <w:numId w:val="3"/>
        </w:numPr>
        <w:spacing w:after="80" w:line="276"/>
      </w:pPr>
      <w:r>
        <w:rPr>
          <w:sz w:val="22"/>
          <w:szCs w:val="22"/>
        </w:rPr>
        <w:t xml:space="preserve">Abrir la pestaña Licencias y aplicaciones.</w:t>
      </w:r>
    </w:p>
    <w:p>
      <w:pPr>
        <w:pStyle w:val="ListParagraph"/>
        <w:numPr>
          <w:ilvl w:val="0"/>
          <w:numId w:val="3"/>
        </w:numPr>
        <w:spacing w:after="80" w:line="276"/>
      </w:pPr>
      <w:r>
        <w:rPr>
          <w:sz w:val="22"/>
          <w:szCs w:val="22"/>
        </w:rPr>
        <w:t xml:space="preserve">Activar la licencia de Teams Phone (o el plan Microsoft 365 E5 que ya la incluye) y, si aplica, la licencia de Calling Plan.</w:t>
      </w:r>
    </w:p>
    <w:p>
      <w:pPr>
        <w:pStyle w:val="ListParagraph"/>
        <w:numPr>
          <w:ilvl w:val="0"/>
          <w:numId w:val="3"/>
        </w:numPr>
        <w:spacing w:after="80" w:line="276"/>
      </w:pPr>
      <w:r>
        <w:rPr>
          <w:sz w:val="22"/>
          <w:szCs w:val="22"/>
        </w:rPr>
        <w:t xml:space="preserve">Guardar los cambios y esperar la propagación (puede tardar hasta unos minutos).</w:t>
      </w:r>
    </w:p>
    <w:p>
      <w:pPr>
        <w:pStyle w:val="Heading2"/>
        <w:spacing w:after="150" w:before="300"/>
      </w:pPr>
      <w:r>
        <w:rPr>
          <w:b/>
          <w:bCs/>
          <w:color w:val="2E74B5"/>
          <w:sz w:val="26"/>
          <w:szCs w:val="26"/>
        </w:rPr>
        <w:t xml:space="preserve">4.3 Habilitar Enterprise Voice y asignar número</w:t>
      </w:r>
    </w:p>
    <w:p>
      <w:pPr>
        <w:spacing w:after="160" w:line="276"/>
      </w:pPr>
      <w:r>
        <w:rPr>
          <w:sz w:val="22"/>
          <w:szCs w:val="22"/>
        </w:rPr>
        <w:t xml:space="preserve">Un usuario licenciado no puede hacer ni recibir llamadas PSTN hasta que esté “habilitado para voz empresarial” (Enterprise Voice) y tenga un número asignado. En Calling Plans y Operator Connect, esto ocurre de forma prácticamente automática al asignar un número desde el Centro de administración de Teams. En Direct Routing, suele requerirse PowerShell:</w:t>
      </w:r>
    </w:p>
    <w:p>
      <w:pPr>
        <w:shd w:fill="F2F2F2" w:val="clear"/>
        <w:spacing w:after="160"/>
      </w:pPr>
      <w:r>
        <w:rPr>
          <w:rFonts w:ascii="Consolas" w:cs="Consolas" w:eastAsia="Consolas" w:hAnsi="Consolas"/>
          <w:sz w:val="20"/>
          <w:szCs w:val="20"/>
        </w:rPr>
        <w:t xml:space="preserve">Set-CsPhoneNumberAssignment -Identity usuario@dominio.com -PhoneNumber "+525512345678" -PhoneNumberType DirectRouting</w:t>
      </w:r>
    </w:p>
    <w:p>
      <w:pPr>
        <w:spacing w:after="160" w:line="276"/>
      </w:pPr>
      <w:r>
        <w:rPr>
          <w:sz w:val="22"/>
          <w:szCs w:val="22"/>
        </w:rPr>
        <w:t xml:space="preserve">Para verificar el estado de un usuario:</w:t>
      </w:r>
    </w:p>
    <w:p>
      <w:pPr>
        <w:shd w:fill="F2F2F2" w:val="clear"/>
        <w:spacing w:after="200"/>
      </w:pPr>
      <w:r>
        <w:rPr>
          <w:rFonts w:ascii="Consolas" w:cs="Consolas" w:eastAsia="Consolas" w:hAnsi="Consolas"/>
          <w:sz w:val="20"/>
          <w:szCs w:val="20"/>
        </w:rPr>
        <w:t xml:space="preserve">Get-CsOnlineUser -Identity usuario@dominio.com | fl Identity,EnterpriseVoiceEnabled,HostedVoiceMail,OnPremLineURI</w:t>
      </w:r>
    </w:p>
    <w:p>
      <w:pPr>
        <w:pStyle w:val="Heading2"/>
        <w:spacing w:after="150" w:before="300"/>
      </w:pPr>
      <w:r>
        <w:rPr>
          <w:b/>
          <w:bCs/>
          <w:color w:val="2E74B5"/>
          <w:sz w:val="26"/>
          <w:szCs w:val="26"/>
        </w:rPr>
        <w:t xml:space="preserve">4.4 Políticas de enrutamiento de voz y rutas de llamada (Direct Routing)</w:t>
      </w:r>
    </w:p>
    <w:p>
      <w:pPr>
        <w:spacing w:after="160" w:line="276"/>
      </w:pPr>
      <w:r>
        <w:rPr>
          <w:sz w:val="22"/>
          <w:szCs w:val="22"/>
        </w:rPr>
        <w:t xml:space="preserve">Para Direct Routing es necesario configurar explícitamente el enrutamiento de llamadas, ya que Microsoft no lo gestiona de forma automática como en Calling Plans u Operator Connect. Los pasos habituales, dentro de Voz &gt; Enrutamiento directo en el Centro de administración de Teams, son:</w:t>
      </w:r>
    </w:p>
    <w:p>
      <w:pPr>
        <w:pStyle w:val="ListParagraph"/>
        <w:numPr>
          <w:ilvl w:val="0"/>
          <w:numId w:val="3"/>
        </w:numPr>
        <w:spacing w:after="80" w:line="276"/>
      </w:pPr>
      <w:r>
        <w:rPr>
          <w:sz w:val="22"/>
          <w:szCs w:val="22"/>
        </w:rPr>
        <w:t xml:space="preserve">Registrar el SBC (FQDN, puerto de señalización y certificado).</w:t>
      </w:r>
    </w:p>
    <w:p>
      <w:pPr>
        <w:pStyle w:val="ListParagraph"/>
        <w:numPr>
          <w:ilvl w:val="0"/>
          <w:numId w:val="3"/>
        </w:numPr>
        <w:spacing w:after="80" w:line="276"/>
      </w:pPr>
      <w:r>
        <w:rPr>
          <w:sz w:val="22"/>
          <w:szCs w:val="22"/>
        </w:rPr>
        <w:t xml:space="preserve">Crear uno o varios registros de uso de PSTN (PSTN usage records), por ejemplo “Nacional” o “Internacional”.</w:t>
      </w:r>
    </w:p>
    <w:p>
      <w:pPr>
        <w:pStyle w:val="ListParagraph"/>
        <w:numPr>
          <w:ilvl w:val="0"/>
          <w:numId w:val="3"/>
        </w:numPr>
        <w:spacing w:after="80" w:line="276"/>
      </w:pPr>
      <w:r>
        <w:rPr>
          <w:sz w:val="22"/>
          <w:szCs w:val="22"/>
        </w:rPr>
        <w:t xml:space="preserve">Crear rutas de voz (Voice routes): un nombre, un patrón de número marcado (expresión regular) y los SBC habilitados para esa ruta.</w:t>
      </w:r>
    </w:p>
    <w:p>
      <w:pPr>
        <w:pStyle w:val="ListParagraph"/>
        <w:numPr>
          <w:ilvl w:val="0"/>
          <w:numId w:val="3"/>
        </w:numPr>
        <w:spacing w:after="80" w:line="276"/>
      </w:pPr>
      <w:r>
        <w:rPr>
          <w:sz w:val="22"/>
          <w:szCs w:val="22"/>
        </w:rPr>
        <w:t xml:space="preserve">Crear una política de enrutamiento de voz en línea (Online Voice Routing Policy) que agrupe los registros de uso de PSTN necesarios.</w:t>
      </w:r>
    </w:p>
    <w:p>
      <w:pPr>
        <w:pStyle w:val="ListParagraph"/>
        <w:numPr>
          <w:ilvl w:val="0"/>
          <w:numId w:val="3"/>
        </w:numPr>
        <w:spacing w:after="80" w:line="276"/>
      </w:pPr>
      <w:r>
        <w:rPr>
          <w:sz w:val="22"/>
          <w:szCs w:val="22"/>
        </w:rPr>
        <w:t xml:space="preserve">Asignar la política a los usuarios o, con cautela, como política global (org-wide default), afecta a todos los usuarios habilitados para voz.</w:t>
      </w:r>
    </w:p>
    <w:p>
      <w:pPr>
        <w:pBdr>
          <w:left w:val="single" w:color="2E74B5" w:sz="18" w:space="8"/>
        </w:pBdr>
        <w:shd w:fill="DDEBF7" w:val="clear"/>
        <w:spacing w:after="200" w:before="100"/>
        <w:ind w:left="100"/>
      </w:pPr>
      <w:r>
        <w:rPr>
          <w:i/>
          <w:iCs/>
          <w:color w:val="1F3864"/>
          <w:sz w:val="20"/>
          <w:szCs w:val="20"/>
        </w:rPr>
        <w:t xml:space="preserve">Nota: Asignar una política de enrutamiento como predeterminada global puede desviar accidentalmente llamadas de usuarios de Calling Plan u Operator Connect hacia un trunk de Direct Routing. Es preferible crear políticas personalizadas y asignarlas explícitamente.</w:t>
      </w:r>
    </w:p>
    <w:p>
      <w:pPr>
        <w:pStyle w:val="Heading2"/>
        <w:spacing w:after="150" w:before="300"/>
      </w:pPr>
      <w:r>
        <w:rPr>
          <w:b/>
          <w:bCs/>
          <w:color w:val="2E74B5"/>
          <w:sz w:val="26"/>
          <w:szCs w:val="26"/>
        </w:rPr>
        <w:t xml:space="preserve">4.5 Planes de marcado (Dial Plans)</w:t>
      </w:r>
    </w:p>
    <w:p>
      <w:pPr>
        <w:spacing w:after="160" w:line="276"/>
      </w:pPr>
      <w:r>
        <w:rPr>
          <w:sz w:val="22"/>
          <w:szCs w:val="22"/>
        </w:rPr>
        <w:t xml:space="preserve">Los planes de marcado normalizan y traducen los números marcados por los usuarios (por ejemplo, para permitir marcado de extensiones internas de 4 dígitos o normalizar prefijos nacionales) antes de que la llamada se enrute. Se configuran a nivel de tenant y pueden personalizarse por sitio o usuario cuando existen reglas de marcado distintas entre oficinas.</w:t>
      </w:r>
    </w:p>
    <w:p>
      <w:pPr>
        <w:pStyle w:val="Heading2"/>
        <w:spacing w:after="150" w:before="300"/>
      </w:pPr>
      <w:r>
        <w:rPr>
          <w:b/>
          <w:bCs/>
          <w:color w:val="2E74B5"/>
          <w:sz w:val="26"/>
          <w:szCs w:val="26"/>
        </w:rPr>
        <w:t xml:space="preserve">4.6 Cuentas de recursos, Auto Attendants y Colas de llamadas</w:t>
      </w:r>
    </w:p>
    <w:p>
      <w:pPr>
        <w:spacing w:after="160" w:line="276"/>
      </w:pPr>
      <w:r>
        <w:rPr>
          <w:sz w:val="22"/>
          <w:szCs w:val="22"/>
        </w:rPr>
        <w:t xml:space="preserve">Las cuentas de recursos representan “aplicaciones de voz” que no corresponden a una persona física:</w:t>
      </w:r>
    </w:p>
    <w:p>
      <w:pPr>
        <w:pStyle w:val="ListParagraph"/>
        <w:numPr>
          <w:ilvl w:val="0"/>
          <w:numId w:val="2"/>
        </w:numPr>
        <w:spacing w:after="80" w:line="276"/>
      </w:pPr>
      <w:r>
        <w:rPr>
          <w:sz w:val="22"/>
          <w:szCs w:val="22"/>
        </w:rPr>
        <w:t xml:space="preserve">Auto Attendant: menú de voz automatizado (IVR) que saluda y enruta llamadas entrantes según opciones marcadas por el llamante (por ejemplo, “presione 1 para ventas”).</w:t>
      </w:r>
    </w:p>
    <w:p>
      <w:pPr>
        <w:pStyle w:val="ListParagraph"/>
        <w:numPr>
          <w:ilvl w:val="0"/>
          <w:numId w:val="2"/>
        </w:numPr>
        <w:spacing w:after="80" w:line="276"/>
      </w:pPr>
      <w:r>
        <w:rPr>
          <w:sz w:val="22"/>
          <w:szCs w:val="22"/>
        </w:rPr>
        <w:t xml:space="preserve">Call Queue (Cola de llamadas): distribuye llamadas entrantes entre un grupo de agentes, con música de espera y reglas de desbordamiento/tiempo de espera, de forma similar a un ACD.</w:t>
      </w:r>
    </w:p>
    <w:p>
      <w:pPr>
        <w:spacing w:after="160" w:line="276"/>
      </w:pPr>
      <w:r>
        <w:rPr>
          <w:sz w:val="22"/>
          <w:szCs w:val="22"/>
        </w:rPr>
        <w:t xml:space="preserve">Flujo típico de configuración: crear la cuenta de recursos → asignarle la licencia de cuenta de recursos y, si recibirá llamadas externas, un número telefónico → crear el Auto Attendant o la Cola de llamadas desde Voz en el Centro de administración de Teams → asociar la cuenta de recursos → definir horarios, mensajes y reglas de enrutamiento/desbordamiento.</w:t>
      </w:r>
    </w:p>
    <w:p>
      <w:pPr>
        <w:pStyle w:val="Heading2"/>
        <w:spacing w:after="150" w:before="300"/>
      </w:pPr>
      <w:r>
        <w:rPr>
          <w:b/>
          <w:bCs/>
          <w:color w:val="2E74B5"/>
          <w:sz w:val="26"/>
          <w:szCs w:val="26"/>
        </w:rPr>
        <w:t xml:space="preserve">4.7 Dispositivos y experiencia de usuario</w:t>
      </w:r>
    </w:p>
    <w:p>
      <w:pPr>
        <w:spacing w:after="160" w:line="276"/>
      </w:pPr>
      <w:r>
        <w:rPr>
          <w:sz w:val="22"/>
          <w:szCs w:val="22"/>
        </w:rPr>
        <w:t xml:space="preserve">Teams Phone puede usarse desde el cliente de escritorio o móvil de Teams, o desde teléfonos y salas certificados (Teams Rooms, teléfonos IP, dispositivos de área común para espacios compartidos como salas de recepción o vestíbulos). La certificación de dispositivos garantiza compatibilidad con las políticas de llamadas y las actualizaciones del ecosistema Teams.</w:t>
      </w:r>
    </w:p>
    <w:p>
      <w:r>
        <w:br w:type="page"/>
      </w:r>
    </w:p>
    <w:p>
      <w:pPr>
        <w:pStyle w:val="Heading1"/>
        <w:pBdr>
          <w:bottom w:val="single" w:color="2E74B5" w:sz="6" w:space="4"/>
        </w:pBdr>
        <w:spacing w:after="200" w:before="400"/>
      </w:pPr>
      <w:r>
        <w:rPr>
          <w:b/>
          <w:bCs/>
          <w:color w:val="1F3864"/>
          <w:sz w:val="32"/>
          <w:szCs w:val="32"/>
        </w:rPr>
        <w:t xml:space="preserve">5. Integraciones de Teams Phone</w:t>
      </w:r>
    </w:p>
    <w:p>
      <w:pPr>
        <w:pStyle w:val="Heading2"/>
        <w:spacing w:after="150" w:before="300"/>
      </w:pPr>
      <w:r>
        <w:rPr>
          <w:b/>
          <w:bCs/>
          <w:color w:val="2E74B5"/>
          <w:sz w:val="26"/>
          <w:szCs w:val="26"/>
        </w:rPr>
        <w:t xml:space="preserve">5.1 Integración con infraestructura de telefonía existente (SBC / PBX)</w:t>
      </w:r>
    </w:p>
    <w:p>
      <w:pPr>
        <w:spacing w:after="160" w:line="276"/>
      </w:pPr>
      <w:r>
        <w:rPr>
          <w:sz w:val="22"/>
          <w:szCs w:val="22"/>
        </w:rPr>
        <w:t xml:space="preserve">A través de Direct Routing, Teams Phone puede integrarse con centrales PBX de terceros, gateways analógicos (para faxes o alarmas) y trunks SIP corporativos, permitiendo una convivencia gradual entre la central heredada y Teams durante una migración, o una integración permanente cuando ciertos dispositivos no pueden trasladarse a la nube.</w:t>
      </w:r>
    </w:p>
    <w:p>
      <w:pPr>
        <w:pStyle w:val="Heading2"/>
        <w:spacing w:after="150" w:before="300"/>
      </w:pPr>
      <w:r>
        <w:rPr>
          <w:b/>
          <w:bCs/>
          <w:color w:val="2E74B5"/>
          <w:sz w:val="26"/>
          <w:szCs w:val="26"/>
        </w:rPr>
        <w:t xml:space="preserve">5.2 Integración con centros de contacto (Contact Center)</w:t>
      </w:r>
    </w:p>
    <w:p>
      <w:pPr>
        <w:spacing w:after="160" w:line="276"/>
      </w:pPr>
      <w:r>
        <w:rPr>
          <w:sz w:val="22"/>
          <w:szCs w:val="22"/>
        </w:rPr>
        <w:t xml:space="preserve">Numerosos proveedores certificados ofrecen soluciones de centro de contacto que se construyen sobre la infraestructura de Teams Phone, aprovechando el enrutamiento de llamadas, la presencia y el directorio ya existentes. Esto permite añadir capacidades de distribución avanzada de llamadas (ACD), grabación de cumplimiento, informes y enrutamiento omnicanal (voz, chat, WhatsApp) sin duplicar la plataforma de telefonía base.</w:t>
      </w:r>
    </w:p>
    <w:p>
      <w:pPr>
        <w:pStyle w:val="Heading2"/>
        <w:spacing w:after="150" w:before="300"/>
      </w:pPr>
      <w:r>
        <w:rPr>
          <w:b/>
          <w:bCs/>
          <w:color w:val="2E74B5"/>
          <w:sz w:val="26"/>
          <w:szCs w:val="26"/>
        </w:rPr>
        <w:t xml:space="preserve">5.3 Integración con CRM y aplicaciones de negocio</w:t>
      </w:r>
    </w:p>
    <w:p>
      <w:pPr>
        <w:spacing w:after="160" w:line="276"/>
      </w:pPr>
      <w:r>
        <w:rPr>
          <w:sz w:val="22"/>
          <w:szCs w:val="22"/>
        </w:rPr>
        <w:t xml:space="preserve">Teams Phone puede integrarse con plataformas como Dynamics 365, Salesforce, ServiceNow o HubSpot, habilitando funciones como identificación de llamadas entrantes contra registros de clientes, registro automático de llamadas en el CRM, y clic para llamar desde la ficha de un contacto. Estas integraciones suelen requerir un conector certificado o el uso de las API de Microsoft Graph.</w:t>
      </w:r>
    </w:p>
    <w:p>
      <w:pPr>
        <w:pStyle w:val="Heading2"/>
        <w:spacing w:after="150" w:before="300"/>
      </w:pPr>
      <w:r>
        <w:rPr>
          <w:b/>
          <w:bCs/>
          <w:color w:val="2E74B5"/>
          <w:sz w:val="26"/>
          <w:szCs w:val="26"/>
        </w:rPr>
        <w:t xml:space="preserve">5.4 Copilot y asistencia con inteligencia artificial</w:t>
      </w:r>
    </w:p>
    <w:p>
      <w:pPr>
        <w:spacing w:after="160" w:line="276"/>
      </w:pPr>
      <w:r>
        <w:rPr>
          <w:sz w:val="22"/>
          <w:szCs w:val="22"/>
        </w:rPr>
        <w:t xml:space="preserve">Copilot para Microsoft 365 puede asistir en escenarios de llamadas: generar resúmenes de llamadas y reuniones, identificar puntos clave y elementos de acción, y ayudar a redactar notas de seguimiento. Estas capacidades dependen de licencias adicionales de Copilot y de la configuración de cumplimiento y grabación de la organización.</w:t>
      </w:r>
    </w:p>
    <w:p>
      <w:pPr>
        <w:pStyle w:val="Heading2"/>
        <w:spacing w:after="150" w:before="300"/>
      </w:pPr>
      <w:r>
        <w:rPr>
          <w:b/>
          <w:bCs/>
          <w:color w:val="2E74B5"/>
          <w:sz w:val="26"/>
          <w:szCs w:val="26"/>
        </w:rPr>
        <w:t xml:space="preserve">5.5 Grabación de llamadas y cumplimiento</w:t>
      </w:r>
    </w:p>
    <w:p>
      <w:pPr>
        <w:spacing w:after="160" w:line="276"/>
      </w:pPr>
      <w:r>
        <w:rPr>
          <w:sz w:val="22"/>
          <w:szCs w:val="22"/>
        </w:rPr>
        <w:t xml:space="preserve">Para sectores regulados (salud, educación, gobierno, servicios financieros), la grabación de cumplimiento se habilita habitualmente mediante socios certificados que se conectan a Teams a través de políticas de grabación de cumplimiento y, en algunos casos, a través de Direct Routing como punto de captura de medios.</w:t>
      </w:r>
    </w:p>
    <w:p>
      <w:r>
        <w:br w:type="page"/>
      </w:r>
    </w:p>
    <w:p>
      <w:pPr>
        <w:pStyle w:val="Heading1"/>
        <w:pBdr>
          <w:bottom w:val="single" w:color="2E74B5" w:sz="6" w:space="4"/>
        </w:pBdr>
        <w:spacing w:after="200" w:before="400"/>
      </w:pPr>
      <w:r>
        <w:rPr>
          <w:b/>
          <w:bCs/>
          <w:color w:val="1F3864"/>
          <w:sz w:val="32"/>
          <w:szCs w:val="32"/>
        </w:rPr>
        <w:t xml:space="preserve">6. Migraciones hacia Teams Phone</w:t>
      </w:r>
    </w:p>
    <w:p>
      <w:pPr>
        <w:pStyle w:val="Heading2"/>
        <w:spacing w:after="150" w:before="300"/>
      </w:pPr>
      <w:r>
        <w:rPr>
          <w:b/>
          <w:bCs/>
          <w:color w:val="2E74B5"/>
          <w:sz w:val="26"/>
          <w:szCs w:val="26"/>
        </w:rPr>
        <w:t xml:space="preserve">6.1 Migración desde Skype Empresarial (Skype for Business)</w:t>
      </w:r>
    </w:p>
    <w:p>
      <w:pPr>
        <w:spacing w:after="160" w:line="276"/>
      </w:pPr>
      <w:r>
        <w:rPr>
          <w:sz w:val="22"/>
          <w:szCs w:val="22"/>
        </w:rPr>
        <w:t xml:space="preserve">Skype Empresarial Online se retiró en julio de 2021, y Microsoft ha simplificado el proceso de traslado de usuarios al modo “solo Teams” (TeamsOnly). Los elementos centrales de este tipo de migración son:</w:t>
      </w:r>
    </w:p>
    <w:p>
      <w:pPr>
        <w:pStyle w:val="ListParagraph"/>
        <w:numPr>
          <w:ilvl w:val="0"/>
          <w:numId w:val="2"/>
        </w:numPr>
        <w:spacing w:after="80" w:line="276"/>
      </w:pPr>
      <w:r>
        <w:rPr>
          <w:sz w:val="22"/>
          <w:szCs w:val="22"/>
        </w:rPr>
        <w:t xml:space="preserve">Modos de coexistencia: determinan en qué cliente (Skype Empresarial o Teams) llegan los chats y llamadas de un usuario mientras la organización transiciona. El destino final de todo usuario es el modo TeamsOnly.</w:t>
      </w:r>
    </w:p>
    <w:p>
      <w:pPr>
        <w:pStyle w:val="ListParagraph"/>
        <w:numPr>
          <w:ilvl w:val="0"/>
          <w:numId w:val="2"/>
        </w:numPr>
        <w:spacing w:after="80" w:line="276"/>
      </w:pPr>
      <w:r>
        <w:rPr>
          <w:sz w:val="22"/>
          <w:szCs w:val="22"/>
        </w:rPr>
        <w:t xml:space="preserve">Migración de identidad: mover la cuenta del usuario de Skype Empresarial local (si existía) a la nube, coordinado con la asignación del modo TeamsOnly.</w:t>
      </w:r>
    </w:p>
    <w:p>
      <w:pPr>
        <w:pStyle w:val="ListParagraph"/>
        <w:numPr>
          <w:ilvl w:val="0"/>
          <w:numId w:val="2"/>
        </w:numPr>
        <w:spacing w:after="80" w:line="276"/>
      </w:pPr>
      <w:r>
        <w:rPr>
          <w:sz w:val="22"/>
          <w:szCs w:val="22"/>
        </w:rPr>
        <w:t xml:space="preserve">Migración de numeración: portar el número del usuario hacia un Calling Plan de Microsoft, o bien conectarlo mediante Direct Routing manteniendo la conectividad con la central local existente.</w:t>
      </w:r>
    </w:p>
    <w:p>
      <w:pPr>
        <w:pStyle w:val="ListParagraph"/>
        <w:numPr>
          <w:ilvl w:val="0"/>
          <w:numId w:val="2"/>
        </w:numPr>
        <w:spacing w:after="80" w:line="276"/>
      </w:pPr>
      <w:r>
        <w:rPr>
          <w:sz w:val="22"/>
          <w:szCs w:val="22"/>
        </w:rPr>
        <w:t xml:space="preserve">Configuraciones no migradas automáticamente: el desvío de llamadas, los grupos de llamada en equipo y la delegación configurados en Skype Empresarial no se trasladan solos; deben volver a configurarse en Teams.</w:t>
      </w:r>
    </w:p>
    <w:p>
      <w:pPr>
        <w:pBdr>
          <w:left w:val="single" w:color="2E74B5" w:sz="18" w:space="8"/>
        </w:pBdr>
        <w:shd w:fill="DDEBF7" w:val="clear"/>
        <w:spacing w:after="200" w:before="100"/>
        <w:ind w:left="100"/>
      </w:pPr>
      <w:r>
        <w:rPr>
          <w:i/>
          <w:iCs/>
          <w:color w:val="1F3864"/>
          <w:sz w:val="20"/>
          <w:szCs w:val="20"/>
        </w:rPr>
        <w:t xml:space="preserve">Nota: Skype Empresarial Server local (on-premises) sigue teniendo soporte extendido en algunos escenarios, pero Microsoft recomienda verificar siempre la vigencia del ciclo de vida del producto antes de comunicar fechas a las áreas de negocio.</w:t>
      </w:r>
    </w:p>
    <w:p>
      <w:pPr>
        <w:pStyle w:val="Heading2"/>
        <w:spacing w:after="150" w:before="300"/>
      </w:pPr>
      <w:r>
        <w:rPr>
          <w:b/>
          <w:bCs/>
          <w:color w:val="2E74B5"/>
          <w:sz w:val="26"/>
          <w:szCs w:val="26"/>
        </w:rPr>
        <w:t xml:space="preserve">6.2 Migración desde una PBX legada (Cisco, Avaya, Mitel, etc.)</w:t>
      </w:r>
    </w:p>
    <w:p>
      <w:pPr>
        <w:spacing w:after="160" w:line="276"/>
      </w:pPr>
      <w:r>
        <w:rPr>
          <w:sz w:val="22"/>
          <w:szCs w:val="22"/>
        </w:rPr>
        <w:t xml:space="preserve">Una migración típica desde una central telefónica tradicional hacia Teams Phone suele seguir cinco fases:</w:t>
      </w:r>
    </w:p>
    <w:p>
      <w:pPr>
        <w:pStyle w:val="ListParagraph"/>
        <w:numPr>
          <w:ilvl w:val="0"/>
          <w:numId w:val="3"/>
        </w:numPr>
        <w:spacing w:after="80" w:line="276"/>
      </w:pPr>
      <w:r>
        <w:rPr>
          <w:sz w:val="22"/>
          <w:szCs w:val="22"/>
        </w:rPr>
        <w:t xml:space="preserve">Evaluación y diseño (2-4 semanas): inventariar la PBX actual, contratos con operadores, rangos numéricos, flujos de llamada y líneas de fax; diseñar la arquitectura de Teams Phone y el modelo de conectividad.</w:t>
      </w:r>
    </w:p>
    <w:p>
      <w:pPr>
        <w:pStyle w:val="ListParagraph"/>
        <w:numPr>
          <w:ilvl w:val="0"/>
          <w:numId w:val="3"/>
        </w:numPr>
        <w:spacing w:after="80" w:line="276"/>
      </w:pPr>
      <w:r>
        <w:rPr>
          <w:sz w:val="22"/>
          <w:szCs w:val="22"/>
        </w:rPr>
        <w:t xml:space="preserve">Preparación de infraestructura (2-4 semanas): configurar el SBC (si se usará Direct Routing) o dar de alta al operador de Operator Connect; asignar licencias, planes de marcado y políticas de llamadas; construir los Auto Attendants y Colas de llamadas base.</w:t>
      </w:r>
    </w:p>
    <w:p>
      <w:pPr>
        <w:pStyle w:val="ListParagraph"/>
        <w:numPr>
          <w:ilvl w:val="0"/>
          <w:numId w:val="3"/>
        </w:numPr>
        <w:spacing w:after="80" w:line="276"/>
      </w:pPr>
      <w:r>
        <w:rPr>
          <w:sz w:val="22"/>
          <w:szCs w:val="22"/>
        </w:rPr>
        <w:t xml:space="preserve">Preparación de portabilidad numérica (2-3 semanas): enviar cartas de autorización de portabilidad (LOA) al operador saliente y coordinar ventanas de corte con el nuevo proveedor.</w:t>
      </w:r>
    </w:p>
    <w:p>
      <w:pPr>
        <w:pStyle w:val="ListParagraph"/>
        <w:numPr>
          <w:ilvl w:val="0"/>
          <w:numId w:val="3"/>
        </w:numPr>
        <w:spacing w:after="80" w:line="276"/>
      </w:pPr>
      <w:r>
        <w:rPr>
          <w:sz w:val="22"/>
          <w:szCs w:val="22"/>
        </w:rPr>
        <w:t xml:space="preserve">Piloto y validación: migrar un grupo reducido de usuarios o un sitio, validar calidad de llamada mediante el Call Quality Dashboard (CQD) y confirmar los flujos de Auto Attendant/colas antes de la migración masiva.</w:t>
      </w:r>
    </w:p>
    <w:p>
      <w:pPr>
        <w:pStyle w:val="ListParagraph"/>
        <w:numPr>
          <w:ilvl w:val="0"/>
          <w:numId w:val="3"/>
        </w:numPr>
        <w:spacing w:after="80" w:line="276"/>
      </w:pPr>
      <w:r>
        <w:rPr>
          <w:sz w:val="22"/>
          <w:szCs w:val="22"/>
        </w:rPr>
        <w:t xml:space="preserve">Migración general y optimización: trasladar al resto de la organización por oleadas (departamento, sitio o geografía), y usar CQD posterior a la migración para identificar sitios o usuarios con problemas de calidad y aplicar remediación específica.</w:t>
      </w:r>
    </w:p>
    <w:p>
      <w:pPr>
        <w:spacing w:after="160" w:line="276"/>
      </w:pPr>
      <w:r>
        <w:rPr>
          <w:sz w:val="22"/>
          <w:szCs w:val="22"/>
        </w:rPr>
        <w:t xml:space="preserve">Para organizaciones de aproximadamente 1,000 usuarios, este tipo de proyecto suele tomar entre 8 y 16 semanas en total, y puede representar una reducción relevante del costo total de propiedad a tres años frente a mantener hardware de PBX local.</w:t>
      </w:r>
    </w:p>
    <w:p>
      <w:pPr>
        <w:pStyle w:val="Heading2"/>
        <w:spacing w:after="150" w:before="300"/>
      </w:pPr>
      <w:r>
        <w:rPr>
          <w:b/>
          <w:bCs/>
          <w:color w:val="2E74B5"/>
          <w:sz w:val="26"/>
          <w:szCs w:val="26"/>
        </w:rPr>
        <w:t xml:space="preserve">6.3 Buenas prácticas durante la migración</w:t>
      </w:r>
    </w:p>
    <w:p>
      <w:pPr>
        <w:pStyle w:val="ListParagraph"/>
        <w:numPr>
          <w:ilvl w:val="0"/>
          <w:numId w:val="2"/>
        </w:numPr>
        <w:spacing w:after="80" w:line="276"/>
      </w:pPr>
      <w:r>
        <w:rPr>
          <w:sz w:val="22"/>
          <w:szCs w:val="22"/>
        </w:rPr>
        <w:t xml:space="preserve">Migrar por oleadas (departamento, sitio o país) en lugar de un corte único (“big bang”), salvo en organizaciones muy pequeñas.</w:t>
      </w:r>
    </w:p>
    <w:p>
      <w:pPr>
        <w:pStyle w:val="ListParagraph"/>
        <w:numPr>
          <w:ilvl w:val="0"/>
          <w:numId w:val="2"/>
        </w:numPr>
        <w:spacing w:after="80" w:line="276"/>
      </w:pPr>
      <w:r>
        <w:rPr>
          <w:sz w:val="22"/>
          <w:szCs w:val="22"/>
        </w:rPr>
        <w:t xml:space="preserve">Comunicar con antelación a los usuarios afectados, evitando sorpresas el día de su migración.</w:t>
      </w:r>
    </w:p>
    <w:p>
      <w:pPr>
        <w:pStyle w:val="ListParagraph"/>
        <w:numPr>
          <w:ilvl w:val="0"/>
          <w:numId w:val="2"/>
        </w:numPr>
        <w:spacing w:after="80" w:line="276"/>
      </w:pPr>
      <w:r>
        <w:rPr>
          <w:sz w:val="22"/>
          <w:szCs w:val="22"/>
        </w:rPr>
        <w:t xml:space="preserve">Validar previamente la red (ancho de banda, calidad de servicio/QoS, reglas de firewall) mediante una evaluación de preparación de red.</w:t>
      </w:r>
    </w:p>
    <w:p>
      <w:pPr>
        <w:pStyle w:val="ListParagraph"/>
        <w:numPr>
          <w:ilvl w:val="0"/>
          <w:numId w:val="2"/>
        </w:numPr>
        <w:spacing w:after="80" w:line="276"/>
      </w:pPr>
      <w:r>
        <w:rPr>
          <w:sz w:val="22"/>
          <w:szCs w:val="22"/>
        </w:rPr>
        <w:t xml:space="preserve">Mantener un registro de seguimiento por usuario: licencia asignada, número, dirección de emergencia, política de llamadas, estado de buzón de voz y fecha de migración.</w:t>
      </w:r>
    </w:p>
    <w:p>
      <w:pPr>
        <w:pStyle w:val="ListParagraph"/>
        <w:numPr>
          <w:ilvl w:val="0"/>
          <w:numId w:val="2"/>
        </w:numPr>
        <w:spacing w:after="80" w:line="276"/>
      </w:pPr>
      <w:r>
        <w:rPr>
          <w:sz w:val="22"/>
          <w:szCs w:val="22"/>
        </w:rPr>
        <w:t xml:space="preserve">Definir claramente el modo de coexistencia y el momento en que cada usuario pasa a TeamsOnly, evitando dejar usuarios indefinidamente en modos mixtos.</w:t>
      </w:r>
    </w:p>
    <w:p>
      <w:r>
        <w:br w:type="page"/>
      </w:r>
    </w:p>
    <w:p>
      <w:pPr>
        <w:pStyle w:val="Heading1"/>
        <w:pBdr>
          <w:bottom w:val="single" w:color="2E74B5" w:sz="6" w:space="4"/>
        </w:pBdr>
        <w:spacing w:after="200" w:before="400"/>
      </w:pPr>
      <w:r>
        <w:rPr>
          <w:b/>
          <w:bCs/>
          <w:color w:val="1F3864"/>
          <w:sz w:val="32"/>
          <w:szCs w:val="32"/>
        </w:rPr>
        <w:t xml:space="preserve">7. Operación, monitoreo y solución de problemas</w:t>
      </w:r>
    </w:p>
    <w:p>
      <w:pPr>
        <w:pStyle w:val="Heading2"/>
        <w:spacing w:after="150" w:before="300"/>
      </w:pPr>
      <w:r>
        <w:rPr>
          <w:b/>
          <w:bCs/>
          <w:color w:val="2E74B5"/>
          <w:sz w:val="26"/>
          <w:szCs w:val="26"/>
        </w:rPr>
        <w:t xml:space="preserve">7.1 Call Quality Dashboard (CQD)</w:t>
      </w:r>
    </w:p>
    <w:p>
      <w:pPr>
        <w:spacing w:after="160" w:line="276"/>
      </w:pPr>
      <w:r>
        <w:rPr>
          <w:sz w:val="22"/>
          <w:szCs w:val="22"/>
        </w:rPr>
        <w:t xml:space="preserve">El CQD es la herramienta de Microsoft 365 para analizar la calidad de las llamadas y reuniones a nivel de tenant, sitio o usuario. Se utiliza tanto antes de una migración (para establecer una línea base de calidad de red) como después (para detectar sitios o dispositivos con problemas).</w:t>
      </w:r>
    </w:p>
    <w:p>
      <w:pPr>
        <w:pStyle w:val="Heading2"/>
        <w:spacing w:after="150" w:before="300"/>
      </w:pPr>
      <w:r>
        <w:rPr>
          <w:b/>
          <w:bCs/>
          <w:color w:val="2E74B5"/>
          <w:sz w:val="26"/>
          <w:szCs w:val="26"/>
        </w:rPr>
        <w:t xml:space="preserve">7.2 Comandos de PowerShell de uso frecuente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200"/>
        <w:gridCol w:w="4300"/>
      </w:tblGrid>
      <w:tr>
        <w:trPr>
          <w:tblHeader/>
        </w:trPr>
        <w:tc>
          <w:tcPr>
            <w:tcW w:type="dxa" w:w="4200"/>
            <w:shd w:fill="1F3864" w:val="clear"/>
            <w:tcMar>
              <w:top w:type="dxa" w:w="80"/>
              <w:left w:type="dxa" w:w="100"/>
              <w:bottom w:type="dxa" w:w="80"/>
              <w:right w:type="dxa" w:w="100"/>
            </w:tcMar>
            <w:vAlign w:val="center"/>
          </w:tcPr>
          <w:p>
            <w:r>
              <w:rPr>
                <w:b/>
                <w:bCs/>
                <w:color w:val="FFFFFF"/>
                <w:sz w:val="20"/>
                <w:szCs w:val="20"/>
              </w:rPr>
              <w:t xml:space="preserve">Objetivo</w:t>
            </w:r>
          </w:p>
        </w:tc>
        <w:tc>
          <w:tcPr>
            <w:tcW w:type="dxa" w:w="4300"/>
            <w:shd w:fill="1F3864" w:val="clear"/>
            <w:tcMar>
              <w:top w:type="dxa" w:w="80"/>
              <w:left w:type="dxa" w:w="100"/>
              <w:bottom w:type="dxa" w:w="80"/>
              <w:right w:type="dxa" w:w="100"/>
            </w:tcMar>
            <w:vAlign w:val="center"/>
          </w:tcPr>
          <w:p>
            <w:r>
              <w:rPr>
                <w:b/>
                <w:bCs/>
                <w:color w:val="FFFFFF"/>
                <w:sz w:val="20"/>
                <w:szCs w:val="20"/>
              </w:rPr>
              <w:t xml:space="preserve">Cmdlet</w:t>
            </w:r>
          </w:p>
        </w:tc>
      </w:tr>
      <w:tr>
        <w:tc>
          <w:tcPr>
            <w:tcW w:type="dxa" w:w="4200"/>
            <w:tcMar>
              <w:top w:type="dxa" w:w="80"/>
              <w:left w:type="dxa" w:w="100"/>
              <w:bottom w:type="dxa" w:w="80"/>
              <w:right w:type="dxa" w:w="100"/>
            </w:tcMar>
            <w:vAlign w:val="center"/>
          </w:tcPr>
          <w:p>
            <w:r>
              <w:rPr>
                <w:b w:val="false"/>
                <w:bCs w:val="false"/>
                <w:color w:val="000000"/>
                <w:sz w:val="20"/>
                <w:szCs w:val="20"/>
              </w:rPr>
              <w:t xml:space="preserve">Consultar estado de voz de un usuario</w:t>
            </w:r>
          </w:p>
        </w:tc>
        <w:tc>
          <w:tcPr>
            <w:tcW w:type="dxa" w:w="4300"/>
            <w:tcMar>
              <w:top w:type="dxa" w:w="80"/>
              <w:left w:type="dxa" w:w="100"/>
              <w:bottom w:type="dxa" w:w="80"/>
              <w:right w:type="dxa" w:w="100"/>
            </w:tcMar>
            <w:vAlign w:val="center"/>
          </w:tcPr>
          <w:p>
            <w:r>
              <w:rPr>
                <w:b w:val="false"/>
                <w:bCs w:val="false"/>
                <w:color w:val="000000"/>
                <w:sz w:val="20"/>
                <w:szCs w:val="20"/>
              </w:rPr>
              <w:t xml:space="preserve">Get-CsOnlineUser</w:t>
            </w:r>
          </w:p>
        </w:tc>
      </w:tr>
      <w:tr>
        <w:tc>
          <w:tcPr>
            <w:tcW w:type="dxa" w:w="4200"/>
            <w:shd w:fill="F2F2F2" w:val="clear"/>
            <w:tcMar>
              <w:top w:type="dxa" w:w="80"/>
              <w:left w:type="dxa" w:w="100"/>
              <w:bottom w:type="dxa" w:w="80"/>
              <w:right w:type="dxa" w:w="100"/>
            </w:tcMar>
            <w:vAlign w:val="center"/>
          </w:tcPr>
          <w:p>
            <w:r>
              <w:rPr>
                <w:b w:val="false"/>
                <w:bCs w:val="false"/>
                <w:color w:val="000000"/>
                <w:sz w:val="20"/>
                <w:szCs w:val="20"/>
              </w:rPr>
              <w:t xml:space="preserve">Asignar/quitar número telefónico</w:t>
            </w:r>
          </w:p>
        </w:tc>
        <w:tc>
          <w:tcPr>
            <w:tcW w:type="dxa" w:w="4300"/>
            <w:shd w:fill="F2F2F2" w:val="clear"/>
            <w:tcMar>
              <w:top w:type="dxa" w:w="80"/>
              <w:left w:type="dxa" w:w="100"/>
              <w:bottom w:type="dxa" w:w="80"/>
              <w:right w:type="dxa" w:w="100"/>
            </w:tcMar>
            <w:vAlign w:val="center"/>
          </w:tcPr>
          <w:p>
            <w:r>
              <w:rPr>
                <w:b w:val="false"/>
                <w:bCs w:val="false"/>
                <w:color w:val="000000"/>
                <w:sz w:val="20"/>
                <w:szCs w:val="20"/>
              </w:rPr>
              <w:t xml:space="preserve">Set-CsPhoneNumberAssignment / Remove-CsPhoneNumberAssignment</w:t>
            </w:r>
          </w:p>
        </w:tc>
      </w:tr>
      <w:tr>
        <w:tc>
          <w:tcPr>
            <w:tcW w:type="dxa" w:w="4200"/>
            <w:tcMar>
              <w:top w:type="dxa" w:w="80"/>
              <w:left w:type="dxa" w:w="100"/>
              <w:bottom w:type="dxa" w:w="80"/>
              <w:right w:type="dxa" w:w="100"/>
            </w:tcMar>
            <w:vAlign w:val="center"/>
          </w:tcPr>
          <w:p>
            <w:r>
              <w:rPr>
                <w:b w:val="false"/>
                <w:bCs w:val="false"/>
                <w:color w:val="000000"/>
                <w:sz w:val="20"/>
                <w:szCs w:val="20"/>
              </w:rPr>
              <w:t xml:space="preserve">Crear política de enrutamiento de voz</w:t>
            </w:r>
          </w:p>
        </w:tc>
        <w:tc>
          <w:tcPr>
            <w:tcW w:type="dxa" w:w="4300"/>
            <w:tcMar>
              <w:top w:type="dxa" w:w="80"/>
              <w:left w:type="dxa" w:w="100"/>
              <w:bottom w:type="dxa" w:w="80"/>
              <w:right w:type="dxa" w:w="100"/>
            </w:tcMar>
            <w:vAlign w:val="center"/>
          </w:tcPr>
          <w:p>
            <w:r>
              <w:rPr>
                <w:b w:val="false"/>
                <w:bCs w:val="false"/>
                <w:color w:val="000000"/>
                <w:sz w:val="20"/>
                <w:szCs w:val="20"/>
              </w:rPr>
              <w:t xml:space="preserve">Set-CsOnlineVoiceRoutingPolicy</w:t>
            </w:r>
          </w:p>
        </w:tc>
      </w:tr>
      <w:tr>
        <w:tc>
          <w:tcPr>
            <w:tcW w:type="dxa" w:w="4200"/>
            <w:shd w:fill="F2F2F2" w:val="clear"/>
            <w:tcMar>
              <w:top w:type="dxa" w:w="80"/>
              <w:left w:type="dxa" w:w="100"/>
              <w:bottom w:type="dxa" w:w="80"/>
              <w:right w:type="dxa" w:w="100"/>
            </w:tcMar>
            <w:vAlign w:val="center"/>
          </w:tcPr>
          <w:p>
            <w:r>
              <w:rPr>
                <w:b w:val="false"/>
                <w:bCs w:val="false"/>
                <w:color w:val="000000"/>
                <w:sz w:val="20"/>
                <w:szCs w:val="20"/>
              </w:rPr>
              <w:t xml:space="preserve">Consultar cuentas de recursos</w:t>
            </w:r>
          </w:p>
        </w:tc>
        <w:tc>
          <w:tcPr>
            <w:tcW w:type="dxa" w:w="4300"/>
            <w:shd w:fill="F2F2F2" w:val="clear"/>
            <w:tcMar>
              <w:top w:type="dxa" w:w="80"/>
              <w:left w:type="dxa" w:w="100"/>
              <w:bottom w:type="dxa" w:w="80"/>
              <w:right w:type="dxa" w:w="100"/>
            </w:tcMar>
            <w:vAlign w:val="center"/>
          </w:tcPr>
          <w:p>
            <w:r>
              <w:rPr>
                <w:b w:val="false"/>
                <w:bCs w:val="false"/>
                <w:color w:val="000000"/>
                <w:sz w:val="20"/>
                <w:szCs w:val="20"/>
              </w:rPr>
              <w:t xml:space="preserve">Get-CsOnlineApplicationInstance</w:t>
            </w:r>
          </w:p>
        </w:tc>
      </w:tr>
      <w:tr>
        <w:tc>
          <w:tcPr>
            <w:tcW w:type="dxa" w:w="4200"/>
            <w:tcMar>
              <w:top w:type="dxa" w:w="80"/>
              <w:left w:type="dxa" w:w="100"/>
              <w:bottom w:type="dxa" w:w="80"/>
              <w:right w:type="dxa" w:w="100"/>
            </w:tcMar>
            <w:vAlign w:val="center"/>
          </w:tcPr>
          <w:p>
            <w:r>
              <w:rPr>
                <w:b w:val="false"/>
                <w:bCs w:val="false"/>
                <w:color w:val="000000"/>
                <w:sz w:val="20"/>
                <w:szCs w:val="20"/>
              </w:rPr>
              <w:t xml:space="preserve">Consultar rutas de voz configuradas</w:t>
            </w:r>
          </w:p>
        </w:tc>
        <w:tc>
          <w:tcPr>
            <w:tcW w:type="dxa" w:w="4300"/>
            <w:tcMar>
              <w:top w:type="dxa" w:w="80"/>
              <w:left w:type="dxa" w:w="100"/>
              <w:bottom w:type="dxa" w:w="80"/>
              <w:right w:type="dxa" w:w="100"/>
            </w:tcMar>
            <w:vAlign w:val="center"/>
          </w:tcPr>
          <w:p>
            <w:r>
              <w:rPr>
                <w:b w:val="false"/>
                <w:bCs w:val="false"/>
                <w:color w:val="000000"/>
                <w:sz w:val="20"/>
                <w:szCs w:val="20"/>
              </w:rPr>
              <w:t xml:space="preserve">Get-CsOnlineVoiceRoute</w:t>
            </w:r>
          </w:p>
        </w:tc>
      </w:tr>
    </w:tbl>
    <w:p>
      <w:pPr>
        <w:pStyle w:val="Heading2"/>
        <w:spacing w:after="150" w:before="300"/>
      </w:pPr>
      <w:r>
        <w:rPr>
          <w:b/>
          <w:bCs/>
          <w:color w:val="2E74B5"/>
          <w:sz w:val="26"/>
          <w:szCs w:val="26"/>
        </w:rPr>
        <w:t xml:space="preserve">7.3 Problemas comunes y primeros pasos de diagnóstico</w:t>
      </w:r>
    </w:p>
    <w:p>
      <w:pPr>
        <w:pStyle w:val="ListParagraph"/>
        <w:numPr>
          <w:ilvl w:val="0"/>
          <w:numId w:val="2"/>
        </w:numPr>
        <w:spacing w:after="80" w:line="276"/>
      </w:pPr>
      <w:r>
        <w:rPr>
          <w:sz w:val="22"/>
          <w:szCs w:val="22"/>
        </w:rPr>
        <w:t xml:space="preserve">El usuario no ve el teclado de marcado: revisar que tenga asignada la licencia de Teams Phone y esté habilitado para voz empresarial (EnterpriseVoiceEnabled = True).</w:t>
      </w:r>
    </w:p>
    <w:p>
      <w:pPr>
        <w:pStyle w:val="ListParagraph"/>
        <w:numPr>
          <w:ilvl w:val="0"/>
          <w:numId w:val="2"/>
        </w:numPr>
        <w:spacing w:after="80" w:line="276"/>
      </w:pPr>
      <w:r>
        <w:rPr>
          <w:sz w:val="22"/>
          <w:szCs w:val="22"/>
        </w:rPr>
        <w:t xml:space="preserve">Llamadas salientes rechazadas o “no autorizado”: verificar que exista un patrón coincidente en la política de enrutamiento de voz en línea asignada al usuario.</w:t>
      </w:r>
    </w:p>
    <w:p>
      <w:pPr>
        <w:pStyle w:val="ListParagraph"/>
        <w:numPr>
          <w:ilvl w:val="0"/>
          <w:numId w:val="2"/>
        </w:numPr>
        <w:spacing w:after="80" w:line="276"/>
      </w:pPr>
      <w:r>
        <w:rPr>
          <w:sz w:val="22"/>
          <w:szCs w:val="22"/>
        </w:rPr>
        <w:t xml:space="preserve">Llamadas entrantes no llegan: confirmar que el número esté correctamente asignado y, en Calling Plans, que tenga una dirección de emergencia asociada.</w:t>
      </w:r>
    </w:p>
    <w:p>
      <w:pPr>
        <w:pStyle w:val="ListParagraph"/>
        <w:numPr>
          <w:ilvl w:val="0"/>
          <w:numId w:val="2"/>
        </w:numPr>
        <w:spacing w:after="80" w:line="276"/>
      </w:pPr>
      <w:r>
        <w:rPr>
          <w:sz w:val="22"/>
          <w:szCs w:val="22"/>
        </w:rPr>
        <w:t xml:space="preserve">Fallos intermitentes en Direct Routing: revisar la vigencia y cadena del certificado TLS del SBC, así como los registros de la sesión SIP.</w:t>
      </w:r>
    </w:p>
    <w:p>
      <w:pPr>
        <w:pStyle w:val="ListParagraph"/>
        <w:numPr>
          <w:ilvl w:val="0"/>
          <w:numId w:val="2"/>
        </w:numPr>
        <w:spacing w:after="80" w:line="276"/>
      </w:pPr>
      <w:r>
        <w:rPr>
          <w:sz w:val="22"/>
          <w:szCs w:val="22"/>
        </w:rPr>
        <w:t xml:space="preserve">Uso del autodiagnóstico de llamadas PSTN disponible en el Centro de administración de Microsoft 365 para usuarios y administradores.</w:t>
      </w:r>
    </w:p>
    <w:p>
      <w:r>
        <w:br w:type="page"/>
      </w:r>
    </w:p>
    <w:p>
      <w:pPr>
        <w:pStyle w:val="Heading1"/>
        <w:pBdr>
          <w:bottom w:val="single" w:color="2E74B5" w:sz="6" w:space="4"/>
        </w:pBdr>
        <w:spacing w:after="200" w:before="400"/>
      </w:pPr>
      <w:r>
        <w:rPr>
          <w:b/>
          <w:bCs/>
          <w:color w:val="1F3864"/>
          <w:sz w:val="32"/>
          <w:szCs w:val="32"/>
        </w:rPr>
        <w:t xml:space="preserve">8. Glosario ampliado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Sigla / Término</w:t>
            </w:r>
          </w:p>
        </w:tc>
        <w:tc>
          <w:tcPr>
            <w:tcW w:type="dxa" w:w="6900"/>
            <w:shd w:fill="1F3864" w:val="clear"/>
            <w:tcMar>
              <w:top w:type="dxa" w:w="80"/>
              <w:left w:type="dxa" w:w="100"/>
              <w:bottom w:type="dxa" w:w="80"/>
              <w:right w:type="dxa" w:w="100"/>
            </w:tcMar>
            <w:vAlign w:val="center"/>
          </w:tcPr>
          <w:p>
            <w:r>
              <w:rPr>
                <w:b/>
                <w:bCs/>
                <w:color w:val="FFFFFF"/>
                <w:sz w:val="20"/>
                <w:szCs w:val="20"/>
              </w:rPr>
              <w:t xml:space="preserve">Significado</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ACD</w:t>
            </w:r>
          </w:p>
        </w:tc>
        <w:tc>
          <w:tcPr>
            <w:tcW w:type="dxa" w:w="6900"/>
            <w:tcMar>
              <w:top w:type="dxa" w:w="80"/>
              <w:left w:type="dxa" w:w="100"/>
              <w:bottom w:type="dxa" w:w="80"/>
              <w:right w:type="dxa" w:w="100"/>
            </w:tcMar>
            <w:vAlign w:val="center"/>
          </w:tcPr>
          <w:p>
            <w:r>
              <w:rPr>
                <w:b w:val="false"/>
                <w:bCs w:val="false"/>
                <w:color w:val="000000"/>
                <w:sz w:val="20"/>
                <w:szCs w:val="20"/>
              </w:rPr>
              <w:t xml:space="preserve">Automatic Call Distributor: distribución automática de llamadas entrantes entre agentes.</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DRaaS</w:t>
            </w:r>
          </w:p>
        </w:tc>
        <w:tc>
          <w:tcPr>
            <w:tcW w:type="dxa" w:w="6900"/>
            <w:shd w:fill="F2F2F2" w:val="clear"/>
            <w:tcMar>
              <w:top w:type="dxa" w:w="80"/>
              <w:left w:type="dxa" w:w="100"/>
              <w:bottom w:type="dxa" w:w="80"/>
              <w:right w:type="dxa" w:w="100"/>
            </w:tcMar>
            <w:vAlign w:val="center"/>
          </w:tcPr>
          <w:p>
            <w:r>
              <w:rPr>
                <w:b w:val="false"/>
                <w:bCs w:val="false"/>
                <w:color w:val="000000"/>
                <w:sz w:val="20"/>
                <w:szCs w:val="20"/>
              </w:rPr>
              <w:t xml:space="preserve">Direct Routing as a Service: SBC y operación de Direct Routing entregados como servicio administrado.</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FQDN</w:t>
            </w:r>
          </w:p>
        </w:tc>
        <w:tc>
          <w:tcPr>
            <w:tcW w:type="dxa" w:w="6900"/>
            <w:tcMar>
              <w:top w:type="dxa" w:w="80"/>
              <w:left w:type="dxa" w:w="100"/>
              <w:bottom w:type="dxa" w:w="80"/>
              <w:right w:type="dxa" w:w="100"/>
            </w:tcMar>
            <w:vAlign w:val="center"/>
          </w:tcPr>
          <w:p>
            <w:r>
              <w:rPr>
                <w:b w:val="false"/>
                <w:bCs w:val="false"/>
                <w:color w:val="000000"/>
                <w:sz w:val="20"/>
                <w:szCs w:val="20"/>
              </w:rPr>
              <w:t xml:space="preserve">Fully Qualified Domain Name: nombre de dominio completo asignado al SBC.</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IVR</w:t>
            </w:r>
          </w:p>
        </w:tc>
        <w:tc>
          <w:tcPr>
            <w:tcW w:type="dxa" w:w="6900"/>
            <w:shd w:fill="F2F2F2" w:val="clear"/>
            <w:tcMar>
              <w:top w:type="dxa" w:w="80"/>
              <w:left w:type="dxa" w:w="100"/>
              <w:bottom w:type="dxa" w:w="80"/>
              <w:right w:type="dxa" w:w="100"/>
            </w:tcMar>
            <w:vAlign w:val="center"/>
          </w:tcPr>
          <w:p>
            <w:r>
              <w:rPr>
                <w:b w:val="false"/>
                <w:bCs w:val="false"/>
                <w:color w:val="000000"/>
                <w:sz w:val="20"/>
                <w:szCs w:val="20"/>
              </w:rPr>
              <w:t xml:space="preserve">Interactive Voice Response: menú de voz interactivo, equivalente funcional del Auto Attendant.</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LOA</w:t>
            </w:r>
          </w:p>
        </w:tc>
        <w:tc>
          <w:tcPr>
            <w:tcW w:type="dxa" w:w="6900"/>
            <w:tcMar>
              <w:top w:type="dxa" w:w="80"/>
              <w:left w:type="dxa" w:w="100"/>
              <w:bottom w:type="dxa" w:w="80"/>
              <w:right w:type="dxa" w:w="100"/>
            </w:tcMar>
            <w:vAlign w:val="center"/>
          </w:tcPr>
          <w:p>
            <w:r>
              <w:rPr>
                <w:b w:val="false"/>
                <w:bCs w:val="false"/>
                <w:color w:val="000000"/>
                <w:sz w:val="20"/>
                <w:szCs w:val="20"/>
              </w:rPr>
              <w:t xml:space="preserve">Letter of Authorization: carta de autorización para portar un número telefónico entre operadores.</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OVRP</w:t>
            </w:r>
          </w:p>
        </w:tc>
        <w:tc>
          <w:tcPr>
            <w:tcW w:type="dxa" w:w="6900"/>
            <w:shd w:fill="F2F2F2" w:val="clear"/>
            <w:tcMar>
              <w:top w:type="dxa" w:w="80"/>
              <w:left w:type="dxa" w:w="100"/>
              <w:bottom w:type="dxa" w:w="80"/>
              <w:right w:type="dxa" w:w="100"/>
            </w:tcMar>
            <w:vAlign w:val="center"/>
          </w:tcPr>
          <w:p>
            <w:r>
              <w:rPr>
                <w:b w:val="false"/>
                <w:bCs w:val="false"/>
                <w:color w:val="000000"/>
                <w:sz w:val="20"/>
                <w:szCs w:val="20"/>
              </w:rPr>
              <w:t xml:space="preserve">Online Voice Routing Policy: política de enrutamiento de voz en línea.</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QoS</w:t>
            </w:r>
          </w:p>
        </w:tc>
        <w:tc>
          <w:tcPr>
            <w:tcW w:type="dxa" w:w="6900"/>
            <w:tcMar>
              <w:top w:type="dxa" w:w="80"/>
              <w:left w:type="dxa" w:w="100"/>
              <w:bottom w:type="dxa" w:w="80"/>
              <w:right w:type="dxa" w:w="100"/>
            </w:tcMar>
            <w:vAlign w:val="center"/>
          </w:tcPr>
          <w:p>
            <w:r>
              <w:rPr>
                <w:b w:val="false"/>
                <w:bCs w:val="false"/>
                <w:color w:val="000000"/>
                <w:sz w:val="20"/>
                <w:szCs w:val="20"/>
              </w:rPr>
              <w:t xml:space="preserve">Quality of Service: mecanismos de priorización de tráfico de red para voz y video.</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SIP</w:t>
            </w:r>
          </w:p>
        </w:tc>
        <w:tc>
          <w:tcPr>
            <w:tcW w:type="dxa" w:w="6900"/>
            <w:shd w:fill="F2F2F2" w:val="clear"/>
            <w:tcMar>
              <w:top w:type="dxa" w:w="80"/>
              <w:left w:type="dxa" w:w="100"/>
              <w:bottom w:type="dxa" w:w="80"/>
              <w:right w:type="dxa" w:w="100"/>
            </w:tcMar>
            <w:vAlign w:val="center"/>
          </w:tcPr>
          <w:p>
            <w:r>
              <w:rPr>
                <w:b w:val="false"/>
                <w:bCs w:val="false"/>
                <w:color w:val="000000"/>
                <w:sz w:val="20"/>
                <w:szCs w:val="20"/>
              </w:rPr>
              <w:t xml:space="preserve">Session Initiation Protocol: protocolo de señalización usado en telefonía IP.</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TeamsOnly</w:t>
            </w:r>
          </w:p>
        </w:tc>
        <w:tc>
          <w:tcPr>
            <w:tcW w:type="dxa" w:w="6900"/>
            <w:tcMar>
              <w:top w:type="dxa" w:w="80"/>
              <w:left w:type="dxa" w:w="100"/>
              <w:bottom w:type="dxa" w:w="80"/>
              <w:right w:type="dxa" w:w="100"/>
            </w:tcMar>
            <w:vAlign w:val="center"/>
          </w:tcPr>
          <w:p>
            <w:r>
              <w:rPr>
                <w:b w:val="false"/>
                <w:bCs w:val="false"/>
                <w:color w:val="000000"/>
                <w:sz w:val="20"/>
                <w:szCs w:val="20"/>
              </w:rPr>
              <w:t xml:space="preserve">Modo de coexistencia final en el que todo el tráfico de chat/llamadas se procesa en Teams.</w:t>
            </w:r>
          </w:p>
        </w:tc>
      </w:tr>
    </w:tbl>
    <w:p>
      <w:r>
        <w:br w:type="page"/>
      </w:r>
    </w:p>
    <w:p>
      <w:pPr>
        <w:pStyle w:val="Heading1"/>
        <w:pBdr>
          <w:bottom w:val="single" w:color="2E74B5" w:sz="6" w:space="4"/>
        </w:pBdr>
        <w:spacing w:after="200" w:before="400"/>
      </w:pPr>
      <w:r>
        <w:rPr>
          <w:b/>
          <w:bCs/>
          <w:color w:val="1F3864"/>
          <w:sz w:val="32"/>
          <w:szCs w:val="32"/>
        </w:rPr>
        <w:t xml:space="preserve">9. Referencias y recursos oficiales</w:t>
      </w:r>
    </w:p>
    <w:p>
      <w:pPr>
        <w:spacing w:after="160" w:line="276"/>
      </w:pPr>
      <w:r>
        <w:rPr>
          <w:sz w:val="22"/>
          <w:szCs w:val="22"/>
        </w:rPr>
        <w:t xml:space="preserve">Se recomienda consultar siempre la documentación oficial de Microsoft Learn como fuente primaria, ya que las capacidades, precios y requisitos de licenciamiento de Teams Phone cambian con frecuencia:</w:t>
      </w:r>
    </w:p>
    <w:p>
      <w:pPr>
        <w:pStyle w:val="ListParagraph"/>
        <w:numPr>
          <w:ilvl w:val="0"/>
          <w:numId w:val="2"/>
        </w:numPr>
        <w:spacing w:after="80" w:line="276"/>
      </w:pPr>
      <w:r>
        <w:rPr>
          <w:sz w:val="22"/>
          <w:szCs w:val="22"/>
        </w:rPr>
        <w:t xml:space="preserve">Microsoft Learn — Opciones de conectividad PSTN (learn.microsoft.com/microsoftteams/pstn-connectivity)</w:t>
      </w:r>
    </w:p>
    <w:p>
      <w:pPr>
        <w:pStyle w:val="ListParagraph"/>
        <w:numPr>
          <w:ilvl w:val="0"/>
          <w:numId w:val="2"/>
        </w:numPr>
        <w:spacing w:after="80" w:line="276"/>
      </w:pPr>
      <w:r>
        <w:rPr>
          <w:sz w:val="22"/>
          <w:szCs w:val="22"/>
        </w:rPr>
        <w:t xml:space="preserve">Microsoft Learn — Planear Direct Routing (learn.microsoft.com/microsoftteams/direct-routing-plan)</w:t>
      </w:r>
    </w:p>
    <w:p>
      <w:pPr>
        <w:pStyle w:val="ListParagraph"/>
        <w:numPr>
          <w:ilvl w:val="0"/>
          <w:numId w:val="2"/>
        </w:numPr>
        <w:spacing w:after="80" w:line="276"/>
      </w:pPr>
      <w:r>
        <w:rPr>
          <w:sz w:val="22"/>
          <w:szCs w:val="22"/>
        </w:rPr>
        <w:t xml:space="preserve">Microsoft Learn — Licenciamiento de Teams Phone (learn.microsoft.com/microsoftteams/teams-phone-licensing)</w:t>
      </w:r>
    </w:p>
    <w:p>
      <w:pPr>
        <w:pStyle w:val="ListParagraph"/>
        <w:numPr>
          <w:ilvl w:val="0"/>
          <w:numId w:val="2"/>
        </w:numPr>
        <w:spacing w:after="80" w:line="276"/>
      </w:pPr>
      <w:r>
        <w:rPr>
          <w:sz w:val="22"/>
          <w:szCs w:val="22"/>
        </w:rPr>
        <w:t xml:space="preserve">Microsoft Learn — Coexistencia e interoperabilidad con Skype Empresarial (learn.microsoft.com/microsoftteams/migration-interop-guidance-for-teams-with-skype)</w:t>
      </w:r>
    </w:p>
    <w:p>
      <w:pPr>
        <w:pStyle w:val="ListParagraph"/>
        <w:numPr>
          <w:ilvl w:val="0"/>
          <w:numId w:val="2"/>
        </w:numPr>
        <w:spacing w:after="80" w:line="276"/>
      </w:pPr>
      <w:r>
        <w:rPr>
          <w:sz w:val="22"/>
          <w:szCs w:val="22"/>
        </w:rPr>
        <w:t xml:space="preserve">Microsoft FastTrack — Transición de Skype Empresarial a Teams (microsoft.com/fasttrack/skype-for-business-transition-to-teams)</w:t>
      </w:r>
    </w:p>
    <w:p>
      <w:pPr>
        <w:pBdr>
          <w:left w:val="single" w:color="2E74B5" w:sz="18" w:space="8"/>
        </w:pBdr>
        <w:shd w:fill="DDEBF7" w:val="clear"/>
        <w:spacing w:after="200" w:before="100"/>
        <w:ind w:left="100"/>
      </w:pPr>
      <w:r>
        <w:rPr>
          <w:i/>
          <w:iCs/>
          <w:color w:val="1F3864"/>
          <w:sz w:val="20"/>
          <w:szCs w:val="20"/>
        </w:rPr>
        <w:t xml:space="preserve">Nota: Este manual resume conceptos generales e intermedios vigentes a mediados de 2026 con fines de capacitación interna. Antes de ejecutar cambios en un entorno de producción, valide siempre los pasos contra la documentación oficial y las políticas internas de cambio de su organización.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Manual de Microsoft Teams Phone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2026-08-24T05:24:00.485Z</dcterms:created>
  <dcterms:modified xsi:type="dcterms:W3CDTF">2026-08-24T05:24:00.485Z</dcterms:modified>
</cp:coreProperties>
</file>

<file path=docProps/custom.xml><?xml version="1.0" encoding="utf-8"?>
<Properties xmlns="http://schemas.openxmlformats.org/officeDocument/2006/custom-properties" xmlns:vt="http://schemas.openxmlformats.org/officeDocument/2006/docPropsVTypes"/>
</file>