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PROPUESTA DE SERVICIOS</w:t>
      </w:r>
    </w:p>
    <w:p>
      <w:pPr>
        <w:spacing w:before="200"/>
        <w:jc w:val="center"/>
      </w:pPr>
      <w:r>
        <w:rPr>
          <w:b/>
          <w:bCs/>
          <w:color w:val="2E74B5"/>
          <w:sz w:val="32"/>
          <w:szCs w:val="32"/>
        </w:rPr>
        <w:t xml:space="preserve">Habilitación de Microsoft 365 eSignature</w:t>
      </w:r>
    </w:p>
    <w:p>
      <w:pPr>
        <w:spacing w:before="120"/>
        <w:jc w:val="center"/>
      </w:pPr>
      <w:r>
        <w:rPr>
          <w:i/>
          <w:iCs/>
          <w:color w:val="595959"/>
          <w:sz w:val="24"/>
          <w:szCs w:val="24"/>
        </w:rPr>
        <w:t xml:space="preserve">Firma electrónica nativa sobre SharePoint Online y Word (Microsoft 365 / Syntex)</w:t>
      </w:r>
    </w:p>
    <w:p>
      <w:pPr>
        <w:spacing w:before="1600"/>
        <w:jc w:val="center"/>
      </w:pPr>
      <w:r>
        <w:rPr>
          <w:color w:val="262626"/>
          <w:sz w:val="24"/>
          <w:szCs w:val="24"/>
        </w:rPr>
        <w:t xml:space="preserve">Preparado para: [Nombre del Cliente]</w:t>
      </w:r>
    </w:p>
    <w:p>
      <w:pPr>
        <w:jc w:val="center"/>
      </w:pPr>
      <w:r>
        <w:rPr>
          <w:color w:val="262626"/>
          <w:sz w:val="24"/>
          <w:szCs w:val="24"/>
        </w:rPr>
        <w:t xml:space="preserve">Preparado por: [Nombre de tu Empresa]</w:t>
      </w:r>
    </w:p>
    <w:p>
      <w:pPr>
        <w:jc w:val="center"/>
      </w:pPr>
      <w:r>
        <w:rPr>
          <w:color w:val="262626"/>
          <w:sz w:val="24"/>
          <w:szCs w:val="24"/>
        </w:rPr>
        <w:t xml:space="preserve">Fecha: 28 de julio de 2026</w:t>
      </w:r>
    </w:p>
    <w:p>
      <w:pPr>
        <w:jc w:val="center"/>
      </w:pPr>
      <w:r>
        <w:rPr>
          <w:color w:val="595959"/>
          <w:sz w:val="20"/>
          <w:szCs w:val="20"/>
        </w:rPr>
        <w:t xml:space="preserve">Versión: 1.0 — Confidencial</w:t>
      </w:r>
    </w:p>
    <w:p>
      <w:r>
        <w:br w:type="page"/>
      </w:r>
    </w:p>
    <w:p>
      <w:pPr>
        <w:pStyle w:val="Heading1"/>
        <w:pBdr>
          <w:bottom w:val="single" w:color="2E74B5" w:sz="6" w:space="4"/>
        </w:pBdr>
        <w:spacing w:after="200" w:before="400"/>
      </w:pPr>
      <w:r>
        <w:rPr>
          <w:b/>
          <w:bCs/>
          <w:color w:val="1F3864"/>
        </w:rPr>
        <w:t xml:space="preserve">Índice</w:t>
      </w:r>
    </w:p>
    <w:p>
      <w:pPr>
        <w:spacing w:after="200"/>
      </w:pPr>
      <w:r>
        <w:rPr>
          <w:i/>
          <w:iCs/>
          <w:color w:val="595959"/>
          <w:sz w:val="18"/>
          <w:szCs w:val="18"/>
        </w:rPr>
        <w:t xml:space="preserve">(Al abrir en Word: clic derecho sobre el índice → "Actualizar campo" → "Actualizar todo el índice" para generar la numeración de páginas.)</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4B5" w:sz="6" w:space="4"/>
        </w:pBdr>
        <w:spacing w:after="200" w:before="400"/>
      </w:pPr>
      <w:r>
        <w:rPr>
          <w:b/>
          <w:bCs/>
          <w:color w:val="1F3864"/>
        </w:rPr>
        <w:t xml:space="preserve">1. Situación Actual</w:t>
      </w:r>
    </w:p>
    <w:p>
      <w:pPr>
        <w:spacing w:after="160" w:line="276"/>
      </w:pPr>
      <w:r>
        <w:rPr>
          <w:color w:val="262626"/>
          <w:sz w:val="21"/>
          <w:szCs w:val="21"/>
        </w:rPr>
        <w:t xml:space="preserve">Actualmente, [Nombre del Cliente] gestiona la firma de contratos, convenios y documentación legal, administrativa y operativa mediante procesos manuales o semi-digitales (impresión, firma autógrafa, escaneo y resguardo físico o en repositorios locales). Este esquema genera los siguientes retos:</w:t>
      </w:r>
    </w:p>
    <w:p>
      <w:pPr>
        <w:pStyle w:val="ListParagraph"/>
        <w:numPr>
          <w:ilvl w:val="0"/>
          <w:numId w:val="2"/>
        </w:numPr>
        <w:spacing w:after="90"/>
      </w:pPr>
      <w:r>
        <w:rPr>
          <w:color w:val="262626"/>
          <w:sz w:val="21"/>
          <w:szCs w:val="21"/>
        </w:rPr>
        <w:t xml:space="preserve">Tiempos prolongados de gestión: los procesos de firma pueden tardar de días a semanas, dependiendo de la disponibilidad de los firmantes y la logística de entrega de documentos.</w:t>
      </w:r>
    </w:p>
    <w:p>
      <w:pPr>
        <w:pStyle w:val="ListParagraph"/>
        <w:numPr>
          <w:ilvl w:val="0"/>
          <w:numId w:val="2"/>
        </w:numPr>
        <w:spacing w:after="90"/>
      </w:pPr>
      <w:r>
        <w:rPr>
          <w:color w:val="262626"/>
          <w:sz w:val="21"/>
          <w:szCs w:val="21"/>
        </w:rPr>
        <w:t xml:space="preserve">Falta de trazabilidad: no existe un registro centralizado y auditable de quién firmó, cuándo y desde dónde.</w:t>
      </w:r>
    </w:p>
    <w:p>
      <w:pPr>
        <w:pStyle w:val="ListParagraph"/>
        <w:numPr>
          <w:ilvl w:val="0"/>
          <w:numId w:val="2"/>
        </w:numPr>
        <w:spacing w:after="90"/>
      </w:pPr>
      <w:r>
        <w:rPr>
          <w:color w:val="262626"/>
          <w:sz w:val="21"/>
          <w:szCs w:val="21"/>
        </w:rPr>
        <w:t xml:space="preserve">Riesgo de pérdida o alteración de documentos: el manejo físico incrementa la posibilidad de extravío, deterioro o falsificación de firmas.</w:t>
      </w:r>
    </w:p>
    <w:p>
      <w:pPr>
        <w:pStyle w:val="ListParagraph"/>
        <w:numPr>
          <w:ilvl w:val="0"/>
          <w:numId w:val="2"/>
        </w:numPr>
        <w:spacing w:after="90"/>
      </w:pPr>
      <w:r>
        <w:rPr>
          <w:color w:val="262626"/>
          <w:sz w:val="21"/>
          <w:szCs w:val="21"/>
        </w:rPr>
        <w:t xml:space="preserve">Costos operativos: impresión, mensajería, resguardo físico y horas-hombre dedicadas a la gestión documental.</w:t>
      </w:r>
    </w:p>
    <w:p>
      <w:pPr>
        <w:pStyle w:val="ListParagraph"/>
        <w:numPr>
          <w:ilvl w:val="0"/>
          <w:numId w:val="2"/>
        </w:numPr>
        <w:spacing w:after="90"/>
      </w:pPr>
      <w:r>
        <w:rPr>
          <w:color w:val="262626"/>
          <w:sz w:val="21"/>
          <w:szCs w:val="21"/>
        </w:rPr>
        <w:t xml:space="preserve">Experiencia de usuario limitada para clientes, proveedores y colaboradores externos, que deben desplazarse o depender de mensajería para formalizar acuerdos.</w:t>
      </w:r>
    </w:p>
    <w:p>
      <w:pPr>
        <w:spacing w:after="160" w:line="276"/>
      </w:pPr>
      <w:r>
        <w:rPr>
          <w:color w:val="262626"/>
          <w:sz w:val="21"/>
          <w:szCs w:val="21"/>
        </w:rPr>
        <w:t xml:space="preserve">A diferencia de un desarrollo a la medida, [Nombre del Cliente] ya cuenta con (o está por adoptar) licenciamiento de Microsoft 365, por lo que se identificó como oportunidad aprovechar la capacidad nativa de firma electrónica de Microsoft 365 eSignature — integrada de forma directa con SharePoint Online y Word — evitando la construcción de una plataforma independiente y acelerando el tiempo de habilitación.</w:t>
      </w:r>
    </w:p>
    <w:p>
      <w:pPr>
        <w:pStyle w:val="Heading1"/>
        <w:pBdr>
          <w:bottom w:val="single" w:color="2E74B5" w:sz="6" w:space="4"/>
        </w:pBdr>
        <w:spacing w:after="200" w:before="400"/>
      </w:pPr>
      <w:r>
        <w:rPr>
          <w:b/>
          <w:bCs/>
          <w:color w:val="1F3864"/>
        </w:rPr>
        <w:t xml:space="preserve">2. Objetivo</w:t>
      </w:r>
    </w:p>
    <w:p>
      <w:pPr>
        <w:spacing w:after="160" w:line="276"/>
      </w:pPr>
      <w:r>
        <w:rPr>
          <w:color w:val="262626"/>
          <w:sz w:val="21"/>
          <w:szCs w:val="21"/>
        </w:rPr>
        <w:t xml:space="preserve">Habilitar, configurar y poner en operación el servicio nativo de Microsoft 365 eSignature para que [Nombre del Cliente] pueda enviar y gestionar solicitudes de firma electrónica sobre documentos PDF y Word almacenados en SharePoint Online, con trazabilidad, cumplimiento y control de costos por consumo.</w:t>
      </w:r>
    </w:p>
    <w:p>
      <w:pPr>
        <w:pStyle w:val="Heading2"/>
        <w:spacing w:after="150" w:before="300"/>
      </w:pPr>
      <w:r>
        <w:rPr>
          <w:b/>
          <w:bCs/>
          <w:color w:val="2E74B5"/>
        </w:rPr>
        <w:t xml:space="preserve">2.1 Objetivos específicos</w:t>
      </w:r>
    </w:p>
    <w:p>
      <w:pPr>
        <w:pStyle w:val="ListParagraph"/>
        <w:numPr>
          <w:ilvl w:val="0"/>
          <w:numId w:val="2"/>
        </w:numPr>
        <w:spacing w:after="90"/>
      </w:pPr>
      <w:r>
        <w:rPr>
          <w:color w:val="262626"/>
          <w:sz w:val="21"/>
          <w:szCs w:val="21"/>
        </w:rPr>
        <w:t xml:space="preserve">Reducir el tiempo de cierre de acuerdos de días a minutos u horas, sin necesidad de una plataforma externa adicional.</w:t>
      </w:r>
    </w:p>
    <w:p>
      <w:pPr>
        <w:pStyle w:val="ListParagraph"/>
        <w:numPr>
          <w:ilvl w:val="0"/>
          <w:numId w:val="2"/>
        </w:numPr>
        <w:spacing w:after="90"/>
      </w:pPr>
      <w:r>
        <w:rPr>
          <w:color w:val="262626"/>
          <w:sz w:val="21"/>
          <w:szCs w:val="21"/>
        </w:rPr>
        <w:t xml:space="preserve">Aprovechar la inversión ya realizada en licenciamiento Microsoft 365 (SharePoint Online y Word) en lugar de adquirir una herramienta de firma independiente.</w:t>
      </w:r>
    </w:p>
    <w:p>
      <w:pPr>
        <w:pStyle w:val="ListParagraph"/>
        <w:numPr>
          <w:ilvl w:val="0"/>
          <w:numId w:val="2"/>
        </w:numPr>
        <w:spacing w:after="90"/>
      </w:pPr>
      <w:r>
        <w:rPr>
          <w:color w:val="262626"/>
          <w:sz w:val="21"/>
          <w:szCs w:val="21"/>
        </w:rPr>
        <w:t xml:space="preserve">Establecer un modelo de gobierno claro sobre la facturación por consumo (pay-as-you-go) del servicio.</w:t>
      </w:r>
    </w:p>
    <w:p>
      <w:pPr>
        <w:pStyle w:val="ListParagraph"/>
        <w:numPr>
          <w:ilvl w:val="0"/>
          <w:numId w:val="2"/>
        </w:numPr>
        <w:spacing w:after="90"/>
      </w:pPr>
      <w:r>
        <w:rPr>
          <w:color w:val="262626"/>
          <w:sz w:val="21"/>
          <w:szCs w:val="21"/>
        </w:rPr>
        <w:t xml:space="preserve">Habilitar el envío de solicitudes de firma a firmantes internos y externos (invitados vía Microsoft Entra B2B) de forma segura.</w:t>
      </w:r>
    </w:p>
    <w:p>
      <w:pPr>
        <w:pStyle w:val="ListParagraph"/>
        <w:numPr>
          <w:ilvl w:val="0"/>
          <w:numId w:val="2"/>
        </w:numPr>
        <w:spacing w:after="90"/>
      </w:pPr>
      <w:r>
        <w:rPr>
          <w:color w:val="262626"/>
          <w:sz w:val="21"/>
          <w:szCs w:val="21"/>
        </w:rPr>
        <w:t xml:space="preserve">Registrar toda la actividad de firma en el log de auditoría de Microsoft Purview para fines de cumplimiento.</w:t>
      </w:r>
    </w:p>
    <w:p>
      <w:pPr>
        <w:pStyle w:val="ListParagraph"/>
        <w:numPr>
          <w:ilvl w:val="0"/>
          <w:numId w:val="2"/>
        </w:numPr>
        <w:spacing w:after="90"/>
      </w:pPr>
      <w:r>
        <w:rPr>
          <w:color w:val="262626"/>
          <w:sz w:val="21"/>
          <w:szCs w:val="21"/>
        </w:rPr>
        <w:t xml:space="preserve">Validar, junto con el área legal del cliente, que la firma electrónica simple sea suficiente para los tipos de documento a firmar, o identificar cuándo se requiere un proveedor certificado (Adobe Acrobat Sign / DocuSign).</w:t>
      </w:r>
    </w:p>
    <w:p>
      <w:pPr>
        <w:pStyle w:val="Heading1"/>
        <w:pBdr>
          <w:bottom w:val="single" w:color="2E74B5" w:sz="6" w:space="4"/>
        </w:pBdr>
        <w:spacing w:after="200" w:before="400"/>
      </w:pPr>
      <w:r>
        <w:rPr>
          <w:b/>
          <w:bCs/>
          <w:color w:val="1F3864"/>
        </w:rPr>
        <w:t xml:space="preserve">3. Arquitectura de la Solución</w:t>
      </w:r>
    </w:p>
    <w:p>
      <w:pPr>
        <w:spacing w:after="160" w:line="276"/>
      </w:pPr>
      <w:r>
        <w:rPr>
          <w:color w:val="262626"/>
          <w:sz w:val="21"/>
          <w:szCs w:val="21"/>
        </w:rPr>
        <w:t xml:space="preserve">A diferencia de una plataforma construida a la medida, Microsoft 365 eSignature es un servicio nativo de Microsoft 365 (dentro de la familia Syntex) que se habilita por configuración —no por desarrollo— sobre la infraestructura de SharePoint Online y Word que el cliente ya utiliza. La arquitectura, por lo tanto, se centra en habilitación, gobierno y configuración de permisos, más que en construcción de componentes nuevos.</w:t>
      </w:r>
    </w:p>
    <w:p>
      <w:pPr>
        <w:pStyle w:val="Heading2"/>
        <w:spacing w:after="150" w:before="300"/>
      </w:pPr>
      <w:r>
        <w:rPr>
          <w:b/>
          <w:bCs/>
          <w:color w:val="2E74B5"/>
        </w:rPr>
        <w:t xml:space="preserve">3.1 Flujo funcional de alto nivel</w:t>
      </w:r>
    </w:p>
    <w:p>
      <w:pPr>
        <w:pStyle w:val="ListParagraph"/>
        <w:numPr>
          <w:ilvl w:val="0"/>
          <w:numId w:val="2"/>
        </w:numPr>
        <w:spacing w:after="90"/>
      </w:pPr>
      <w:r>
        <w:rPr>
          <w:color w:val="262626"/>
          <w:sz w:val="21"/>
          <w:szCs w:val="21"/>
        </w:rPr>
        <w:t xml:space="preserve">1. El usuario crea o carga el documento (PDF o Word) en una biblioteca de SharePoint habilitada para eSignature.</w:t>
      </w:r>
    </w:p>
    <w:p>
      <w:pPr>
        <w:pStyle w:val="ListParagraph"/>
        <w:numPr>
          <w:ilvl w:val="0"/>
          <w:numId w:val="2"/>
        </w:numPr>
        <w:spacing w:after="90"/>
      </w:pPr>
      <w:r>
        <w:rPr>
          <w:color w:val="262626"/>
          <w:sz w:val="21"/>
          <w:szCs w:val="21"/>
        </w:rPr>
        <w:t xml:space="preserve">2. Desde el documento (o desde Word de escritorio, en el caso de .docx), el usuario con permisos de edición y de uso compartido inicia una solicitud de firma y define a los firmantes (hasta 10 por solicitud) y el orden de firma.</w:t>
      </w:r>
    </w:p>
    <w:p>
      <w:pPr>
        <w:pStyle w:val="ListParagraph"/>
        <w:numPr>
          <w:ilvl w:val="0"/>
          <w:numId w:val="2"/>
        </w:numPr>
        <w:spacing w:after="90"/>
      </w:pPr>
      <w:r>
        <w:rPr>
          <w:color w:val="262626"/>
          <w:sz w:val="21"/>
          <w:szCs w:val="21"/>
        </w:rPr>
        <w:t xml:space="preserve">3. El servicio genera un enlace de acceso seguro; los firmantes internos se autentican vía Microsoft Entra ID y los externos acceden como invitados vía Microsoft Entra B2B.</w:t>
      </w:r>
    </w:p>
    <w:p>
      <w:pPr>
        <w:pStyle w:val="ListParagraph"/>
        <w:numPr>
          <w:ilvl w:val="0"/>
          <w:numId w:val="2"/>
        </w:numPr>
        <w:spacing w:after="90"/>
      </w:pPr>
      <w:r>
        <w:rPr>
          <w:color w:val="262626"/>
          <w:sz w:val="21"/>
          <w:szCs w:val="21"/>
        </w:rPr>
        <w:t xml:space="preserve">4. Cada firmante recibe una notificación por correo, revisa el documento y firma (de forma escrita a mano o tecleando su nombre, según configuración) directamente desde el navegador, sin instalar software adicional.</w:t>
      </w:r>
    </w:p>
    <w:p>
      <w:pPr>
        <w:pStyle w:val="ListParagraph"/>
        <w:numPr>
          <w:ilvl w:val="0"/>
          <w:numId w:val="2"/>
        </w:numPr>
        <w:spacing w:after="90"/>
      </w:pPr>
      <w:r>
        <w:rPr>
          <w:color w:val="262626"/>
          <w:sz w:val="21"/>
          <w:szCs w:val="21"/>
        </w:rPr>
        <w:t xml:space="preserve">5. Al completarse todas las firmas, el documento firmado —con su evidencia de auditoría embebida— se guarda automáticamente de vuelta en la biblioteca de SharePoint de origen.</w:t>
      </w:r>
    </w:p>
    <w:p>
      <w:pPr>
        <w:pStyle w:val="ListParagraph"/>
        <w:numPr>
          <w:ilvl w:val="0"/>
          <w:numId w:val="2"/>
        </w:numPr>
        <w:spacing w:after="90"/>
      </w:pPr>
      <w:r>
        <w:rPr>
          <w:color w:val="262626"/>
          <w:sz w:val="21"/>
          <w:szCs w:val="21"/>
        </w:rPr>
        <w:t xml:space="preserve">6. Cada evento del ciclo de vida de la solicitud queda registrado en el log de auditoría de Microsoft Purview, y el estatus puede consultarse desde la app de Aprobaciones en Microsoft Teams.</w:t>
      </w:r>
    </w:p>
    <w:p>
      <w:pPr>
        <w:pStyle w:val="ListParagraph"/>
        <w:numPr>
          <w:ilvl w:val="0"/>
          <w:numId w:val="2"/>
        </w:numPr>
        <w:spacing w:after="90"/>
      </w:pPr>
      <w:r>
        <w:rPr>
          <w:color w:val="262626"/>
          <w:sz w:val="21"/>
          <w:szCs w:val="21"/>
        </w:rPr>
        <w:t xml:space="preserve">7. El consumo (una solicitud creada = un evento facturable) se factura de manera automática a la suscripción de Azure en pay-as-you-go vinculada al tenant.</w:t>
      </w:r>
    </w:p>
    <w:p>
      <w:pPr>
        <w:pStyle w:val="Heading2"/>
        <w:spacing w:after="150" w:before="300"/>
      </w:pPr>
      <w:r>
        <w:rPr>
          <w:b/>
          <w:bCs/>
          <w:color w:val="2E74B5"/>
        </w:rPr>
        <w:t xml:space="preserve">3.2 Componentes de la arquitectura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1F3864" w:val="clear"/>
            <w:tcMar>
              <w:top w:type="dxa" w:w="80"/>
              <w:left w:type="dxa" w:w="100"/>
              <w:bottom w:type="dxa" w:w="80"/>
              <w:right w:type="dxa" w:w="100"/>
            </w:tcMar>
            <w:vAlign w:val="center"/>
          </w:tcPr>
          <w:p>
            <w:r>
              <w:rPr>
                <w:b/>
                <w:bCs/>
                <w:color w:val="FFFFFF"/>
                <w:sz w:val="20"/>
                <w:szCs w:val="20"/>
              </w:rPr>
              <w:t xml:space="preserve">Componente</w:t>
            </w:r>
          </w:p>
        </w:tc>
        <w:tc>
          <w:tcPr>
            <w:tcW w:type="dxa" w:w="6300"/>
            <w:shd w:fill="1F3864" w:val="clear"/>
            <w:tcMar>
              <w:top w:type="dxa" w:w="80"/>
              <w:left w:type="dxa" w:w="100"/>
              <w:bottom w:type="dxa" w:w="80"/>
              <w:right w:type="dxa" w:w="100"/>
            </w:tcMar>
            <w:vAlign w:val="center"/>
          </w:tcPr>
          <w:p>
            <w:r>
              <w:rPr>
                <w:b/>
                <w:bCs/>
                <w:color w:val="FFFFFF"/>
                <w:sz w:val="20"/>
                <w:szCs w:val="20"/>
              </w:rPr>
              <w:t xml:space="preserve">Función dentro de la solución</w:t>
            </w:r>
          </w:p>
        </w:tc>
      </w:tr>
      <w:tr>
        <w:tc>
          <w:tcPr>
            <w:tcW w:type="dxa" w:w="3600"/>
            <w:tcMar>
              <w:top w:type="dxa" w:w="80"/>
              <w:left w:type="dxa" w:w="100"/>
              <w:bottom w:type="dxa" w:w="80"/>
              <w:right w:type="dxa" w:w="100"/>
            </w:tcMar>
            <w:vAlign w:val="center"/>
          </w:tcPr>
          <w:p>
            <w:r>
              <w:rPr>
                <w:b/>
                <w:bCs/>
                <w:color w:val="262626"/>
                <w:sz w:val="20"/>
                <w:szCs w:val="20"/>
              </w:rPr>
              <w:t xml:space="preserve">SharePoint Online</w:t>
            </w:r>
          </w:p>
        </w:tc>
        <w:tc>
          <w:tcPr>
            <w:tcW w:type="dxa" w:w="6300"/>
            <w:tcMar>
              <w:top w:type="dxa" w:w="80"/>
              <w:left w:type="dxa" w:w="100"/>
              <w:bottom w:type="dxa" w:w="80"/>
              <w:right w:type="dxa" w:w="100"/>
            </w:tcMar>
            <w:vAlign w:val="center"/>
          </w:tcPr>
          <w:p>
            <w:r>
              <w:rPr>
                <w:b w:val="false"/>
                <w:bCs w:val="false"/>
                <w:color w:val="262626"/>
                <w:sz w:val="20"/>
                <w:szCs w:val="20"/>
              </w:rPr>
              <w:t xml:space="preserve">Repositorio de los documentos a firmar y de los documentos firmados; aloja el sitio y la biblioteca donde vive el certificado de auditoría del documento.</w:t>
            </w:r>
          </w:p>
        </w:tc>
      </w:tr>
      <w:tr>
        <w:tc>
          <w:tcPr>
            <w:tcW w:type="dxa" w:w="3600"/>
            <w:shd w:fill="F2F2F2" w:val="clear"/>
            <w:tcMar>
              <w:top w:type="dxa" w:w="80"/>
              <w:left w:type="dxa" w:w="100"/>
              <w:bottom w:type="dxa" w:w="80"/>
              <w:right w:type="dxa" w:w="100"/>
            </w:tcMar>
            <w:vAlign w:val="center"/>
          </w:tcPr>
          <w:p>
            <w:r>
              <w:rPr>
                <w:b/>
                <w:bCs/>
                <w:color w:val="262626"/>
                <w:sz w:val="20"/>
                <w:szCs w:val="20"/>
              </w:rPr>
              <w:t xml:space="preserve">Microsoft 365 eSignature (Syntex)</w:t>
            </w:r>
          </w:p>
        </w:tc>
        <w:tc>
          <w:tcPr>
            <w:tcW w:type="dxa" w:w="6300"/>
            <w:shd w:fill="F2F2F2" w:val="clear"/>
            <w:tcMar>
              <w:top w:type="dxa" w:w="80"/>
              <w:left w:type="dxa" w:w="100"/>
              <w:bottom w:type="dxa" w:w="80"/>
              <w:right w:type="dxa" w:w="100"/>
            </w:tcMar>
            <w:vAlign w:val="center"/>
          </w:tcPr>
          <w:p>
            <w:r>
              <w:rPr>
                <w:b w:val="false"/>
                <w:bCs w:val="false"/>
                <w:color w:val="262626"/>
                <w:sz w:val="20"/>
                <w:szCs w:val="20"/>
              </w:rPr>
              <w:t xml:space="preserve">Servicio nativo que genera el enlace de firma, gestiona el flujo de firmantes y produce el documento firmado con evidencia embebida.</w:t>
            </w:r>
          </w:p>
        </w:tc>
      </w:tr>
      <w:tr>
        <w:tc>
          <w:tcPr>
            <w:tcW w:type="dxa" w:w="3600"/>
            <w:tcMar>
              <w:top w:type="dxa" w:w="80"/>
              <w:left w:type="dxa" w:w="100"/>
              <w:bottom w:type="dxa" w:w="80"/>
              <w:right w:type="dxa" w:w="100"/>
            </w:tcMar>
            <w:vAlign w:val="center"/>
          </w:tcPr>
          <w:p>
            <w:r>
              <w:rPr>
                <w:b/>
                <w:bCs/>
                <w:color w:val="262626"/>
                <w:sz w:val="20"/>
                <w:szCs w:val="20"/>
              </w:rPr>
              <w:t xml:space="preserve">Suscripción de Azure (pay-as-you-go)</w:t>
            </w:r>
          </w:p>
        </w:tc>
        <w:tc>
          <w:tcPr>
            <w:tcW w:type="dxa" w:w="6300"/>
            <w:tcMar>
              <w:top w:type="dxa" w:w="80"/>
              <w:left w:type="dxa" w:w="100"/>
              <w:bottom w:type="dxa" w:w="80"/>
              <w:right w:type="dxa" w:w="100"/>
            </w:tcMar>
            <w:vAlign w:val="center"/>
          </w:tcPr>
          <w:p>
            <w:r>
              <w:rPr>
                <w:b w:val="false"/>
                <w:bCs w:val="false"/>
                <w:color w:val="262626"/>
                <w:sz w:val="20"/>
                <w:szCs w:val="20"/>
              </w:rPr>
              <w:t xml:space="preserve">Vinculada al tenant únicamente para efectos de facturación por consumo; no requiere aprovisionar cómputo ni almacenamiento adicional.</w:t>
            </w:r>
          </w:p>
        </w:tc>
      </w:tr>
      <w:tr>
        <w:tc>
          <w:tcPr>
            <w:tcW w:type="dxa" w:w="3600"/>
            <w:shd w:fill="F2F2F2" w:val="clear"/>
            <w:tcMar>
              <w:top w:type="dxa" w:w="80"/>
              <w:left w:type="dxa" w:w="100"/>
              <w:bottom w:type="dxa" w:w="80"/>
              <w:right w:type="dxa" w:w="100"/>
            </w:tcMar>
            <w:vAlign w:val="center"/>
          </w:tcPr>
          <w:p>
            <w:r>
              <w:rPr>
                <w:b/>
                <w:bCs/>
                <w:color w:val="262626"/>
                <w:sz w:val="20"/>
                <w:szCs w:val="20"/>
              </w:rPr>
              <w:t xml:space="preserve">Microsoft Entra ID</w:t>
            </w:r>
          </w:p>
        </w:tc>
        <w:tc>
          <w:tcPr>
            <w:tcW w:type="dxa" w:w="6300"/>
            <w:shd w:fill="F2F2F2" w:val="clear"/>
            <w:tcMar>
              <w:top w:type="dxa" w:w="80"/>
              <w:left w:type="dxa" w:w="100"/>
              <w:bottom w:type="dxa" w:w="80"/>
              <w:right w:type="dxa" w:w="100"/>
            </w:tcMar>
            <w:vAlign w:val="center"/>
          </w:tcPr>
          <w:p>
            <w:r>
              <w:rPr>
                <w:b w:val="false"/>
                <w:bCs w:val="false"/>
                <w:color w:val="262626"/>
                <w:sz w:val="20"/>
                <w:szCs w:val="20"/>
              </w:rPr>
              <w:t xml:space="preserve">Autenticación de firmantes internos; control de acceso basado en roles administrativos (SharePoint Administrator / Global Administrator).</w:t>
            </w:r>
          </w:p>
        </w:tc>
      </w:tr>
      <w:tr>
        <w:tc>
          <w:tcPr>
            <w:tcW w:type="dxa" w:w="3600"/>
            <w:tcMar>
              <w:top w:type="dxa" w:w="80"/>
              <w:left w:type="dxa" w:w="100"/>
              <w:bottom w:type="dxa" w:w="80"/>
              <w:right w:type="dxa" w:w="100"/>
            </w:tcMar>
            <w:vAlign w:val="center"/>
          </w:tcPr>
          <w:p>
            <w:r>
              <w:rPr>
                <w:b/>
                <w:bCs/>
                <w:color w:val="262626"/>
                <w:sz w:val="20"/>
                <w:szCs w:val="20"/>
              </w:rPr>
              <w:t xml:space="preserve">Microsoft Entra B2B (invitados)</w:t>
            </w:r>
          </w:p>
        </w:tc>
        <w:tc>
          <w:tcPr>
            <w:tcW w:type="dxa" w:w="6300"/>
            <w:tcMar>
              <w:top w:type="dxa" w:w="80"/>
              <w:left w:type="dxa" w:w="100"/>
              <w:bottom w:type="dxa" w:w="80"/>
              <w:right w:type="dxa" w:w="100"/>
            </w:tcMar>
            <w:vAlign w:val="center"/>
          </w:tcPr>
          <w:p>
            <w:r>
              <w:rPr>
                <w:b w:val="false"/>
                <w:bCs w:val="false"/>
                <w:color w:val="262626"/>
                <w:sz w:val="20"/>
                <w:szCs w:val="20"/>
              </w:rPr>
              <w:t xml:space="preserve">Habilita el acceso de firmantes externos que no son usuarios del tenant, mediante invitación de invitado (guest access).</w:t>
            </w:r>
          </w:p>
        </w:tc>
      </w:tr>
      <w:tr>
        <w:tc>
          <w:tcPr>
            <w:tcW w:type="dxa" w:w="3600"/>
            <w:shd w:fill="F2F2F2" w:val="clear"/>
            <w:tcMar>
              <w:top w:type="dxa" w:w="80"/>
              <w:left w:type="dxa" w:w="100"/>
              <w:bottom w:type="dxa" w:w="80"/>
              <w:right w:type="dxa" w:w="100"/>
            </w:tcMar>
            <w:vAlign w:val="center"/>
          </w:tcPr>
          <w:p>
            <w:r>
              <w:rPr>
                <w:b/>
                <w:bCs/>
                <w:color w:val="262626"/>
                <w:sz w:val="20"/>
                <w:szCs w:val="20"/>
              </w:rPr>
              <w:t xml:space="preserve">Word de escritorio (suscripción)</w:t>
            </w:r>
          </w:p>
        </w:tc>
        <w:tc>
          <w:tcPr>
            <w:tcW w:type="dxa" w:w="6300"/>
            <w:shd w:fill="F2F2F2" w:val="clear"/>
            <w:tcMar>
              <w:top w:type="dxa" w:w="80"/>
              <w:left w:type="dxa" w:w="100"/>
              <w:bottom w:type="dxa" w:w="80"/>
              <w:right w:type="dxa" w:w="100"/>
            </w:tcMar>
            <w:vAlign w:val="center"/>
          </w:tcPr>
          <w:p>
            <w:r>
              <w:rPr>
                <w:b w:val="false"/>
                <w:bCs w:val="false"/>
                <w:color w:val="262626"/>
                <w:sz w:val="20"/>
                <w:szCs w:val="20"/>
              </w:rPr>
              <w:t xml:space="preserve">Habilita el envío y firma nativa de solicitudes directamente desde documentos .docx, en canales Actual, Mensual Empresarial o Beta.</w:t>
            </w:r>
          </w:p>
        </w:tc>
      </w:tr>
      <w:tr>
        <w:tc>
          <w:tcPr>
            <w:tcW w:type="dxa" w:w="3600"/>
            <w:tcMar>
              <w:top w:type="dxa" w:w="80"/>
              <w:left w:type="dxa" w:w="100"/>
              <w:bottom w:type="dxa" w:w="80"/>
              <w:right w:type="dxa" w:w="100"/>
            </w:tcMar>
            <w:vAlign w:val="center"/>
          </w:tcPr>
          <w:p>
            <w:r>
              <w:rPr>
                <w:b/>
                <w:bCs/>
                <w:color w:val="262626"/>
                <w:sz w:val="20"/>
                <w:szCs w:val="20"/>
              </w:rPr>
              <w:t xml:space="preserve">Microsoft Purview (Audit log)</w:t>
            </w:r>
          </w:p>
        </w:tc>
        <w:tc>
          <w:tcPr>
            <w:tcW w:type="dxa" w:w="6300"/>
            <w:tcMar>
              <w:top w:type="dxa" w:w="80"/>
              <w:left w:type="dxa" w:w="100"/>
              <w:bottom w:type="dxa" w:w="80"/>
              <w:right w:type="dxa" w:w="100"/>
            </w:tcMar>
            <w:vAlign w:val="center"/>
          </w:tcPr>
          <w:p>
            <w:r>
              <w:rPr>
                <w:b w:val="false"/>
                <w:bCs w:val="false"/>
                <w:color w:val="262626"/>
                <w:sz w:val="20"/>
                <w:szCs w:val="20"/>
              </w:rPr>
              <w:t xml:space="preserve">Registro de auditoría de cada evento del ciclo de vida de la solicitud (creada, enviada, vista, firmada, completada, descargada, cancelada, rechazada, expirada).</w:t>
            </w:r>
          </w:p>
        </w:tc>
      </w:tr>
      <w:tr>
        <w:tc>
          <w:tcPr>
            <w:tcW w:type="dxa" w:w="3600"/>
            <w:shd w:fill="F2F2F2" w:val="clear"/>
            <w:tcMar>
              <w:top w:type="dxa" w:w="80"/>
              <w:left w:type="dxa" w:w="100"/>
              <w:bottom w:type="dxa" w:w="80"/>
              <w:right w:type="dxa" w:w="100"/>
            </w:tcMar>
            <w:vAlign w:val="center"/>
          </w:tcPr>
          <w:p>
            <w:r>
              <w:rPr>
                <w:b/>
                <w:bCs/>
                <w:color w:val="262626"/>
                <w:sz w:val="20"/>
                <w:szCs w:val="20"/>
              </w:rPr>
              <w:t xml:space="preserve">Aprobaciones de Microsoft Teams</w:t>
            </w:r>
          </w:p>
        </w:tc>
        <w:tc>
          <w:tcPr>
            <w:tcW w:type="dxa" w:w="6300"/>
            <w:shd w:fill="F2F2F2" w:val="clear"/>
            <w:tcMar>
              <w:top w:type="dxa" w:w="80"/>
              <w:left w:type="dxa" w:w="100"/>
              <w:bottom w:type="dxa" w:w="80"/>
              <w:right w:type="dxa" w:w="100"/>
            </w:tcMar>
            <w:vAlign w:val="center"/>
          </w:tcPr>
          <w:p>
            <w:r>
              <w:rPr>
                <w:b w:val="false"/>
                <w:bCs w:val="false"/>
                <w:color w:val="262626"/>
                <w:sz w:val="20"/>
                <w:szCs w:val="20"/>
              </w:rPr>
              <w:t xml:space="preserve">Panel de seguimiento del estatus de las solicitudes de firma enviadas, integrado a la experiencia de colaboración diaria.</w:t>
            </w:r>
          </w:p>
        </w:tc>
      </w:tr>
      <w:tr>
        <w:tc>
          <w:tcPr>
            <w:tcW w:type="dxa" w:w="3600"/>
            <w:tcMar>
              <w:top w:type="dxa" w:w="80"/>
              <w:left w:type="dxa" w:w="100"/>
              <w:bottom w:type="dxa" w:w="80"/>
              <w:right w:type="dxa" w:w="100"/>
            </w:tcMar>
            <w:vAlign w:val="center"/>
          </w:tcPr>
          <w:p>
            <w:r>
              <w:rPr>
                <w:b/>
                <w:bCs/>
                <w:color w:val="262626"/>
                <w:sz w:val="20"/>
                <w:szCs w:val="20"/>
              </w:rPr>
              <w:t xml:space="preserve">Proveedores de firma adicionales (opcional)</w:t>
            </w:r>
          </w:p>
        </w:tc>
        <w:tc>
          <w:tcPr>
            <w:tcW w:type="dxa" w:w="6300"/>
            <w:tcMar>
              <w:top w:type="dxa" w:w="80"/>
              <w:left w:type="dxa" w:w="100"/>
              <w:bottom w:type="dxa" w:w="80"/>
              <w:right w:type="dxa" w:w="100"/>
            </w:tcMar>
            <w:vAlign w:val="center"/>
          </w:tcPr>
          <w:p>
            <w:r>
              <w:rPr>
                <w:b w:val="false"/>
                <w:bCs w:val="false"/>
                <w:color w:val="262626"/>
                <w:sz w:val="20"/>
                <w:szCs w:val="20"/>
              </w:rPr>
              <w:t xml:space="preserve">Integración nativa con Adobe Acrobat Sign y DocuSign eSignature para PDFs, disponible si se requiere un nivel de firma más robusto (fuera del alcance base de esta propuesta).</w:t>
            </w:r>
          </w:p>
        </w:tc>
      </w:tr>
    </w:tbl>
    <w:p>
      <w:pPr>
        <w:spacing w:after="160" w:line="276"/>
      </w:pPr>
      <w:r>
        <w:rPr>
          <w:color w:val="262626"/>
          <w:sz w:val="21"/>
          <w:szCs w:val="21"/>
        </w:rPr>
        <w:t xml:space="preserve"/>
      </w:r>
    </w:p>
    <w:p>
      <w:pPr>
        <w:spacing w:after="160" w:line="276"/>
      </w:pPr>
      <w:r>
        <w:rPr>
          <w:color w:val="262626"/>
          <w:sz w:val="21"/>
          <w:szCs w:val="21"/>
        </w:rPr>
        <w:t xml:space="preserve">Nota: no se requiere aprovisionar redes virtuales, bases de datos ni cómputo adicional — el servicio corre enteramente dentro del tenant de Microsoft 365 del cliente.</w:t>
      </w:r>
    </w:p>
    <w:p>
      <w:pPr>
        <w:pStyle w:val="Heading1"/>
        <w:pBdr>
          <w:bottom w:val="single" w:color="2E74B5" w:sz="6" w:space="4"/>
        </w:pBdr>
        <w:spacing w:after="200" w:before="400"/>
      </w:pPr>
      <w:r>
        <w:rPr>
          <w:b/>
          <w:bCs/>
          <w:color w:val="1F3864"/>
        </w:rPr>
        <w:t xml:space="preserve">4. Alcances</w:t>
      </w:r>
    </w:p>
    <w:p>
      <w:pPr>
        <w:spacing w:after="160" w:line="276"/>
      </w:pPr>
      <w:r>
        <w:rPr>
          <w:color w:val="262626"/>
          <w:sz w:val="21"/>
          <w:szCs w:val="21"/>
        </w:rPr>
        <w:t xml:space="preserve">El presente proyecto contempla las siguientes actividades y entregables, bajo un enfoque de habilitación y configuración (no de desarrollo a la medida):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7100"/>
      </w:tblGrid>
      <w:tr>
        <w:trPr>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Fase</w:t>
            </w:r>
          </w:p>
        </w:tc>
        <w:tc>
          <w:tcPr>
            <w:tcW w:type="dxa" w:w="7100"/>
            <w:shd w:fill="1F3864" w:val="clear"/>
            <w:tcMar>
              <w:top w:type="dxa" w:w="80"/>
              <w:left w:type="dxa" w:w="100"/>
              <w:bottom w:type="dxa" w:w="80"/>
              <w:right w:type="dxa" w:w="100"/>
            </w:tcMar>
            <w:vAlign w:val="center"/>
          </w:tcPr>
          <w:p>
            <w:r>
              <w:rPr>
                <w:b/>
                <w:bCs/>
                <w:color w:val="FFFFFF"/>
                <w:sz w:val="20"/>
                <w:szCs w:val="20"/>
              </w:rPr>
              <w:t xml:space="preserve">Descripción</w:t>
            </w:r>
          </w:p>
        </w:tc>
      </w:tr>
      <w:tr>
        <w:tc>
          <w:tcPr>
            <w:tcW w:type="dxa" w:w="2800"/>
            <w:tcMar>
              <w:top w:type="dxa" w:w="80"/>
              <w:left w:type="dxa" w:w="100"/>
              <w:bottom w:type="dxa" w:w="80"/>
              <w:right w:type="dxa" w:w="100"/>
            </w:tcMar>
            <w:vAlign w:val="center"/>
          </w:tcPr>
          <w:p>
            <w:r>
              <w:rPr>
                <w:b/>
                <w:bCs/>
                <w:color w:val="262626"/>
                <w:sz w:val="20"/>
                <w:szCs w:val="20"/>
              </w:rPr>
              <w:t xml:space="preserve">Fase 1 — Descubrimiento</w:t>
            </w:r>
          </w:p>
        </w:tc>
        <w:tc>
          <w:tcPr>
            <w:tcW w:type="dxa" w:w="7100"/>
            <w:tcMar>
              <w:top w:type="dxa" w:w="80"/>
              <w:left w:type="dxa" w:w="100"/>
              <w:bottom w:type="dxa" w:w="80"/>
              <w:right w:type="dxa" w:w="100"/>
            </w:tcMar>
            <w:vAlign w:val="center"/>
          </w:tcPr>
          <w:p>
            <w:r>
              <w:rPr>
                <w:b w:val="false"/>
                <w:bCs w:val="false"/>
                <w:color w:val="262626"/>
                <w:sz w:val="20"/>
                <w:szCs w:val="20"/>
              </w:rPr>
              <w:t xml:space="preserve">Levantamiento de casos de uso, tipos de documento (PDF/Word), volumetría estimada, necesidad de firmantes externos y validación con el área legal del cliente sobre el nivel de firma requerido.</w:t>
            </w:r>
          </w:p>
        </w:tc>
      </w:tr>
      <w:tr>
        <w:tc>
          <w:tcPr>
            <w:tcW w:type="dxa" w:w="2800"/>
            <w:shd w:fill="F2F2F2" w:val="clear"/>
            <w:tcMar>
              <w:top w:type="dxa" w:w="80"/>
              <w:left w:type="dxa" w:w="100"/>
              <w:bottom w:type="dxa" w:w="80"/>
              <w:right w:type="dxa" w:w="100"/>
            </w:tcMar>
            <w:vAlign w:val="center"/>
          </w:tcPr>
          <w:p>
            <w:r>
              <w:rPr>
                <w:b/>
                <w:bCs/>
                <w:color w:val="262626"/>
                <w:sz w:val="20"/>
                <w:szCs w:val="20"/>
              </w:rPr>
              <w:t xml:space="preserve">Fase 2 — Habilitación técnica</w:t>
            </w:r>
          </w:p>
        </w:tc>
        <w:tc>
          <w:tcPr>
            <w:tcW w:type="dxa" w:w="7100"/>
            <w:shd w:fill="F2F2F2" w:val="clear"/>
            <w:tcMar>
              <w:top w:type="dxa" w:w="80"/>
              <w:left w:type="dxa" w:w="100"/>
              <w:bottom w:type="dxa" w:w="80"/>
              <w:right w:type="dxa" w:w="100"/>
            </w:tcMar>
            <w:vAlign w:val="center"/>
          </w:tcPr>
          <w:p>
            <w:r>
              <w:rPr>
                <w:b w:val="false"/>
                <w:bCs w:val="false"/>
                <w:color w:val="262626"/>
                <w:sz w:val="20"/>
                <w:szCs w:val="20"/>
              </w:rPr>
              <w:t xml:space="preserve">Vinculación de la suscripción de Azure en pay-as-you-go, activación del servicio de eSignature en el Centro de administración de Microsoft 365 y asignación de roles administrativos (mínimo privilegio).</w:t>
            </w:r>
          </w:p>
        </w:tc>
      </w:tr>
      <w:tr>
        <w:tc>
          <w:tcPr>
            <w:tcW w:type="dxa" w:w="2800"/>
            <w:tcMar>
              <w:top w:type="dxa" w:w="80"/>
              <w:left w:type="dxa" w:w="100"/>
              <w:bottom w:type="dxa" w:w="80"/>
              <w:right w:type="dxa" w:w="100"/>
            </w:tcMar>
            <w:vAlign w:val="center"/>
          </w:tcPr>
          <w:p>
            <w:r>
              <w:rPr>
                <w:b/>
                <w:bCs/>
                <w:color w:val="262626"/>
                <w:sz w:val="20"/>
                <w:szCs w:val="20"/>
              </w:rPr>
              <w:t xml:space="preserve">Fase 3 — Configuración de SharePoint</w:t>
            </w:r>
          </w:p>
        </w:tc>
        <w:tc>
          <w:tcPr>
            <w:tcW w:type="dxa" w:w="7100"/>
            <w:tcMar>
              <w:top w:type="dxa" w:w="80"/>
              <w:left w:type="dxa" w:w="100"/>
              <w:bottom w:type="dxa" w:w="80"/>
              <w:right w:type="dxa" w:w="100"/>
            </w:tcMar>
            <w:vAlign w:val="center"/>
          </w:tcPr>
          <w:p>
            <w:r>
              <w:rPr>
                <w:b w:val="false"/>
                <w:bCs w:val="false"/>
                <w:color w:val="262626"/>
                <w:sz w:val="20"/>
                <w:szCs w:val="20"/>
              </w:rPr>
              <w:t xml:space="preserve">Definición de sitios/bibliotecas habilitadas para eSignature, configuración de permisos de edición y de uso compartido, y habilitación de Microsoft Entra B2B para firmantes externos (si aplica).</w:t>
            </w:r>
          </w:p>
        </w:tc>
      </w:tr>
      <w:tr>
        <w:tc>
          <w:tcPr>
            <w:tcW w:type="dxa" w:w="2800"/>
            <w:shd w:fill="F2F2F2" w:val="clear"/>
            <w:tcMar>
              <w:top w:type="dxa" w:w="80"/>
              <w:left w:type="dxa" w:w="100"/>
              <w:bottom w:type="dxa" w:w="80"/>
              <w:right w:type="dxa" w:w="100"/>
            </w:tcMar>
            <w:vAlign w:val="center"/>
          </w:tcPr>
          <w:p>
            <w:r>
              <w:rPr>
                <w:b/>
                <w:bCs/>
                <w:color w:val="262626"/>
                <w:sz w:val="20"/>
                <w:szCs w:val="20"/>
              </w:rPr>
              <w:t xml:space="preserve">Fase 4 — Piloto</w:t>
            </w:r>
          </w:p>
        </w:tc>
        <w:tc>
          <w:tcPr>
            <w:tcW w:type="dxa" w:w="7100"/>
            <w:shd w:fill="F2F2F2" w:val="clear"/>
            <w:tcMar>
              <w:top w:type="dxa" w:w="80"/>
              <w:left w:type="dxa" w:w="100"/>
              <w:bottom w:type="dxa" w:w="80"/>
              <w:right w:type="dxa" w:w="100"/>
            </w:tcMar>
            <w:vAlign w:val="center"/>
          </w:tcPr>
          <w:p>
            <w:r>
              <w:rPr>
                <w:b w:val="false"/>
                <w:bCs w:val="false"/>
                <w:color w:val="262626"/>
                <w:sz w:val="20"/>
                <w:szCs w:val="20"/>
              </w:rPr>
              <w:t xml:space="preserve">Pruebas con un grupo de usuarios clave sobre solicitudes en PDF y en Word, validación de auditoría en Purview y de seguimiento en Aprobaciones de Teams.</w:t>
            </w:r>
          </w:p>
        </w:tc>
      </w:tr>
      <w:tr>
        <w:tc>
          <w:tcPr>
            <w:tcW w:type="dxa" w:w="2800"/>
            <w:tcMar>
              <w:top w:type="dxa" w:w="80"/>
              <w:left w:type="dxa" w:w="100"/>
              <w:bottom w:type="dxa" w:w="80"/>
              <w:right w:type="dxa" w:w="100"/>
            </w:tcMar>
            <w:vAlign w:val="center"/>
          </w:tcPr>
          <w:p>
            <w:r>
              <w:rPr>
                <w:b/>
                <w:bCs/>
                <w:color w:val="262626"/>
                <w:sz w:val="20"/>
                <w:szCs w:val="20"/>
              </w:rPr>
              <w:t xml:space="preserve">Fase 5 — Capacitación</w:t>
            </w:r>
          </w:p>
        </w:tc>
        <w:tc>
          <w:tcPr>
            <w:tcW w:type="dxa" w:w="7100"/>
            <w:tcMar>
              <w:top w:type="dxa" w:w="80"/>
              <w:left w:type="dxa" w:w="100"/>
              <w:bottom w:type="dxa" w:w="80"/>
              <w:right w:type="dxa" w:w="100"/>
            </w:tcMar>
            <w:vAlign w:val="center"/>
          </w:tcPr>
          <w:p>
            <w:r>
              <w:rPr>
                <w:b w:val="false"/>
                <w:bCs w:val="false"/>
                <w:color w:val="262626"/>
                <w:sz w:val="20"/>
                <w:szCs w:val="20"/>
              </w:rPr>
              <w:t xml:space="preserve">Sesión de capacitación a usuarios clave y a los administradores del servicio.</w:t>
            </w:r>
          </w:p>
        </w:tc>
      </w:tr>
      <w:tr>
        <w:tc>
          <w:tcPr>
            <w:tcW w:type="dxa" w:w="2800"/>
            <w:shd w:fill="F2F2F2" w:val="clear"/>
            <w:tcMar>
              <w:top w:type="dxa" w:w="80"/>
              <w:left w:type="dxa" w:w="100"/>
              <w:bottom w:type="dxa" w:w="80"/>
              <w:right w:type="dxa" w:w="100"/>
            </w:tcMar>
            <w:vAlign w:val="center"/>
          </w:tcPr>
          <w:p>
            <w:r>
              <w:rPr>
                <w:b/>
                <w:bCs/>
                <w:color w:val="262626"/>
                <w:sz w:val="20"/>
                <w:szCs w:val="20"/>
              </w:rPr>
              <w:t xml:space="preserve">Fase 6 — Puesta en marcha y gobierno</w:t>
            </w:r>
          </w:p>
        </w:tc>
        <w:tc>
          <w:tcPr>
            <w:tcW w:type="dxa" w:w="7100"/>
            <w:shd w:fill="F2F2F2" w:val="clear"/>
            <w:tcMar>
              <w:top w:type="dxa" w:w="80"/>
              <w:left w:type="dxa" w:w="100"/>
              <w:bottom w:type="dxa" w:w="80"/>
              <w:right w:type="dxa" w:w="100"/>
            </w:tcMar>
            <w:vAlign w:val="center"/>
          </w:tcPr>
          <w:p>
            <w:r>
              <w:rPr>
                <w:b w:val="false"/>
                <w:bCs w:val="false"/>
                <w:color w:val="262626"/>
                <w:sz w:val="20"/>
                <w:szCs w:val="20"/>
              </w:rPr>
              <w:t xml:space="preserve">Liberación a la organización, entrega de lineamientos de gobierno (retención, etiquetas de confidencialidad, control del gasto por consumo) y acompañamiento post-arranque (hypercare).</w:t>
            </w:r>
          </w:p>
        </w:tc>
      </w:tr>
    </w:tbl>
    <w:p>
      <w:pPr>
        <w:spacing w:after="160" w:line="276"/>
      </w:pPr>
      <w:r>
        <w:rPr>
          <w:color w:val="262626"/>
          <w:sz w:val="21"/>
          <w:szCs w:val="21"/>
        </w:rPr>
        <w:t xml:space="preserve"/>
      </w:r>
    </w:p>
    <w:p>
      <w:pPr>
        <w:pStyle w:val="Heading2"/>
        <w:spacing w:after="150" w:before="300"/>
      </w:pPr>
      <w:r>
        <w:rPr>
          <w:b/>
          <w:bCs/>
          <w:color w:val="2E74B5"/>
        </w:rPr>
        <w:t xml:space="preserve">4.1 Entregables</w:t>
      </w:r>
    </w:p>
    <w:p>
      <w:pPr>
        <w:pStyle w:val="ListParagraph"/>
        <w:numPr>
          <w:ilvl w:val="0"/>
          <w:numId w:val="2"/>
        </w:numPr>
        <w:spacing w:after="90"/>
      </w:pPr>
      <w:r>
        <w:rPr>
          <w:color w:val="262626"/>
          <w:sz w:val="21"/>
          <w:szCs w:val="21"/>
        </w:rPr>
        <w:t xml:space="preserve">Documento de configuración del servicio (sitios habilitados, permisos, roles administrativos).</w:t>
      </w:r>
    </w:p>
    <w:p>
      <w:pPr>
        <w:pStyle w:val="ListParagraph"/>
        <w:numPr>
          <w:ilvl w:val="0"/>
          <w:numId w:val="2"/>
        </w:numPr>
        <w:spacing w:after="90"/>
      </w:pPr>
      <w:r>
        <w:rPr>
          <w:color w:val="262626"/>
          <w:sz w:val="21"/>
          <w:szCs w:val="21"/>
        </w:rPr>
        <w:t xml:space="preserve">Checklist de gobierno: retención de documentos firmados, etiquetas de confidencialidad, acceso de invitados y auditoría.</w:t>
      </w:r>
    </w:p>
    <w:p>
      <w:pPr>
        <w:pStyle w:val="ListParagraph"/>
        <w:numPr>
          <w:ilvl w:val="0"/>
          <w:numId w:val="2"/>
        </w:numPr>
        <w:spacing w:after="90"/>
      </w:pPr>
      <w:r>
        <w:rPr>
          <w:color w:val="262626"/>
          <w:sz w:val="21"/>
          <w:szCs w:val="21"/>
        </w:rPr>
        <w:t xml:space="preserve">Reporte de resultados del piloto.</w:t>
      </w:r>
    </w:p>
    <w:p>
      <w:pPr>
        <w:pStyle w:val="ListParagraph"/>
        <w:numPr>
          <w:ilvl w:val="0"/>
          <w:numId w:val="2"/>
        </w:numPr>
        <w:spacing w:after="90"/>
      </w:pPr>
      <w:r>
        <w:rPr>
          <w:color w:val="262626"/>
          <w:sz w:val="21"/>
          <w:szCs w:val="21"/>
        </w:rPr>
        <w:t xml:space="preserve">Manual de usuario (cómo enviar y firmar una solicitud) y manual de administración (cómo dar seguimiento al consumo y a la configuración).</w:t>
      </w:r>
    </w:p>
    <w:p>
      <w:pPr>
        <w:pStyle w:val="ListParagraph"/>
        <w:numPr>
          <w:ilvl w:val="0"/>
          <w:numId w:val="2"/>
        </w:numPr>
        <w:spacing w:after="90"/>
      </w:pPr>
      <w:r>
        <w:rPr>
          <w:color w:val="262626"/>
          <w:sz w:val="21"/>
          <w:szCs w:val="21"/>
        </w:rPr>
        <w:t xml:space="preserve">Sesión de capacitación a usuarios clave (train the trainer).</w:t>
      </w:r>
    </w:p>
    <w:p>
      <w:pPr>
        <w:pStyle w:val="ListParagraph"/>
        <w:numPr>
          <w:ilvl w:val="0"/>
          <w:numId w:val="2"/>
        </w:numPr>
        <w:spacing w:after="90"/>
      </w:pPr>
      <w:r>
        <w:rPr>
          <w:color w:val="262626"/>
          <w:sz w:val="21"/>
          <w:szCs w:val="21"/>
        </w:rPr>
        <w:t xml:space="preserve">Acompañamiento post puesta en marcha (hypercare de 2 semanas).</w:t>
      </w:r>
    </w:p>
    <w:p>
      <w:pPr>
        <w:pStyle w:val="Heading1"/>
        <w:pBdr>
          <w:bottom w:val="single" w:color="2E74B5" w:sz="6" w:space="4"/>
        </w:pBdr>
        <w:spacing w:after="200" w:before="400"/>
      </w:pPr>
      <w:r>
        <w:rPr>
          <w:b/>
          <w:bCs/>
          <w:color w:val="1F3864"/>
        </w:rPr>
        <w:t xml:space="preserve">5. Fuera de Alcance</w:t>
      </w:r>
    </w:p>
    <w:p>
      <w:pPr>
        <w:spacing w:after="160" w:line="276"/>
      </w:pPr>
      <w:r>
        <w:rPr>
          <w:color w:val="262626"/>
          <w:sz w:val="21"/>
          <w:szCs w:val="21"/>
        </w:rPr>
        <w:t xml:space="preserve">Para efectos de claridad, las siguientes actividades no están consideradas dentro del presente proyecto y podrán cotizarse de manera adicional en caso de ser requeridas:</w:t>
      </w:r>
    </w:p>
    <w:p>
      <w:pPr>
        <w:pStyle w:val="ListParagraph"/>
        <w:numPr>
          <w:ilvl w:val="0"/>
          <w:numId w:val="2"/>
        </w:numPr>
        <w:spacing w:after="90"/>
      </w:pPr>
      <w:r>
        <w:rPr>
          <w:color w:val="262626"/>
          <w:sz w:val="21"/>
          <w:szCs w:val="21"/>
        </w:rPr>
        <w:t xml:space="preserve">Desarrollo de integraciones personalizadas con ERP, CRM u otros sistemas fuera del flujo nativo de SharePoint/Word.</w:t>
      </w:r>
    </w:p>
    <w:p>
      <w:pPr>
        <w:pStyle w:val="ListParagraph"/>
        <w:numPr>
          <w:ilvl w:val="0"/>
          <w:numId w:val="2"/>
        </w:numPr>
        <w:spacing w:after="90"/>
      </w:pPr>
      <w:r>
        <w:rPr>
          <w:color w:val="262626"/>
          <w:sz w:val="21"/>
          <w:szCs w:val="21"/>
        </w:rPr>
        <w:t xml:space="preserve">Firma electrónica avanzada o certificada con validación reforzada de identidad (biometría, certificados emitidos por una Autoridad Certificadora); de requerirse, se recomienda evaluar la integración con Adobe Acrobat Sign o DocuSign eSignature, cotizada por separado.</w:t>
      </w:r>
    </w:p>
    <w:p>
      <w:pPr>
        <w:pStyle w:val="ListParagraph"/>
        <w:numPr>
          <w:ilvl w:val="0"/>
          <w:numId w:val="2"/>
        </w:numPr>
        <w:spacing w:after="90"/>
      </w:pPr>
      <w:r>
        <w:rPr>
          <w:color w:val="262626"/>
          <w:sz w:val="21"/>
          <w:szCs w:val="21"/>
        </w:rPr>
        <w:t xml:space="preserve">Digitalización o migración de documentos históricos firmados en papel.</w:t>
      </w:r>
    </w:p>
    <w:p>
      <w:pPr>
        <w:pStyle w:val="ListParagraph"/>
        <w:numPr>
          <w:ilvl w:val="0"/>
          <w:numId w:val="2"/>
        </w:numPr>
        <w:spacing w:after="90"/>
      </w:pPr>
      <w:r>
        <w:rPr>
          <w:color w:val="262626"/>
          <w:sz w:val="21"/>
          <w:szCs w:val="21"/>
        </w:rPr>
        <w:t xml:space="preserve">Compra o gestión de licencias adicionales de Microsoft 365 para usuarios que actualmente no cuenten con SharePoint Online o Word de escritorio.</w:t>
      </w:r>
    </w:p>
    <w:p>
      <w:pPr>
        <w:pStyle w:val="ListParagraph"/>
        <w:numPr>
          <w:ilvl w:val="0"/>
          <w:numId w:val="2"/>
        </w:numPr>
        <w:spacing w:after="90"/>
      </w:pPr>
      <w:r>
        <w:rPr>
          <w:color w:val="262626"/>
          <w:sz w:val="21"/>
          <w:szCs w:val="21"/>
        </w:rPr>
        <w:t xml:space="preserve">Gestión continua del gasto de consumo de Azure pay-as-you-go más allá de la configuración inicial (se recomienda que el cliente asigne un responsable interno / dueño del costo).</w:t>
      </w:r>
    </w:p>
    <w:p>
      <w:pPr>
        <w:pStyle w:val="ListParagraph"/>
        <w:numPr>
          <w:ilvl w:val="0"/>
          <w:numId w:val="2"/>
        </w:numPr>
        <w:spacing w:after="90"/>
      </w:pPr>
      <w:r>
        <w:rPr>
          <w:color w:val="262626"/>
          <w:sz w:val="21"/>
          <w:szCs w:val="21"/>
        </w:rPr>
        <w:t xml:space="preserve">Soporte y mantenimiento posterior al periodo de hypercare (disponible bajo un contrato de soporte independiente).</w:t>
      </w:r>
    </w:p>
    <w:p>
      <w:pPr>
        <w:pStyle w:val="ListParagraph"/>
        <w:numPr>
          <w:ilvl w:val="0"/>
          <w:numId w:val="2"/>
        </w:numPr>
        <w:spacing w:after="90"/>
      </w:pPr>
      <w:r>
        <w:rPr>
          <w:color w:val="262626"/>
          <w:sz w:val="21"/>
          <w:szCs w:val="21"/>
        </w:rPr>
        <w:t xml:space="preserve">Validaciones legales específicas de cada país o industria más allá del cumplimiento normativo general revisado en la Fase 1.</w:t>
      </w:r>
    </w:p>
    <w:p>
      <w:pPr>
        <w:pStyle w:val="ListParagraph"/>
        <w:numPr>
          <w:ilvl w:val="0"/>
          <w:numId w:val="2"/>
        </w:numPr>
        <w:spacing w:after="90"/>
      </w:pPr>
      <w:r>
        <w:rPr>
          <w:color w:val="262626"/>
          <w:sz w:val="21"/>
          <w:szCs w:val="21"/>
        </w:rPr>
        <w:t xml:space="preserve">Capacitación masiva a firmantes externos (clientes/proveedores del cliente); solo se capacita a usuarios clave internos y administradores.</w:t>
      </w:r>
    </w:p>
    <w:p>
      <w:pPr>
        <w:pStyle w:val="Heading1"/>
        <w:pBdr>
          <w:bottom w:val="single" w:color="2E74B5" w:sz="6" w:space="4"/>
        </w:pBdr>
        <w:spacing w:after="200" w:before="400"/>
      </w:pPr>
      <w:r>
        <w:rPr>
          <w:b/>
          <w:bCs/>
          <w:color w:val="1F3864"/>
        </w:rPr>
        <w:t xml:space="preserve">6. Requerimientos Técnicos</w:t>
      </w:r>
    </w:p>
    <w:p>
      <w:pPr>
        <w:pStyle w:val="Heading2"/>
        <w:spacing w:after="150" w:before="300"/>
      </w:pPr>
      <w:r>
        <w:rPr>
          <w:b/>
          <w:bCs/>
          <w:color w:val="2E74B5"/>
        </w:rPr>
        <w:t xml:space="preserve">6.1 Licenciamiento y plataforma base</w:t>
      </w:r>
    </w:p>
    <w:p>
      <w:pPr>
        <w:pStyle w:val="ListParagraph"/>
        <w:numPr>
          <w:ilvl w:val="0"/>
          <w:numId w:val="2"/>
        </w:numPr>
        <w:spacing w:after="90"/>
      </w:pPr>
      <w:r>
        <w:rPr>
          <w:color w:val="262626"/>
          <w:sz w:val="21"/>
          <w:szCs w:val="21"/>
        </w:rPr>
        <w:t xml:space="preserve">Tenant de Microsoft 365 con planes que incluyan SharePoint Online (Plan 1 o superior) y Word de escritorio con suscripción — por ejemplo, Microsoft 365 Business Standard/Premium, o E1/E3/E5 — para los usuarios que envíen o firmen solicitudes desde Word.</w:t>
      </w:r>
    </w:p>
    <w:p>
      <w:pPr>
        <w:pStyle w:val="ListParagraph"/>
        <w:numPr>
          <w:ilvl w:val="0"/>
          <w:numId w:val="2"/>
        </w:numPr>
        <w:spacing w:after="90"/>
      </w:pPr>
      <w:r>
        <w:rPr>
          <w:color w:val="262626"/>
          <w:sz w:val="21"/>
          <w:szCs w:val="21"/>
        </w:rPr>
        <w:t xml:space="preserve">Suscripción de Azure vigente, vinculada al tenant en modalidad de facturación pay-as-you-go (requisito indispensable para habilitar el servicio, ya que el cobro es por consumo y no por licencia nombrada).</w:t>
      </w:r>
    </w:p>
    <w:p>
      <w:pPr>
        <w:pStyle w:val="ListParagraph"/>
        <w:numPr>
          <w:ilvl w:val="0"/>
          <w:numId w:val="2"/>
        </w:numPr>
        <w:spacing w:after="90"/>
      </w:pPr>
      <w:r>
        <w:rPr>
          <w:color w:val="262626"/>
          <w:sz w:val="21"/>
          <w:szCs w:val="21"/>
        </w:rPr>
        <w:t xml:space="preserve">Rol de SharePoint Administrator (recomendado) o Global Administrator para acceder al Centro de administración de Microsoft 365 y habilitar el servicio.</w:t>
      </w:r>
    </w:p>
    <w:p>
      <w:pPr>
        <w:pStyle w:val="Heading2"/>
        <w:spacing w:after="150" w:before="300"/>
      </w:pPr>
      <w:r>
        <w:rPr>
          <w:b/>
          <w:bCs/>
          <w:color w:val="2E74B5"/>
        </w:rPr>
        <w:t xml:space="preserve">6.2 Configuración del servicio</w:t>
      </w:r>
    </w:p>
    <w:p>
      <w:pPr>
        <w:pStyle w:val="ListParagraph"/>
        <w:numPr>
          <w:ilvl w:val="0"/>
          <w:numId w:val="2"/>
        </w:numPr>
        <w:spacing w:after="90"/>
      </w:pPr>
      <w:r>
        <w:rPr>
          <w:color w:val="262626"/>
          <w:sz w:val="21"/>
          <w:szCs w:val="21"/>
        </w:rPr>
        <w:t xml:space="preserve">Habilitación en Centro de administración de Microsoft 365 → Configuración → Configuración de la organización → Servicios de pago por uso → Servicios de documentos e imágenes → eSignature.</w:t>
      </w:r>
    </w:p>
    <w:p>
      <w:pPr>
        <w:pStyle w:val="ListParagraph"/>
        <w:numPr>
          <w:ilvl w:val="0"/>
          <w:numId w:val="2"/>
        </w:numPr>
        <w:spacing w:after="90"/>
      </w:pPr>
      <w:r>
        <w:rPr>
          <w:color w:val="262626"/>
          <w:sz w:val="21"/>
          <w:szCs w:val="21"/>
        </w:rPr>
        <w:t xml:space="preserve">Definición del alcance de sitios de SharePoint habilitados (todos los sitios o sitios específicos).</w:t>
      </w:r>
    </w:p>
    <w:p>
      <w:pPr>
        <w:pStyle w:val="ListParagraph"/>
        <w:numPr>
          <w:ilvl w:val="0"/>
          <w:numId w:val="2"/>
        </w:numPr>
        <w:spacing w:after="90"/>
      </w:pPr>
      <w:r>
        <w:rPr>
          <w:color w:val="262626"/>
          <w:sz w:val="21"/>
          <w:szCs w:val="21"/>
        </w:rPr>
        <w:t xml:space="preserve">Habilitación de Microsoft Entra B2B e intercambio con invitados, si se requiere firma de personas externas al tenant.</w:t>
      </w:r>
    </w:p>
    <w:p>
      <w:pPr>
        <w:pStyle w:val="ListParagraph"/>
        <w:numPr>
          <w:ilvl w:val="0"/>
          <w:numId w:val="2"/>
        </w:numPr>
        <w:spacing w:after="90"/>
      </w:pPr>
      <w:r>
        <w:rPr>
          <w:color w:val="262626"/>
          <w:sz w:val="21"/>
          <w:szCs w:val="21"/>
        </w:rPr>
        <w:t xml:space="preserve">Selección de proveedor(es) de firma: nativo de Microsoft, y opcionalmente Adobe Acrobat Sign o DocuSign eSignature para PDFs.</w:t>
      </w:r>
    </w:p>
    <w:p>
      <w:pPr>
        <w:pStyle w:val="Heading2"/>
        <w:spacing w:after="150" w:before="300"/>
      </w:pPr>
      <w:r>
        <w:rPr>
          <w:b/>
          <w:bCs/>
          <w:color w:val="2E74B5"/>
        </w:rPr>
        <w:t xml:space="preserve">6.3 Límites y restricciones vigentes del servicio (Microsoft, 2026)</w:t>
      </w:r>
    </w:p>
    <w:p>
      <w:pPr>
        <w:pStyle w:val="ListParagraph"/>
        <w:numPr>
          <w:ilvl w:val="0"/>
          <w:numId w:val="2"/>
        </w:numPr>
        <w:spacing w:after="90"/>
      </w:pPr>
      <w:r>
        <w:rPr>
          <w:color w:val="262626"/>
          <w:sz w:val="21"/>
          <w:szCs w:val="21"/>
        </w:rPr>
        <w:t xml:space="preserve">Disponible en la nube pública de Microsoft 365 a nivel mundial (excepto Indonesia); en tenants multi-geo, el servicio opera únicamente en el geo principal (home geo).</w:t>
      </w:r>
    </w:p>
    <w:p>
      <w:pPr>
        <w:pStyle w:val="ListParagraph"/>
        <w:numPr>
          <w:ilvl w:val="0"/>
          <w:numId w:val="2"/>
        </w:numPr>
        <w:spacing w:after="90"/>
      </w:pPr>
      <w:r>
        <w:rPr>
          <w:color w:val="262626"/>
          <w:sz w:val="21"/>
          <w:szCs w:val="21"/>
        </w:rPr>
        <w:t xml:space="preserve">El servicio utiliza firma electrónica simple; se debe validar con el área legal si esto es suficiente para el tipo de documento (contratos regulados o de alto valor podrían requerir Adobe Acrobat Sign o DocuSign).</w:t>
      </w:r>
    </w:p>
    <w:p>
      <w:pPr>
        <w:pStyle w:val="ListParagraph"/>
        <w:numPr>
          <w:ilvl w:val="0"/>
          <w:numId w:val="2"/>
        </w:numPr>
        <w:spacing w:after="90"/>
      </w:pPr>
      <w:r>
        <w:rPr>
          <w:color w:val="262626"/>
          <w:sz w:val="21"/>
          <w:szCs w:val="21"/>
        </w:rPr>
        <w:t xml:space="preserve">Solo admite archivos PDF sin cifrar; se recomienda un tamaño menor a 10 MB por solicitud.</w:t>
      </w:r>
    </w:p>
    <w:p>
      <w:pPr>
        <w:pStyle w:val="ListParagraph"/>
        <w:numPr>
          <w:ilvl w:val="0"/>
          <w:numId w:val="2"/>
        </w:numPr>
        <w:spacing w:after="90"/>
      </w:pPr>
      <w:r>
        <w:rPr>
          <w:color w:val="262626"/>
          <w:sz w:val="21"/>
          <w:szCs w:val="21"/>
        </w:rPr>
        <w:t xml:space="preserve">Hasta 10 destinatarios y hasta 50 campos en total por solicitud en PDF, con al menos un campo de firma obligatorio por firmante.</w:t>
      </w:r>
    </w:p>
    <w:p>
      <w:pPr>
        <w:pStyle w:val="ListParagraph"/>
        <w:numPr>
          <w:ilvl w:val="0"/>
          <w:numId w:val="2"/>
        </w:numPr>
        <w:spacing w:after="90"/>
      </w:pPr>
      <w:r>
        <w:rPr>
          <w:color w:val="262626"/>
          <w:sz w:val="21"/>
          <w:szCs w:val="21"/>
        </w:rPr>
        <w:t xml:space="preserve">La firma sobre documentos Word requiere el archivo en formato .docx sin cifrar, la app de escritorio de Word con suscripción activa, y el sitio de SharePoint correspondiente habilitado.</w:t>
      </w:r>
    </w:p>
    <w:p>
      <w:pPr>
        <w:pStyle w:val="ListParagraph"/>
        <w:numPr>
          <w:ilvl w:val="0"/>
          <w:numId w:val="2"/>
        </w:numPr>
        <w:spacing w:after="90"/>
      </w:pPr>
      <w:r>
        <w:rPr>
          <w:color w:val="262626"/>
          <w:sz w:val="21"/>
          <w:szCs w:val="21"/>
        </w:rPr>
        <w:t xml:space="preserve">No es posible iniciar una nueva solicitud de firma sobre un documento que ya fue firmado previamente.</w:t>
      </w:r>
    </w:p>
    <w:p>
      <w:pPr>
        <w:pStyle w:val="ListParagraph"/>
        <w:numPr>
          <w:ilvl w:val="0"/>
          <w:numId w:val="2"/>
        </w:numPr>
        <w:spacing w:after="90"/>
      </w:pPr>
      <w:r>
        <w:rPr>
          <w:color w:val="262626"/>
          <w:sz w:val="21"/>
          <w:szCs w:val="21"/>
        </w:rPr>
        <w:t xml:space="preserve">La prueba gratuita de Microsoft (hasta 5 solicitudes sin costo con pay-as-you-go configurado) estuvo vigente solo hasta junio de 2026, por lo que a la fecha de esta propuesta el consumo se factura desde la primera solicitud.</w:t>
      </w:r>
    </w:p>
    <w:p>
      <w:pPr>
        <w:pStyle w:val="Heading1"/>
        <w:pBdr>
          <w:bottom w:val="single" w:color="2E74B5" w:sz="6" w:space="4"/>
        </w:pBdr>
        <w:spacing w:after="200" w:before="400"/>
      </w:pPr>
      <w:r>
        <w:rPr>
          <w:b/>
          <w:bCs/>
          <w:color w:val="1F3864"/>
        </w:rPr>
        <w:t xml:space="preserve">7. Requerimientos Humanos</w:t>
      </w:r>
    </w:p>
    <w:p>
      <w:pPr>
        <w:spacing w:after="160" w:line="276"/>
      </w:pPr>
      <w:r>
        <w:rPr>
          <w:color w:val="262626"/>
          <w:sz w:val="21"/>
          <w:szCs w:val="21"/>
        </w:rPr>
        <w:t xml:space="preserve">Al tratarse de una habilitación de un servicio nativo (y no de un desarrollo a la medida), el equipo de trabajo requerido es considerablemente más ligero que en un proyecto de construcción de plataforma: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8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Rol</w:t>
            </w:r>
          </w:p>
        </w:tc>
        <w:tc>
          <w:tcPr>
            <w:tcW w:type="dxa" w:w="1500"/>
            <w:shd w:fill="1F3864" w:val="clear"/>
            <w:tcMar>
              <w:top w:type="dxa" w:w="80"/>
              <w:left w:type="dxa" w:w="100"/>
              <w:bottom w:type="dxa" w:w="80"/>
              <w:right w:type="dxa" w:w="100"/>
            </w:tcMar>
            <w:vAlign w:val="center"/>
          </w:tcPr>
          <w:p>
            <w:r>
              <w:rPr>
                <w:b/>
                <w:bCs/>
                <w:color w:val="FFFFFF"/>
                <w:sz w:val="20"/>
                <w:szCs w:val="20"/>
              </w:rPr>
              <w:t xml:space="preserve">Origen</w:t>
            </w:r>
          </w:p>
        </w:tc>
        <w:tc>
          <w:tcPr>
            <w:tcW w:type="dxa" w:w="5800"/>
            <w:shd w:fill="1F3864" w:val="clear"/>
            <w:tcMar>
              <w:top w:type="dxa" w:w="80"/>
              <w:left w:type="dxa" w:w="100"/>
              <w:bottom w:type="dxa" w:w="80"/>
              <w:right w:type="dxa" w:w="100"/>
            </w:tcMar>
            <w:vAlign w:val="center"/>
          </w:tcPr>
          <w:p>
            <w:r>
              <w:rPr>
                <w:b/>
                <w:bCs/>
                <w:color w:val="FFFFFF"/>
                <w:sz w:val="20"/>
                <w:szCs w:val="20"/>
              </w:rPr>
              <w:t xml:space="preserve">Responsabilidad</w:t>
            </w:r>
          </w:p>
        </w:tc>
      </w:tr>
      <w:tr>
        <w:tc>
          <w:tcPr>
            <w:tcW w:type="dxa" w:w="2600"/>
            <w:tcMar>
              <w:top w:type="dxa" w:w="80"/>
              <w:left w:type="dxa" w:w="100"/>
              <w:bottom w:type="dxa" w:w="80"/>
              <w:right w:type="dxa" w:w="100"/>
            </w:tcMar>
            <w:vAlign w:val="center"/>
          </w:tcPr>
          <w:p>
            <w:r>
              <w:rPr>
                <w:b/>
                <w:bCs/>
                <w:color w:val="262626"/>
                <w:sz w:val="20"/>
                <w:szCs w:val="20"/>
              </w:rPr>
              <w:t xml:space="preserve">Consultor / Especialista Microsoft 365</w:t>
            </w:r>
          </w:p>
        </w:tc>
        <w:tc>
          <w:tcPr>
            <w:tcW w:type="dxa" w:w="1500"/>
            <w:tcMar>
              <w:top w:type="dxa" w:w="80"/>
              <w:left w:type="dxa" w:w="100"/>
              <w:bottom w:type="dxa" w:w="80"/>
              <w:right w:type="dxa" w:w="100"/>
            </w:tcMar>
            <w:vAlign w:val="center"/>
          </w:tcPr>
          <w:p>
            <w:r>
              <w:rPr>
                <w:b w:val="false"/>
                <w:bCs w:val="false"/>
                <w:color w:val="262626"/>
                <w:sz w:val="20"/>
                <w:szCs w:val="20"/>
              </w:rPr>
              <w:t xml:space="preserve">Proveedor</w:t>
            </w:r>
          </w:p>
        </w:tc>
        <w:tc>
          <w:tcPr>
            <w:tcW w:type="dxa" w:w="5800"/>
            <w:tcMar>
              <w:top w:type="dxa" w:w="80"/>
              <w:left w:type="dxa" w:w="100"/>
              <w:bottom w:type="dxa" w:w="80"/>
              <w:right w:type="dxa" w:w="100"/>
            </w:tcMar>
            <w:vAlign w:val="center"/>
          </w:tcPr>
          <w:p>
            <w:r>
              <w:rPr>
                <w:b w:val="false"/>
                <w:bCs w:val="false"/>
                <w:color w:val="262626"/>
                <w:sz w:val="20"/>
                <w:szCs w:val="20"/>
              </w:rPr>
              <w:t xml:space="preserve">Habilitación del servicio, configuración de sitios y permisos, y soporte durante el piloto. (Parcial, tiempo variable por fase)</w:t>
            </w:r>
          </w:p>
        </w:tc>
      </w:tr>
      <w:tr>
        <w:tc>
          <w:tcPr>
            <w:tcW w:type="dxa" w:w="2600"/>
            <w:shd w:fill="F2F2F2" w:val="clear"/>
            <w:tcMar>
              <w:top w:type="dxa" w:w="80"/>
              <w:left w:type="dxa" w:w="100"/>
              <w:bottom w:type="dxa" w:w="80"/>
              <w:right w:type="dxa" w:w="100"/>
            </w:tcMar>
            <w:vAlign w:val="center"/>
          </w:tcPr>
          <w:p>
            <w:r>
              <w:rPr>
                <w:b/>
                <w:bCs/>
                <w:color w:val="262626"/>
                <w:sz w:val="20"/>
                <w:szCs w:val="20"/>
              </w:rPr>
              <w:t xml:space="preserve">Especialista en Gobierno y Cumplimiento</w:t>
            </w:r>
          </w:p>
        </w:tc>
        <w:tc>
          <w:tcPr>
            <w:tcW w:type="dxa" w:w="1500"/>
            <w:shd w:fill="F2F2F2" w:val="clear"/>
            <w:tcMar>
              <w:top w:type="dxa" w:w="80"/>
              <w:left w:type="dxa" w:w="100"/>
              <w:bottom w:type="dxa" w:w="80"/>
              <w:right w:type="dxa" w:w="100"/>
            </w:tcMar>
            <w:vAlign w:val="center"/>
          </w:tcPr>
          <w:p>
            <w:r>
              <w:rPr>
                <w:b w:val="false"/>
                <w:bCs w:val="false"/>
                <w:color w:val="262626"/>
                <w:sz w:val="20"/>
                <w:szCs w:val="20"/>
              </w:rPr>
              <w:t xml:space="preserve">Proveedor</w:t>
            </w:r>
          </w:p>
        </w:tc>
        <w:tc>
          <w:tcPr>
            <w:tcW w:type="dxa" w:w="5800"/>
            <w:shd w:fill="F2F2F2" w:val="clear"/>
            <w:tcMar>
              <w:top w:type="dxa" w:w="80"/>
              <w:left w:type="dxa" w:w="100"/>
              <w:bottom w:type="dxa" w:w="80"/>
              <w:right w:type="dxa" w:w="100"/>
            </w:tcMar>
            <w:vAlign w:val="center"/>
          </w:tcPr>
          <w:p>
            <w:r>
              <w:rPr>
                <w:b w:val="false"/>
                <w:bCs w:val="false"/>
                <w:color w:val="262626"/>
                <w:sz w:val="20"/>
                <w:szCs w:val="20"/>
              </w:rPr>
              <w:t xml:space="preserve">Definición de lineamientos de retención, etiquetas de confidencialidad y validación de auditoría. (Parcial)</w:t>
            </w:r>
          </w:p>
        </w:tc>
      </w:tr>
      <w:tr>
        <w:tc>
          <w:tcPr>
            <w:tcW w:type="dxa" w:w="2600"/>
            <w:tcMar>
              <w:top w:type="dxa" w:w="80"/>
              <w:left w:type="dxa" w:w="100"/>
              <w:bottom w:type="dxa" w:w="80"/>
              <w:right w:type="dxa" w:w="100"/>
            </w:tcMar>
            <w:vAlign w:val="center"/>
          </w:tcPr>
          <w:p>
            <w:r>
              <w:rPr>
                <w:b/>
                <w:bCs/>
                <w:color w:val="262626"/>
                <w:sz w:val="20"/>
                <w:szCs w:val="20"/>
              </w:rPr>
              <w:t xml:space="preserve">Administrador de SharePoint / Global Admin</w:t>
            </w:r>
          </w:p>
        </w:tc>
        <w:tc>
          <w:tcPr>
            <w:tcW w:type="dxa" w:w="1500"/>
            <w:tcMar>
              <w:top w:type="dxa" w:w="80"/>
              <w:left w:type="dxa" w:w="100"/>
              <w:bottom w:type="dxa" w:w="80"/>
              <w:right w:type="dxa" w:w="100"/>
            </w:tcMar>
            <w:vAlign w:val="center"/>
          </w:tcPr>
          <w:p>
            <w:r>
              <w:rPr>
                <w:b w:val="false"/>
                <w:bCs w:val="false"/>
                <w:color w:val="262626"/>
                <w:sz w:val="20"/>
                <w:szCs w:val="20"/>
              </w:rPr>
              <w:t xml:space="preserve">Cliente</w:t>
            </w:r>
          </w:p>
        </w:tc>
        <w:tc>
          <w:tcPr>
            <w:tcW w:type="dxa" w:w="5800"/>
            <w:tcMar>
              <w:top w:type="dxa" w:w="80"/>
              <w:left w:type="dxa" w:w="100"/>
              <w:bottom w:type="dxa" w:w="80"/>
              <w:right w:type="dxa" w:w="100"/>
            </w:tcMar>
            <w:vAlign w:val="center"/>
          </w:tcPr>
          <w:p>
            <w:r>
              <w:rPr>
                <w:b w:val="false"/>
                <w:bCs w:val="false"/>
                <w:color w:val="262626"/>
                <w:sz w:val="20"/>
                <w:szCs w:val="20"/>
              </w:rPr>
              <w:t xml:space="preserve">Otorgar accesos, ejecutar la habilitación del servicio en el Centro de administración y mantener la configuración.</w:t>
            </w:r>
          </w:p>
        </w:tc>
      </w:tr>
      <w:tr>
        <w:tc>
          <w:tcPr>
            <w:tcW w:type="dxa" w:w="2600"/>
            <w:shd w:fill="F2F2F2" w:val="clear"/>
            <w:tcMar>
              <w:top w:type="dxa" w:w="80"/>
              <w:left w:type="dxa" w:w="100"/>
              <w:bottom w:type="dxa" w:w="80"/>
              <w:right w:type="dxa" w:w="100"/>
            </w:tcMar>
            <w:vAlign w:val="center"/>
          </w:tcPr>
          <w:p>
            <w:r>
              <w:rPr>
                <w:b/>
                <w:bCs/>
                <w:color w:val="262626"/>
                <w:sz w:val="20"/>
                <w:szCs w:val="20"/>
              </w:rPr>
              <w:t xml:space="preserve">Dueño de la suscripción de Azure</w:t>
            </w:r>
          </w:p>
        </w:tc>
        <w:tc>
          <w:tcPr>
            <w:tcW w:type="dxa" w:w="1500"/>
            <w:shd w:fill="F2F2F2" w:val="clear"/>
            <w:tcMar>
              <w:top w:type="dxa" w:w="80"/>
              <w:left w:type="dxa" w:w="100"/>
              <w:bottom w:type="dxa" w:w="80"/>
              <w:right w:type="dxa" w:w="100"/>
            </w:tcMar>
            <w:vAlign w:val="center"/>
          </w:tcPr>
          <w:p>
            <w:r>
              <w:rPr>
                <w:b w:val="false"/>
                <w:bCs w:val="false"/>
                <w:color w:val="262626"/>
                <w:sz w:val="20"/>
                <w:szCs w:val="20"/>
              </w:rPr>
              <w:t xml:space="preserve">Cliente</w:t>
            </w:r>
          </w:p>
        </w:tc>
        <w:tc>
          <w:tcPr>
            <w:tcW w:type="dxa" w:w="5800"/>
            <w:shd w:fill="F2F2F2" w:val="clear"/>
            <w:tcMar>
              <w:top w:type="dxa" w:w="80"/>
              <w:left w:type="dxa" w:w="100"/>
              <w:bottom w:type="dxa" w:w="80"/>
              <w:right w:type="dxa" w:w="100"/>
            </w:tcMar>
            <w:vAlign w:val="center"/>
          </w:tcPr>
          <w:p>
            <w:r>
              <w:rPr>
                <w:b w:val="false"/>
                <w:bCs w:val="false"/>
                <w:color w:val="262626"/>
                <w:sz w:val="20"/>
                <w:szCs w:val="20"/>
              </w:rPr>
              <w:t xml:space="preserve">Vincular la suscripción de Azure en pay-as-you-go y dar seguimiento al gasto por consumo.</w:t>
            </w:r>
          </w:p>
        </w:tc>
      </w:tr>
      <w:tr>
        <w:tc>
          <w:tcPr>
            <w:tcW w:type="dxa" w:w="2600"/>
            <w:tcMar>
              <w:top w:type="dxa" w:w="80"/>
              <w:left w:type="dxa" w:w="100"/>
              <w:bottom w:type="dxa" w:w="80"/>
              <w:right w:type="dxa" w:w="100"/>
            </w:tcMar>
            <w:vAlign w:val="center"/>
          </w:tcPr>
          <w:p>
            <w:r>
              <w:rPr>
                <w:b/>
                <w:bCs/>
                <w:color w:val="262626"/>
                <w:sz w:val="20"/>
                <w:szCs w:val="20"/>
              </w:rPr>
              <w:t xml:space="preserve">Sponsor del Proyecto</w:t>
            </w:r>
          </w:p>
        </w:tc>
        <w:tc>
          <w:tcPr>
            <w:tcW w:type="dxa" w:w="1500"/>
            <w:tcMar>
              <w:top w:type="dxa" w:w="80"/>
              <w:left w:type="dxa" w:w="100"/>
              <w:bottom w:type="dxa" w:w="80"/>
              <w:right w:type="dxa" w:w="100"/>
            </w:tcMar>
            <w:vAlign w:val="center"/>
          </w:tcPr>
          <w:p>
            <w:r>
              <w:rPr>
                <w:b w:val="false"/>
                <w:bCs w:val="false"/>
                <w:color w:val="262626"/>
                <w:sz w:val="20"/>
                <w:szCs w:val="20"/>
              </w:rPr>
              <w:t xml:space="preserve">Cliente</w:t>
            </w:r>
          </w:p>
        </w:tc>
        <w:tc>
          <w:tcPr>
            <w:tcW w:type="dxa" w:w="5800"/>
            <w:tcMar>
              <w:top w:type="dxa" w:w="80"/>
              <w:left w:type="dxa" w:w="100"/>
              <w:bottom w:type="dxa" w:w="80"/>
              <w:right w:type="dxa" w:w="100"/>
            </w:tcMar>
            <w:vAlign w:val="center"/>
          </w:tcPr>
          <w:p>
            <w:r>
              <w:rPr>
                <w:b w:val="false"/>
                <w:bCs w:val="false"/>
                <w:color w:val="262626"/>
                <w:sz w:val="20"/>
                <w:szCs w:val="20"/>
              </w:rPr>
              <w:t xml:space="preserve">Toma de decisiones y aprobación de entregables clave.</w:t>
            </w:r>
          </w:p>
        </w:tc>
      </w:tr>
      <w:tr>
        <w:tc>
          <w:tcPr>
            <w:tcW w:type="dxa" w:w="2600"/>
            <w:shd w:fill="F2F2F2" w:val="clear"/>
            <w:tcMar>
              <w:top w:type="dxa" w:w="80"/>
              <w:left w:type="dxa" w:w="100"/>
              <w:bottom w:type="dxa" w:w="80"/>
              <w:right w:type="dxa" w:w="100"/>
            </w:tcMar>
            <w:vAlign w:val="center"/>
          </w:tcPr>
          <w:p>
            <w:r>
              <w:rPr>
                <w:b/>
                <w:bCs/>
                <w:color w:val="262626"/>
                <w:sz w:val="20"/>
                <w:szCs w:val="20"/>
              </w:rPr>
              <w:t xml:space="preserve">Área Legal / Cumplimiento</w:t>
            </w:r>
          </w:p>
        </w:tc>
        <w:tc>
          <w:tcPr>
            <w:tcW w:type="dxa" w:w="1500"/>
            <w:shd w:fill="F2F2F2" w:val="clear"/>
            <w:tcMar>
              <w:top w:type="dxa" w:w="80"/>
              <w:left w:type="dxa" w:w="100"/>
              <w:bottom w:type="dxa" w:w="80"/>
              <w:right w:type="dxa" w:w="100"/>
            </w:tcMar>
            <w:vAlign w:val="center"/>
          </w:tcPr>
          <w:p>
            <w:r>
              <w:rPr>
                <w:b w:val="false"/>
                <w:bCs w:val="false"/>
                <w:color w:val="262626"/>
                <w:sz w:val="20"/>
                <w:szCs w:val="20"/>
              </w:rPr>
              <w:t xml:space="preserve">Cliente</w:t>
            </w:r>
          </w:p>
        </w:tc>
        <w:tc>
          <w:tcPr>
            <w:tcW w:type="dxa" w:w="5800"/>
            <w:shd w:fill="F2F2F2" w:val="clear"/>
            <w:tcMar>
              <w:top w:type="dxa" w:w="80"/>
              <w:left w:type="dxa" w:w="100"/>
              <w:bottom w:type="dxa" w:w="80"/>
              <w:right w:type="dxa" w:w="100"/>
            </w:tcMar>
            <w:vAlign w:val="center"/>
          </w:tcPr>
          <w:p>
            <w:r>
              <w:rPr>
                <w:b w:val="false"/>
                <w:bCs w:val="false"/>
                <w:color w:val="262626"/>
                <w:sz w:val="20"/>
                <w:szCs w:val="20"/>
              </w:rPr>
              <w:t xml:space="preserve">Validar si la firma electrónica simple es suficiente para los documentos del cliente.</w:t>
            </w:r>
          </w:p>
        </w:tc>
      </w:tr>
      <w:tr>
        <w:tc>
          <w:tcPr>
            <w:tcW w:type="dxa" w:w="2600"/>
            <w:tcMar>
              <w:top w:type="dxa" w:w="80"/>
              <w:left w:type="dxa" w:w="100"/>
              <w:bottom w:type="dxa" w:w="80"/>
              <w:right w:type="dxa" w:w="100"/>
            </w:tcMar>
            <w:vAlign w:val="center"/>
          </w:tcPr>
          <w:p>
            <w:r>
              <w:rPr>
                <w:b/>
                <w:bCs/>
                <w:color w:val="262626"/>
                <w:sz w:val="20"/>
                <w:szCs w:val="20"/>
              </w:rPr>
              <w:t xml:space="preserve">Usuarios clave</w:t>
            </w:r>
          </w:p>
        </w:tc>
        <w:tc>
          <w:tcPr>
            <w:tcW w:type="dxa" w:w="1500"/>
            <w:tcMar>
              <w:top w:type="dxa" w:w="80"/>
              <w:left w:type="dxa" w:w="100"/>
              <w:bottom w:type="dxa" w:w="80"/>
              <w:right w:type="dxa" w:w="100"/>
            </w:tcMar>
            <w:vAlign w:val="center"/>
          </w:tcPr>
          <w:p>
            <w:r>
              <w:rPr>
                <w:b w:val="false"/>
                <w:bCs w:val="false"/>
                <w:color w:val="262626"/>
                <w:sz w:val="20"/>
                <w:szCs w:val="20"/>
              </w:rPr>
              <w:t xml:space="preserve">Cliente</w:t>
            </w:r>
          </w:p>
        </w:tc>
        <w:tc>
          <w:tcPr>
            <w:tcW w:type="dxa" w:w="5800"/>
            <w:tcMar>
              <w:top w:type="dxa" w:w="80"/>
              <w:left w:type="dxa" w:w="100"/>
              <w:bottom w:type="dxa" w:w="80"/>
              <w:right w:type="dxa" w:w="100"/>
            </w:tcMar>
            <w:vAlign w:val="center"/>
          </w:tcPr>
          <w:p>
            <w:r>
              <w:rPr>
                <w:b w:val="false"/>
                <w:bCs w:val="false"/>
                <w:color w:val="262626"/>
                <w:sz w:val="20"/>
                <w:szCs w:val="20"/>
              </w:rPr>
              <w:t xml:space="preserve">Participar en el piloto, capacitación y retroalimentación de la experiencia de firma.</w:t>
            </w:r>
          </w:p>
        </w:tc>
      </w:tr>
    </w:tbl>
    <w:p>
      <w:pPr>
        <w:pStyle w:val="Heading1"/>
        <w:pBdr>
          <w:bottom w:val="single" w:color="2E74B5" w:sz="6" w:space="4"/>
        </w:pBdr>
        <w:spacing w:after="200" w:before="400"/>
      </w:pPr>
      <w:r>
        <w:rPr>
          <w:b/>
          <w:bCs/>
          <w:color w:val="1F3864"/>
        </w:rPr>
        <w:t xml:space="preserve">8. Supuestos</w:t>
      </w:r>
    </w:p>
    <w:p>
      <w:pPr>
        <w:pStyle w:val="ListParagraph"/>
        <w:numPr>
          <w:ilvl w:val="0"/>
          <w:numId w:val="2"/>
        </w:numPr>
        <w:spacing w:after="90"/>
      </w:pPr>
      <w:r>
        <w:rPr>
          <w:color w:val="262626"/>
          <w:sz w:val="21"/>
          <w:szCs w:val="21"/>
        </w:rPr>
        <w:t xml:space="preserve">[Nombre del Cliente] cuenta (o adquirirá) licencias de Microsoft 365 que incluyen SharePoint Online y Word de escritorio para los usuarios que iniciarán solicitudes de firma.</w:t>
      </w:r>
    </w:p>
    <w:p>
      <w:pPr>
        <w:pStyle w:val="ListParagraph"/>
        <w:numPr>
          <w:ilvl w:val="0"/>
          <w:numId w:val="2"/>
        </w:numPr>
        <w:spacing w:after="90"/>
      </w:pPr>
      <w:r>
        <w:rPr>
          <w:color w:val="262626"/>
          <w:sz w:val="21"/>
          <w:szCs w:val="21"/>
        </w:rPr>
        <w:t xml:space="preserve">El cliente cuenta con o autorizará la vinculación de una suscripción de Azure en modalidad pay-as-you-go, necesaria para habilitar y facturar el servicio.</w:t>
      </w:r>
    </w:p>
    <w:p>
      <w:pPr>
        <w:pStyle w:val="ListParagraph"/>
        <w:numPr>
          <w:ilvl w:val="0"/>
          <w:numId w:val="2"/>
        </w:numPr>
        <w:spacing w:after="90"/>
      </w:pPr>
      <w:r>
        <w:rPr>
          <w:color w:val="262626"/>
          <w:sz w:val="21"/>
          <w:szCs w:val="21"/>
        </w:rPr>
        <w:t xml:space="preserve">El volumen estimado de firma es de hasta 500 solicitudes al mes; un incremento sostenido por encima de este volumen impactará directamente el costo mensual, al tratarse de un modelo 100% de pago por consumo.</w:t>
      </w:r>
    </w:p>
    <w:p>
      <w:pPr>
        <w:pStyle w:val="ListParagraph"/>
        <w:numPr>
          <w:ilvl w:val="0"/>
          <w:numId w:val="2"/>
        </w:numPr>
        <w:spacing w:after="90"/>
      </w:pPr>
      <w:r>
        <w:rPr>
          <w:color w:val="262626"/>
          <w:sz w:val="21"/>
          <w:szCs w:val="21"/>
        </w:rPr>
        <w:t xml:space="preserve">La firma electrónica simple que ofrece el servicio nativo es suficiente para los documentos de [Nombre del Cliente]; de no serlo, se evaluará como trabajo adicional la integración con Adobe Acrobat Sign o DocuSign eSignature.</w:t>
      </w:r>
    </w:p>
    <w:p>
      <w:pPr>
        <w:pStyle w:val="ListParagraph"/>
        <w:numPr>
          <w:ilvl w:val="0"/>
          <w:numId w:val="2"/>
        </w:numPr>
        <w:spacing w:after="90"/>
      </w:pPr>
      <w:r>
        <w:rPr>
          <w:color w:val="262626"/>
          <w:sz w:val="21"/>
          <w:szCs w:val="21"/>
        </w:rPr>
        <w:t xml:space="preserve">El tenant de Microsoft 365 del cliente no es multi-geo, o de serlo, se acepta que el servicio opere únicamente en el geo principal.</w:t>
      </w:r>
    </w:p>
    <w:p>
      <w:pPr>
        <w:pStyle w:val="ListParagraph"/>
        <w:numPr>
          <w:ilvl w:val="0"/>
          <w:numId w:val="2"/>
        </w:numPr>
        <w:spacing w:after="90"/>
      </w:pPr>
      <w:r>
        <w:rPr>
          <w:color w:val="262626"/>
          <w:sz w:val="21"/>
          <w:szCs w:val="21"/>
        </w:rPr>
        <w:t xml:space="preserve">El periodo de prueba gratuita de Microsoft (5 solicitudes sin costo) ya no está vigente al día de esta propuesta (concluyó en junio de 2026), por lo que el consumo se factura desde el primer día de operación.</w:t>
      </w:r>
    </w:p>
    <w:p>
      <w:pPr>
        <w:pStyle w:val="ListParagraph"/>
        <w:numPr>
          <w:ilvl w:val="0"/>
          <w:numId w:val="2"/>
        </w:numPr>
        <w:spacing w:after="90"/>
      </w:pPr>
      <w:r>
        <w:rPr>
          <w:color w:val="262626"/>
          <w:sz w:val="21"/>
          <w:szCs w:val="21"/>
        </w:rPr>
        <w:t xml:space="preserve">El cliente designará un responsable interno (dueño del costo) para dar seguimiento al gasto mensual por consumo de la suscripción de Azure.</w:t>
      </w:r>
    </w:p>
    <w:p>
      <w:pPr>
        <w:pStyle w:val="ListParagraph"/>
        <w:numPr>
          <w:ilvl w:val="0"/>
          <w:numId w:val="2"/>
        </w:numPr>
        <w:spacing w:after="90"/>
      </w:pPr>
      <w:r>
        <w:rPr>
          <w:color w:val="262626"/>
          <w:sz w:val="21"/>
          <w:szCs w:val="21"/>
        </w:rPr>
        <w:t xml:space="preserve">Los precios de Microsoft presentados en esta propuesta corresponden a las tarifas públicas vigentes a la fecha de emisión y pueden cambiar sin previo aviso; se recomienda validarlos en el portal oficial de precios antes de presupuestar formalmente con el cliente final.</w:t>
      </w:r>
    </w:p>
    <w:p>
      <w:pPr>
        <w:pStyle w:val="ListParagraph"/>
        <w:numPr>
          <w:ilvl w:val="0"/>
          <w:numId w:val="2"/>
        </w:numPr>
        <w:spacing w:after="90"/>
      </w:pPr>
      <w:r>
        <w:rPr>
          <w:color w:val="262626"/>
          <w:sz w:val="21"/>
          <w:szCs w:val="21"/>
        </w:rPr>
        <w:t xml:space="preserve">Cualquier requerimiento adicional no contemplado en el alcance (por ejemplo, integraciones o firma avanzada) será documentado como control de cambios, con su correspondiente impacto en tiempo y costo.</w:t>
      </w:r>
    </w:p>
    <w:p>
      <w:pPr>
        <w:pStyle w:val="Heading1"/>
        <w:pBdr>
          <w:bottom w:val="single" w:color="2E74B5" w:sz="6" w:space="4"/>
        </w:pBdr>
        <w:spacing w:after="200" w:before="400"/>
      </w:pPr>
      <w:r>
        <w:rPr>
          <w:b/>
          <w:bCs/>
          <w:color w:val="1F3864"/>
        </w:rPr>
        <w:t xml:space="preserve">9. Tiempos de Ejecución</w:t>
      </w:r>
    </w:p>
    <w:p>
      <w:pPr>
        <w:spacing w:after="160" w:line="276"/>
      </w:pPr>
      <w:r>
        <w:rPr>
          <w:color w:val="262626"/>
          <w:sz w:val="21"/>
          <w:szCs w:val="21"/>
        </w:rPr>
        <w:t xml:space="preserve">Al ser un proyecto de habilitación y configuración —y no de desarrollo de software—, el tiempo total estimado es de 5 a 6 semanas calendario, considerablemente más corto que una plataforma construida a la medida.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900"/>
        <w:gridCol w:w="3000"/>
      </w:tblGrid>
      <w:tr>
        <w:trPr>
          <w:tblHeader/>
        </w:trPr>
        <w:tc>
          <w:tcPr>
            <w:tcW w:type="dxa" w:w="6900"/>
            <w:shd w:fill="1F3864" w:val="clear"/>
            <w:tcMar>
              <w:top w:type="dxa" w:w="80"/>
              <w:left w:type="dxa" w:w="100"/>
              <w:bottom w:type="dxa" w:w="80"/>
              <w:right w:type="dxa" w:w="100"/>
            </w:tcMar>
            <w:vAlign w:val="center"/>
          </w:tcPr>
          <w:p>
            <w:r>
              <w:rPr>
                <w:b/>
                <w:bCs/>
                <w:color w:val="FFFFFF"/>
                <w:sz w:val="20"/>
                <w:szCs w:val="20"/>
              </w:rPr>
              <w:t xml:space="preserve">Fase</w:t>
            </w:r>
          </w:p>
        </w:tc>
        <w:tc>
          <w:tcPr>
            <w:tcW w:type="dxa" w:w="3000"/>
            <w:shd w:fill="1F3864" w:val="clear"/>
            <w:tcMar>
              <w:top w:type="dxa" w:w="80"/>
              <w:left w:type="dxa" w:w="100"/>
              <w:bottom w:type="dxa" w:w="80"/>
              <w:right w:type="dxa" w:w="100"/>
            </w:tcMar>
            <w:vAlign w:val="center"/>
          </w:tcPr>
          <w:p>
            <w:r>
              <w:rPr>
                <w:b/>
                <w:bCs/>
                <w:color w:val="FFFFFF"/>
                <w:sz w:val="20"/>
                <w:szCs w:val="20"/>
              </w:rPr>
              <w:t xml:space="preserve">Duración estimada</w:t>
            </w:r>
          </w:p>
        </w:tc>
      </w:tr>
      <w:tr>
        <w:tc>
          <w:tcPr>
            <w:tcW w:type="dxa" w:w="6900"/>
            <w:tcMar>
              <w:top w:type="dxa" w:w="80"/>
              <w:left w:type="dxa" w:w="100"/>
              <w:bottom w:type="dxa" w:w="80"/>
              <w:right w:type="dxa" w:w="100"/>
            </w:tcMar>
            <w:vAlign w:val="center"/>
          </w:tcPr>
          <w:p>
            <w:r>
              <w:rPr>
                <w:b/>
                <w:bCs/>
                <w:color w:val="262626"/>
                <w:sz w:val="20"/>
                <w:szCs w:val="20"/>
              </w:rPr>
              <w:t xml:space="preserve">Fase 1 — Descubrimiento</w:t>
            </w:r>
          </w:p>
        </w:tc>
        <w:tc>
          <w:tcPr>
            <w:tcW w:type="dxa" w:w="3000"/>
            <w:tcMar>
              <w:top w:type="dxa" w:w="80"/>
              <w:left w:type="dxa" w:w="100"/>
              <w:bottom w:type="dxa" w:w="80"/>
              <w:right w:type="dxa" w:w="100"/>
            </w:tcMar>
            <w:vAlign w:val="center"/>
          </w:tcPr>
          <w:p>
            <w:r>
              <w:rPr>
                <w:b w:val="false"/>
                <w:bCs w:val="false"/>
                <w:color w:val="262626"/>
                <w:sz w:val="20"/>
                <w:szCs w:val="20"/>
              </w:rPr>
              <w:t xml:space="preserve">1 semana</w:t>
            </w:r>
          </w:p>
        </w:tc>
      </w:tr>
      <w:tr>
        <w:tc>
          <w:tcPr>
            <w:tcW w:type="dxa" w:w="6900"/>
            <w:shd w:fill="F2F2F2" w:val="clear"/>
            <w:tcMar>
              <w:top w:type="dxa" w:w="80"/>
              <w:left w:type="dxa" w:w="100"/>
              <w:bottom w:type="dxa" w:w="80"/>
              <w:right w:type="dxa" w:w="100"/>
            </w:tcMar>
            <w:vAlign w:val="center"/>
          </w:tcPr>
          <w:p>
            <w:r>
              <w:rPr>
                <w:b/>
                <w:bCs/>
                <w:color w:val="262626"/>
                <w:sz w:val="20"/>
                <w:szCs w:val="20"/>
              </w:rPr>
              <w:t xml:space="preserve">Fase 2 — Habilitación técnica</w:t>
            </w:r>
          </w:p>
        </w:tc>
        <w:tc>
          <w:tcPr>
            <w:tcW w:type="dxa" w:w="3000"/>
            <w:shd w:fill="F2F2F2" w:val="clear"/>
            <w:tcMar>
              <w:top w:type="dxa" w:w="80"/>
              <w:left w:type="dxa" w:w="100"/>
              <w:bottom w:type="dxa" w:w="80"/>
              <w:right w:type="dxa" w:w="100"/>
            </w:tcMar>
            <w:vAlign w:val="center"/>
          </w:tcPr>
          <w:p>
            <w:r>
              <w:rPr>
                <w:b w:val="false"/>
                <w:bCs w:val="false"/>
                <w:color w:val="262626"/>
                <w:sz w:val="20"/>
                <w:szCs w:val="20"/>
              </w:rPr>
              <w:t xml:space="preserve">1 semana</w:t>
            </w:r>
          </w:p>
        </w:tc>
      </w:tr>
      <w:tr>
        <w:tc>
          <w:tcPr>
            <w:tcW w:type="dxa" w:w="6900"/>
            <w:tcMar>
              <w:top w:type="dxa" w:w="80"/>
              <w:left w:type="dxa" w:w="100"/>
              <w:bottom w:type="dxa" w:w="80"/>
              <w:right w:type="dxa" w:w="100"/>
            </w:tcMar>
            <w:vAlign w:val="center"/>
          </w:tcPr>
          <w:p>
            <w:r>
              <w:rPr>
                <w:b/>
                <w:bCs/>
                <w:color w:val="262626"/>
                <w:sz w:val="20"/>
                <w:szCs w:val="20"/>
              </w:rPr>
              <w:t xml:space="preserve">Fase 3 — Configuración de SharePoint</w:t>
            </w:r>
          </w:p>
        </w:tc>
        <w:tc>
          <w:tcPr>
            <w:tcW w:type="dxa" w:w="3000"/>
            <w:tcMar>
              <w:top w:type="dxa" w:w="80"/>
              <w:left w:type="dxa" w:w="100"/>
              <w:bottom w:type="dxa" w:w="80"/>
              <w:right w:type="dxa" w:w="100"/>
            </w:tcMar>
            <w:vAlign w:val="center"/>
          </w:tcPr>
          <w:p>
            <w:r>
              <w:rPr>
                <w:b w:val="false"/>
                <w:bCs w:val="false"/>
                <w:color w:val="262626"/>
                <w:sz w:val="20"/>
                <w:szCs w:val="20"/>
              </w:rPr>
              <w:t xml:space="preserve">1 semana</w:t>
            </w:r>
          </w:p>
        </w:tc>
      </w:tr>
      <w:tr>
        <w:tc>
          <w:tcPr>
            <w:tcW w:type="dxa" w:w="6900"/>
            <w:shd w:fill="F2F2F2" w:val="clear"/>
            <w:tcMar>
              <w:top w:type="dxa" w:w="80"/>
              <w:left w:type="dxa" w:w="100"/>
              <w:bottom w:type="dxa" w:w="80"/>
              <w:right w:type="dxa" w:w="100"/>
            </w:tcMar>
            <w:vAlign w:val="center"/>
          </w:tcPr>
          <w:p>
            <w:r>
              <w:rPr>
                <w:b/>
                <w:bCs/>
                <w:color w:val="262626"/>
                <w:sz w:val="20"/>
                <w:szCs w:val="20"/>
              </w:rPr>
              <w:t xml:space="preserve">Fase 4 — Piloto</w:t>
            </w:r>
          </w:p>
        </w:tc>
        <w:tc>
          <w:tcPr>
            <w:tcW w:type="dxa" w:w="3000"/>
            <w:shd w:fill="F2F2F2" w:val="clear"/>
            <w:tcMar>
              <w:top w:type="dxa" w:w="80"/>
              <w:left w:type="dxa" w:w="100"/>
              <w:bottom w:type="dxa" w:w="80"/>
              <w:right w:type="dxa" w:w="100"/>
            </w:tcMar>
            <w:vAlign w:val="center"/>
          </w:tcPr>
          <w:p>
            <w:r>
              <w:rPr>
                <w:b w:val="false"/>
                <w:bCs w:val="false"/>
                <w:color w:val="262626"/>
                <w:sz w:val="20"/>
                <w:szCs w:val="20"/>
              </w:rPr>
              <w:t xml:space="preserve">1 semana</w:t>
            </w:r>
          </w:p>
        </w:tc>
      </w:tr>
      <w:tr>
        <w:tc>
          <w:tcPr>
            <w:tcW w:type="dxa" w:w="6900"/>
            <w:tcMar>
              <w:top w:type="dxa" w:w="80"/>
              <w:left w:type="dxa" w:w="100"/>
              <w:bottom w:type="dxa" w:w="80"/>
              <w:right w:type="dxa" w:w="100"/>
            </w:tcMar>
            <w:vAlign w:val="center"/>
          </w:tcPr>
          <w:p>
            <w:r>
              <w:rPr>
                <w:b/>
                <w:bCs/>
                <w:color w:val="262626"/>
                <w:sz w:val="20"/>
                <w:szCs w:val="20"/>
              </w:rPr>
              <w:t xml:space="preserve">Fase 5 — Capacitación</w:t>
            </w:r>
          </w:p>
        </w:tc>
        <w:tc>
          <w:tcPr>
            <w:tcW w:type="dxa" w:w="3000"/>
            <w:tcMar>
              <w:top w:type="dxa" w:w="80"/>
              <w:left w:type="dxa" w:w="100"/>
              <w:bottom w:type="dxa" w:w="80"/>
              <w:right w:type="dxa" w:w="100"/>
            </w:tcMar>
            <w:vAlign w:val="center"/>
          </w:tcPr>
          <w:p>
            <w:r>
              <w:rPr>
                <w:b w:val="false"/>
                <w:bCs w:val="false"/>
                <w:color w:val="262626"/>
                <w:sz w:val="20"/>
                <w:szCs w:val="20"/>
              </w:rPr>
              <w:t xml:space="preserve">1 semana (en paralelo con cierre de Fase 4)</w:t>
            </w:r>
          </w:p>
        </w:tc>
      </w:tr>
      <w:tr>
        <w:tc>
          <w:tcPr>
            <w:tcW w:type="dxa" w:w="6900"/>
            <w:shd w:fill="F2F2F2" w:val="clear"/>
            <w:tcMar>
              <w:top w:type="dxa" w:w="80"/>
              <w:left w:type="dxa" w:w="100"/>
              <w:bottom w:type="dxa" w:w="80"/>
              <w:right w:type="dxa" w:w="100"/>
            </w:tcMar>
            <w:vAlign w:val="center"/>
          </w:tcPr>
          <w:p>
            <w:r>
              <w:rPr>
                <w:b/>
                <w:bCs/>
                <w:color w:val="262626"/>
                <w:sz w:val="20"/>
                <w:szCs w:val="20"/>
              </w:rPr>
              <w:t xml:space="preserve">Fase 6 — Puesta en marcha + Hypercare</w:t>
            </w:r>
          </w:p>
        </w:tc>
        <w:tc>
          <w:tcPr>
            <w:tcW w:type="dxa" w:w="3000"/>
            <w:shd w:fill="F2F2F2" w:val="clear"/>
            <w:tcMar>
              <w:top w:type="dxa" w:w="80"/>
              <w:left w:type="dxa" w:w="100"/>
              <w:bottom w:type="dxa" w:w="80"/>
              <w:right w:type="dxa" w:w="100"/>
            </w:tcMar>
            <w:vAlign w:val="center"/>
          </w:tcPr>
          <w:p>
            <w:r>
              <w:rPr>
                <w:b w:val="false"/>
                <w:bCs w:val="false"/>
                <w:color w:val="262626"/>
                <w:sz w:val="20"/>
                <w:szCs w:val="20"/>
              </w:rPr>
              <w:t xml:space="preserve">2 semanas</w:t>
            </w:r>
          </w:p>
        </w:tc>
      </w:tr>
    </w:tbl>
    <w:p>
      <w:pPr>
        <w:spacing w:after="160" w:line="276"/>
      </w:pPr>
      <w:r>
        <w:rPr>
          <w:color w:val="262626"/>
          <w:sz w:val="21"/>
          <w:szCs w:val="21"/>
        </w:rPr>
        <w:t xml:space="preserve"/>
      </w:r>
    </w:p>
    <w:p>
      <w:pPr>
        <w:spacing w:after="160" w:line="276"/>
      </w:pPr>
      <w:r>
        <w:rPr>
          <w:color w:val="262626"/>
          <w:sz w:val="21"/>
          <w:szCs w:val="21"/>
        </w:rPr>
        <w:t xml:space="preserve">Nota: la duración puede variar si el cliente requiere una revisión legal extensa en la Fase 1, o si necesita gestionar la adquisición de licencias adicionales de Microsoft 365 antes de iniciar.</w:t>
      </w:r>
    </w:p>
    <w:p>
      <w:pPr>
        <w:pStyle w:val="Heading1"/>
        <w:pBdr>
          <w:bottom w:val="single" w:color="2E74B5" w:sz="6" w:space="4"/>
        </w:pBdr>
        <w:spacing w:after="200" w:before="400"/>
      </w:pPr>
      <w:r>
        <w:rPr>
          <w:b/>
          <w:bCs/>
          <w:color w:val="1F3864"/>
        </w:rPr>
        <w:t xml:space="preserve">10. Licenciamiento M365</w:t>
      </w:r>
    </w:p>
    <w:p>
      <w:pPr>
        <w:spacing w:after="160" w:line="276"/>
      </w:pPr>
      <w:r>
        <w:rPr>
          <w:color w:val="262626"/>
          <w:sz w:val="21"/>
          <w:szCs w:val="21"/>
        </w:rPr>
        <w:t xml:space="preserve">A diferencia de una solución construida a la medida sobre Azure, Microsoft 365 eSignature no requiere una licencia nombrada por usuario adicional: es un servicio de pago por consumo (pay-as-you-go) facturado a través de una suscripción de Azure vinculada al tenant. A continuación se detalla el licenciamiento y esquema de consumo: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90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Componente</w:t>
            </w:r>
          </w:p>
        </w:tc>
        <w:tc>
          <w:tcPr>
            <w:tcW w:type="dxa" w:w="4000"/>
            <w:shd w:fill="1F3864" w:val="clear"/>
            <w:tcMar>
              <w:top w:type="dxa" w:w="80"/>
              <w:left w:type="dxa" w:w="100"/>
              <w:bottom w:type="dxa" w:w="80"/>
              <w:right w:type="dxa" w:w="100"/>
            </w:tcMar>
            <w:vAlign w:val="center"/>
          </w:tcPr>
          <w:p>
            <w:r>
              <w:rPr>
                <w:b/>
                <w:bCs/>
                <w:color w:val="FFFFFF"/>
                <w:sz w:val="20"/>
                <w:szCs w:val="20"/>
              </w:rPr>
              <w:t xml:space="preserve">Plan / Requisito</w:t>
            </w:r>
          </w:p>
        </w:tc>
        <w:tc>
          <w:tcPr>
            <w:tcW w:type="dxa" w:w="2900"/>
            <w:shd w:fill="1F3864" w:val="clear"/>
            <w:tcMar>
              <w:top w:type="dxa" w:w="80"/>
              <w:left w:type="dxa" w:w="100"/>
              <w:bottom w:type="dxa" w:w="80"/>
              <w:right w:type="dxa" w:w="100"/>
            </w:tcMar>
            <w:vAlign w:val="center"/>
          </w:tcPr>
          <w:p>
            <w:r>
              <w:rPr>
                <w:b/>
                <w:bCs/>
                <w:color w:val="FFFFFF"/>
                <w:sz w:val="20"/>
                <w:szCs w:val="20"/>
              </w:rPr>
              <w:t xml:space="preserve">Esquema</w:t>
            </w:r>
          </w:p>
        </w:tc>
      </w:tr>
      <w:tr>
        <w:tc>
          <w:tcPr>
            <w:tcW w:type="dxa" w:w="3000"/>
            <w:tcMar>
              <w:top w:type="dxa" w:w="80"/>
              <w:left w:type="dxa" w:w="100"/>
              <w:bottom w:type="dxa" w:w="80"/>
              <w:right w:type="dxa" w:w="100"/>
            </w:tcMar>
            <w:vAlign w:val="center"/>
          </w:tcPr>
          <w:p>
            <w:r>
              <w:rPr>
                <w:b/>
                <w:bCs/>
                <w:color w:val="262626"/>
                <w:sz w:val="20"/>
                <w:szCs w:val="20"/>
              </w:rPr>
              <w:t xml:space="preserve">SharePoint Online</w:t>
            </w:r>
          </w:p>
        </w:tc>
        <w:tc>
          <w:tcPr>
            <w:tcW w:type="dxa" w:w="4000"/>
            <w:tcMar>
              <w:top w:type="dxa" w:w="80"/>
              <w:left w:type="dxa" w:w="100"/>
              <w:bottom w:type="dxa" w:w="80"/>
              <w:right w:type="dxa" w:w="100"/>
            </w:tcMar>
            <w:vAlign w:val="center"/>
          </w:tcPr>
          <w:p>
            <w:r>
              <w:rPr>
                <w:b w:val="false"/>
                <w:bCs w:val="false"/>
                <w:color w:val="262626"/>
                <w:sz w:val="20"/>
                <w:szCs w:val="20"/>
              </w:rPr>
              <w:t xml:space="preserve">Plan 1 o superior (incluido en Business Standard/Premium, E1/E3/E5)</w:t>
            </w:r>
          </w:p>
        </w:tc>
        <w:tc>
          <w:tcPr>
            <w:tcW w:type="dxa" w:w="2900"/>
            <w:tcMar>
              <w:top w:type="dxa" w:w="80"/>
              <w:left w:type="dxa" w:w="100"/>
              <w:bottom w:type="dxa" w:w="80"/>
              <w:right w:type="dxa" w:w="100"/>
            </w:tcMar>
            <w:vAlign w:val="center"/>
          </w:tcPr>
          <w:p>
            <w:r>
              <w:rPr>
                <w:b w:val="false"/>
                <w:bCs w:val="false"/>
                <w:color w:val="262626"/>
                <w:sz w:val="20"/>
                <w:szCs w:val="20"/>
              </w:rPr>
              <w:t xml:space="preserve">Requerido — aloja documentos y bibliotecas habilitadas para eSignature</w:t>
            </w:r>
          </w:p>
        </w:tc>
      </w:tr>
      <w:tr>
        <w:tc>
          <w:tcPr>
            <w:tcW w:type="dxa" w:w="3000"/>
            <w:shd w:fill="F2F2F2" w:val="clear"/>
            <w:tcMar>
              <w:top w:type="dxa" w:w="80"/>
              <w:left w:type="dxa" w:w="100"/>
              <w:bottom w:type="dxa" w:w="80"/>
              <w:right w:type="dxa" w:w="100"/>
            </w:tcMar>
            <w:vAlign w:val="center"/>
          </w:tcPr>
          <w:p>
            <w:r>
              <w:rPr>
                <w:b/>
                <w:bCs/>
                <w:color w:val="262626"/>
                <w:sz w:val="20"/>
                <w:szCs w:val="20"/>
              </w:rPr>
              <w:t xml:space="preserve">Word de escritorio</w:t>
            </w:r>
          </w:p>
        </w:tc>
        <w:tc>
          <w:tcPr>
            <w:tcW w:type="dxa" w:w="4000"/>
            <w:shd w:fill="F2F2F2" w:val="clear"/>
            <w:tcMar>
              <w:top w:type="dxa" w:w="80"/>
              <w:left w:type="dxa" w:w="100"/>
              <w:bottom w:type="dxa" w:w="80"/>
              <w:right w:type="dxa" w:w="100"/>
            </w:tcMar>
            <w:vAlign w:val="center"/>
          </w:tcPr>
          <w:p>
            <w:r>
              <w:rPr>
                <w:b w:val="false"/>
                <w:bCs w:val="false"/>
                <w:color w:val="262626"/>
                <w:sz w:val="20"/>
                <w:szCs w:val="20"/>
              </w:rPr>
              <w:t xml:space="preserve">Suscripción activa, canal Actual, Mensual Empresarial o Beta</w:t>
            </w:r>
          </w:p>
        </w:tc>
        <w:tc>
          <w:tcPr>
            <w:tcW w:type="dxa" w:w="2900"/>
            <w:shd w:fill="F2F2F2" w:val="clear"/>
            <w:tcMar>
              <w:top w:type="dxa" w:w="80"/>
              <w:left w:type="dxa" w:w="100"/>
              <w:bottom w:type="dxa" w:w="80"/>
              <w:right w:type="dxa" w:w="100"/>
            </w:tcMar>
            <w:vAlign w:val="center"/>
          </w:tcPr>
          <w:p>
            <w:r>
              <w:rPr>
                <w:b w:val="false"/>
                <w:bCs w:val="false"/>
                <w:color w:val="262626"/>
                <w:sz w:val="20"/>
                <w:szCs w:val="20"/>
              </w:rPr>
              <w:t xml:space="preserve">Requerido solo para enviar/firmar solicitudes directamente desde archivos .docx</w:t>
            </w:r>
          </w:p>
        </w:tc>
      </w:tr>
      <w:tr>
        <w:tc>
          <w:tcPr>
            <w:tcW w:type="dxa" w:w="3000"/>
            <w:tcMar>
              <w:top w:type="dxa" w:w="80"/>
              <w:left w:type="dxa" w:w="100"/>
              <w:bottom w:type="dxa" w:w="80"/>
              <w:right w:type="dxa" w:w="100"/>
            </w:tcMar>
            <w:vAlign w:val="center"/>
          </w:tcPr>
          <w:p>
            <w:r>
              <w:rPr>
                <w:b/>
                <w:bCs/>
                <w:color w:val="262626"/>
                <w:sz w:val="20"/>
                <w:szCs w:val="20"/>
              </w:rPr>
              <w:t xml:space="preserve">Microsoft 365 eSignature</w:t>
            </w:r>
          </w:p>
        </w:tc>
        <w:tc>
          <w:tcPr>
            <w:tcW w:type="dxa" w:w="4000"/>
            <w:tcMar>
              <w:top w:type="dxa" w:w="80"/>
              <w:left w:type="dxa" w:w="100"/>
              <w:bottom w:type="dxa" w:w="80"/>
              <w:right w:type="dxa" w:w="100"/>
            </w:tcMar>
            <w:vAlign w:val="center"/>
          </w:tcPr>
          <w:p>
            <w:r>
              <w:rPr>
                <w:b w:val="false"/>
                <w:bCs w:val="false"/>
                <w:color w:val="262626"/>
                <w:sz w:val="20"/>
                <w:szCs w:val="20"/>
              </w:rPr>
              <w:t xml:space="preserve">Sin licencia nombrada — servicio de pago por uso (pay-as-you-go)</w:t>
            </w:r>
          </w:p>
        </w:tc>
        <w:tc>
          <w:tcPr>
            <w:tcW w:type="dxa" w:w="2900"/>
            <w:tcMar>
              <w:top w:type="dxa" w:w="80"/>
              <w:left w:type="dxa" w:w="100"/>
              <w:bottom w:type="dxa" w:w="80"/>
              <w:right w:type="dxa" w:w="100"/>
            </w:tcMar>
            <w:vAlign w:val="center"/>
          </w:tcPr>
          <w:p>
            <w:r>
              <w:rPr>
                <w:b w:val="false"/>
                <w:bCs w:val="false"/>
                <w:color w:val="262626"/>
                <w:sz w:val="20"/>
                <w:szCs w:val="20"/>
              </w:rPr>
              <w:t xml:space="preserve">Facturado por solicitud creada, no por usuario</w:t>
            </w:r>
          </w:p>
        </w:tc>
      </w:tr>
      <w:tr>
        <w:tc>
          <w:tcPr>
            <w:tcW w:type="dxa" w:w="3000"/>
            <w:shd w:fill="F2F2F2" w:val="clear"/>
            <w:tcMar>
              <w:top w:type="dxa" w:w="80"/>
              <w:left w:type="dxa" w:w="100"/>
              <w:bottom w:type="dxa" w:w="80"/>
              <w:right w:type="dxa" w:w="100"/>
            </w:tcMar>
            <w:vAlign w:val="center"/>
          </w:tcPr>
          <w:p>
            <w:r>
              <w:rPr>
                <w:b/>
                <w:bCs/>
                <w:color w:val="262626"/>
                <w:sz w:val="20"/>
                <w:szCs w:val="20"/>
              </w:rPr>
              <w:t xml:space="preserve">Suscripción de Azure</w:t>
            </w:r>
          </w:p>
        </w:tc>
        <w:tc>
          <w:tcPr>
            <w:tcW w:type="dxa" w:w="4000"/>
            <w:shd w:fill="F2F2F2" w:val="clear"/>
            <w:tcMar>
              <w:top w:type="dxa" w:w="80"/>
              <w:left w:type="dxa" w:w="100"/>
              <w:bottom w:type="dxa" w:w="80"/>
              <w:right w:type="dxa" w:w="100"/>
            </w:tcMar>
            <w:vAlign w:val="center"/>
          </w:tcPr>
          <w:p>
            <w:r>
              <w:rPr>
                <w:b w:val="false"/>
                <w:bCs w:val="false"/>
                <w:color w:val="262626"/>
                <w:sz w:val="20"/>
                <w:szCs w:val="20"/>
              </w:rPr>
              <w:t xml:space="preserve">Cualquier suscripción vinculable en modalidad pay-as-you-go</w:t>
            </w:r>
          </w:p>
        </w:tc>
        <w:tc>
          <w:tcPr>
            <w:tcW w:type="dxa" w:w="2900"/>
            <w:shd w:fill="F2F2F2" w:val="clear"/>
            <w:tcMar>
              <w:top w:type="dxa" w:w="80"/>
              <w:left w:type="dxa" w:w="100"/>
              <w:bottom w:type="dxa" w:w="80"/>
              <w:right w:type="dxa" w:w="100"/>
            </w:tcMar>
            <w:vAlign w:val="center"/>
          </w:tcPr>
          <w:p>
            <w:r>
              <w:rPr>
                <w:b w:val="false"/>
                <w:bCs w:val="false"/>
                <w:color w:val="262626"/>
                <w:sz w:val="20"/>
                <w:szCs w:val="20"/>
              </w:rPr>
              <w:t xml:space="preserve">Requerida únicamente para habilitar la facturación por consumo del servicio</w:t>
            </w:r>
          </w:p>
        </w:tc>
      </w:tr>
      <w:tr>
        <w:tc>
          <w:tcPr>
            <w:tcW w:type="dxa" w:w="3000"/>
            <w:tcMar>
              <w:top w:type="dxa" w:w="80"/>
              <w:left w:type="dxa" w:w="100"/>
              <w:bottom w:type="dxa" w:w="80"/>
              <w:right w:type="dxa" w:w="100"/>
            </w:tcMar>
            <w:vAlign w:val="center"/>
          </w:tcPr>
          <w:p>
            <w:r>
              <w:rPr>
                <w:b/>
                <w:bCs/>
                <w:color w:val="262626"/>
                <w:sz w:val="20"/>
                <w:szCs w:val="20"/>
              </w:rPr>
              <w:t xml:space="preserve">Microsoft Entra ID / B2B</w:t>
            </w:r>
          </w:p>
        </w:tc>
        <w:tc>
          <w:tcPr>
            <w:tcW w:type="dxa" w:w="4000"/>
            <w:tcMar>
              <w:top w:type="dxa" w:w="80"/>
              <w:left w:type="dxa" w:w="100"/>
              <w:bottom w:type="dxa" w:w="80"/>
              <w:right w:type="dxa" w:w="100"/>
            </w:tcMar>
            <w:vAlign w:val="center"/>
          </w:tcPr>
          <w:p>
            <w:r>
              <w:rPr>
                <w:b w:val="false"/>
                <w:bCs w:val="false"/>
                <w:color w:val="262626"/>
                <w:sz w:val="20"/>
                <w:szCs w:val="20"/>
              </w:rPr>
              <w:t xml:space="preserve">Incluido en el tenant; invitados se gestionan sin licencia adicional por invitado</w:t>
            </w:r>
          </w:p>
        </w:tc>
        <w:tc>
          <w:tcPr>
            <w:tcW w:type="dxa" w:w="2900"/>
            <w:tcMar>
              <w:top w:type="dxa" w:w="80"/>
              <w:left w:type="dxa" w:w="100"/>
              <w:bottom w:type="dxa" w:w="80"/>
              <w:right w:type="dxa" w:w="100"/>
            </w:tcMar>
            <w:vAlign w:val="center"/>
          </w:tcPr>
          <w:p>
            <w:r>
              <w:rPr>
                <w:b w:val="false"/>
                <w:bCs w:val="false"/>
                <w:color w:val="262626"/>
                <w:sz w:val="20"/>
                <w:szCs w:val="20"/>
              </w:rPr>
              <w:t xml:space="preserve">Requerido si hay firmantes externos al tenant</w:t>
            </w:r>
          </w:p>
        </w:tc>
      </w:tr>
      <w:tr>
        <w:tc>
          <w:tcPr>
            <w:tcW w:type="dxa" w:w="3000"/>
            <w:shd w:fill="F2F2F2" w:val="clear"/>
            <w:tcMar>
              <w:top w:type="dxa" w:w="80"/>
              <w:left w:type="dxa" w:w="100"/>
              <w:bottom w:type="dxa" w:w="80"/>
              <w:right w:type="dxa" w:w="100"/>
            </w:tcMar>
            <w:vAlign w:val="center"/>
          </w:tcPr>
          <w:p>
            <w:r>
              <w:rPr>
                <w:b/>
                <w:bCs/>
                <w:color w:val="262626"/>
                <w:sz w:val="20"/>
                <w:szCs w:val="20"/>
              </w:rPr>
              <w:t xml:space="preserve">Adobe Acrobat Sign / DocuSign eSignature (opcional)</w:t>
            </w:r>
          </w:p>
        </w:tc>
        <w:tc>
          <w:tcPr>
            <w:tcW w:type="dxa" w:w="4000"/>
            <w:shd w:fill="F2F2F2" w:val="clear"/>
            <w:tcMar>
              <w:top w:type="dxa" w:w="80"/>
              <w:left w:type="dxa" w:w="100"/>
              <w:bottom w:type="dxa" w:w="80"/>
              <w:right w:type="dxa" w:w="100"/>
            </w:tcMar>
            <w:vAlign w:val="center"/>
          </w:tcPr>
          <w:p>
            <w:r>
              <w:rPr>
                <w:b w:val="false"/>
                <w:bCs w:val="false"/>
                <w:color w:val="262626"/>
                <w:sz w:val="20"/>
                <w:szCs w:val="20"/>
              </w:rPr>
              <w:t xml:space="preserve">Licencia o contrato independiente con el proveedor</w:t>
            </w:r>
          </w:p>
        </w:tc>
        <w:tc>
          <w:tcPr>
            <w:tcW w:type="dxa" w:w="2900"/>
            <w:shd w:fill="F2F2F2" w:val="clear"/>
            <w:tcMar>
              <w:top w:type="dxa" w:w="80"/>
              <w:left w:type="dxa" w:w="100"/>
              <w:bottom w:type="dxa" w:w="80"/>
              <w:right w:type="dxa" w:w="100"/>
            </w:tcMar>
            <w:vAlign w:val="center"/>
          </w:tcPr>
          <w:p>
            <w:r>
              <w:rPr>
                <w:b w:val="false"/>
                <w:bCs w:val="false"/>
                <w:color w:val="262626"/>
                <w:sz w:val="20"/>
                <w:szCs w:val="20"/>
              </w:rPr>
              <w:t xml:space="preserve">Solo si se requiere firma avanzada/certificada — fuera del alcance base</w:t>
            </w:r>
          </w:p>
        </w:tc>
      </w:tr>
    </w:tbl>
    <w:p>
      <w:pPr>
        <w:spacing w:after="160" w:line="276"/>
      </w:pPr>
      <w:r>
        <w:rPr>
          <w:color w:val="262626"/>
          <w:sz w:val="21"/>
          <w:szCs w:val="21"/>
        </w:rPr>
        <w:t xml:space="preserve"/>
      </w:r>
    </w:p>
    <w:p>
      <w:pPr>
        <w:pStyle w:val="Heading2"/>
        <w:spacing w:after="150" w:before="300"/>
      </w:pPr>
      <w:r>
        <w:rPr>
          <w:b/>
          <w:bCs/>
          <w:color w:val="2E74B5"/>
        </w:rPr>
        <w:t xml:space="preserve">10.1 Precio publicado por Microsoft (vigente a la fecha de esta propuesta)</w:t>
      </w:r>
    </w:p>
    <w:p>
      <w:pPr>
        <w:pStyle w:val="ListParagraph"/>
        <w:numPr>
          <w:ilvl w:val="0"/>
          <w:numId w:val="2"/>
        </w:numPr>
        <w:spacing w:after="90"/>
      </w:pPr>
      <w:r>
        <w:rPr>
          <w:color w:val="262626"/>
          <w:sz w:val="21"/>
          <w:szCs w:val="21"/>
        </w:rPr>
        <w:t xml:space="preserve">Medidor: solicitud de firma electrónica creada.</w:t>
      </w:r>
    </w:p>
    <w:p>
      <w:pPr>
        <w:pStyle w:val="ListParagraph"/>
        <w:numPr>
          <w:ilvl w:val="0"/>
          <w:numId w:val="2"/>
        </w:numPr>
        <w:spacing w:after="90"/>
      </w:pPr>
      <w:r>
        <w:rPr>
          <w:color w:val="262626"/>
          <w:sz w:val="21"/>
          <w:szCs w:val="21"/>
        </w:rPr>
        <w:t xml:space="preserve">Precio: USD $2.00 por solicitud, con hasta 10 destinatarios incluidos por solicitud.</w:t>
      </w:r>
    </w:p>
    <w:p>
      <w:pPr>
        <w:pStyle w:val="ListParagraph"/>
        <w:numPr>
          <w:ilvl w:val="0"/>
          <w:numId w:val="2"/>
        </w:numPr>
        <w:spacing w:after="90"/>
      </w:pPr>
      <w:r>
        <w:rPr>
          <w:color w:val="262626"/>
          <w:sz w:val="21"/>
          <w:szCs w:val="21"/>
        </w:rPr>
        <w:t xml:space="preserve">Prueba gratuita: Microsoft ofreció hasta 5 solicitudes sin costo con pay-as-you-go configurado, vigente solo hasta junio de 2026 (ya concluida a la fecha de esta propuesta).</w:t>
      </w:r>
    </w:p>
    <w:p>
      <w:pPr>
        <w:spacing w:after="160" w:line="276"/>
      </w:pPr>
      <w:r>
        <w:rPr>
          <w:color w:val="262626"/>
          <w:sz w:val="21"/>
          <w:szCs w:val="21"/>
        </w:rPr>
        <w:t xml:space="preserve">Importante: los precios públicos de Microsoft pueden cambiar sin previo aviso. Se recomienda validar la tarifa vigente en el portal oficial de precios de Microsoft 365 antes de formalizar el presupuesto con el cliente final.</w:t>
      </w:r>
    </w:p>
    <w:p>
      <w:pPr>
        <w:pStyle w:val="Heading2"/>
        <w:spacing w:after="150" w:before="300"/>
      </w:pPr>
      <w:r>
        <w:rPr>
          <w:b/>
          <w:bCs/>
          <w:color w:val="2E74B5"/>
        </w:rPr>
        <w:t xml:space="preserve">10.2 Estimación de costo mensual por volumen de solicitudes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900"/>
        <w:gridCol w:w="4000"/>
      </w:tblGrid>
      <w:tr>
        <w:trPr>
          <w:tblHeader/>
        </w:trPr>
        <w:tc>
          <w:tcPr>
            <w:tcW w:type="dxa" w:w="5900"/>
            <w:shd w:fill="1F3864" w:val="clear"/>
            <w:tcMar>
              <w:top w:type="dxa" w:w="80"/>
              <w:left w:type="dxa" w:w="100"/>
              <w:bottom w:type="dxa" w:w="80"/>
              <w:right w:type="dxa" w:w="100"/>
            </w:tcMar>
            <w:vAlign w:val="center"/>
          </w:tcPr>
          <w:p>
            <w:r>
              <w:rPr>
                <w:b/>
                <w:bCs/>
                <w:color w:val="FFFFFF"/>
                <w:sz w:val="20"/>
                <w:szCs w:val="20"/>
              </w:rPr>
              <w:t xml:space="preserve">Volumen estimado</w:t>
            </w:r>
          </w:p>
        </w:tc>
        <w:tc>
          <w:tcPr>
            <w:tcW w:type="dxa" w:w="4000"/>
            <w:shd w:fill="1F3864" w:val="clear"/>
            <w:tcMar>
              <w:top w:type="dxa" w:w="80"/>
              <w:left w:type="dxa" w:w="100"/>
              <w:bottom w:type="dxa" w:w="80"/>
              <w:right w:type="dxa" w:w="100"/>
            </w:tcMar>
            <w:vAlign w:val="center"/>
          </w:tcPr>
          <w:p>
            <w:r>
              <w:rPr>
                <w:b/>
                <w:bCs/>
                <w:color w:val="FFFFFF"/>
                <w:sz w:val="20"/>
                <w:szCs w:val="20"/>
              </w:rPr>
              <w:t xml:space="preserve">Costo mensual aproximado</w:t>
            </w:r>
          </w:p>
        </w:tc>
      </w:tr>
      <w:tr>
        <w:tc>
          <w:tcPr>
            <w:tcW w:type="dxa" w:w="5900"/>
            <w:tcMar>
              <w:top w:type="dxa" w:w="80"/>
              <w:left w:type="dxa" w:w="100"/>
              <w:bottom w:type="dxa" w:w="80"/>
              <w:right w:type="dxa" w:w="100"/>
            </w:tcMar>
            <w:vAlign w:val="center"/>
          </w:tcPr>
          <w:p>
            <w:r>
              <w:rPr>
                <w:b/>
                <w:bCs/>
                <w:color w:val="262626"/>
                <w:sz w:val="20"/>
                <w:szCs w:val="20"/>
              </w:rPr>
              <w:t xml:space="preserve">50 solicitudes/mes</w:t>
            </w:r>
          </w:p>
        </w:tc>
        <w:tc>
          <w:tcPr>
            <w:tcW w:type="dxa" w:w="4000"/>
            <w:tcMar>
              <w:top w:type="dxa" w:w="80"/>
              <w:left w:type="dxa" w:w="100"/>
              <w:bottom w:type="dxa" w:w="80"/>
              <w:right w:type="dxa" w:w="100"/>
            </w:tcMar>
            <w:vAlign w:val="center"/>
          </w:tcPr>
          <w:p>
            <w:r>
              <w:rPr>
                <w:b w:val="false"/>
                <w:bCs w:val="false"/>
                <w:color w:val="262626"/>
                <w:sz w:val="20"/>
                <w:szCs w:val="20"/>
              </w:rPr>
              <w:t xml:space="preserve">≈ $100 USD/mes</w:t>
            </w:r>
          </w:p>
        </w:tc>
      </w:tr>
      <w:tr>
        <w:tc>
          <w:tcPr>
            <w:tcW w:type="dxa" w:w="5900"/>
            <w:shd w:fill="F2F2F2" w:val="clear"/>
            <w:tcMar>
              <w:top w:type="dxa" w:w="80"/>
              <w:left w:type="dxa" w:w="100"/>
              <w:bottom w:type="dxa" w:w="80"/>
              <w:right w:type="dxa" w:w="100"/>
            </w:tcMar>
            <w:vAlign w:val="center"/>
          </w:tcPr>
          <w:p>
            <w:r>
              <w:rPr>
                <w:b/>
                <w:bCs/>
                <w:color w:val="262626"/>
                <w:sz w:val="20"/>
                <w:szCs w:val="20"/>
              </w:rPr>
              <w:t xml:space="preserve">100 solicitudes/mes</w:t>
            </w:r>
          </w:p>
        </w:tc>
        <w:tc>
          <w:tcPr>
            <w:tcW w:type="dxa" w:w="4000"/>
            <w:shd w:fill="F2F2F2" w:val="clear"/>
            <w:tcMar>
              <w:top w:type="dxa" w:w="80"/>
              <w:left w:type="dxa" w:w="100"/>
              <w:bottom w:type="dxa" w:w="80"/>
              <w:right w:type="dxa" w:w="100"/>
            </w:tcMar>
            <w:vAlign w:val="center"/>
          </w:tcPr>
          <w:p>
            <w:r>
              <w:rPr>
                <w:b w:val="false"/>
                <w:bCs w:val="false"/>
                <w:color w:val="262626"/>
                <w:sz w:val="20"/>
                <w:szCs w:val="20"/>
              </w:rPr>
              <w:t xml:space="preserve">≈ $200 USD/mes</w:t>
            </w:r>
          </w:p>
        </w:tc>
      </w:tr>
      <w:tr>
        <w:tc>
          <w:tcPr>
            <w:tcW w:type="dxa" w:w="5900"/>
            <w:tcMar>
              <w:top w:type="dxa" w:w="80"/>
              <w:left w:type="dxa" w:w="100"/>
              <w:bottom w:type="dxa" w:w="80"/>
              <w:right w:type="dxa" w:w="100"/>
            </w:tcMar>
            <w:vAlign w:val="center"/>
          </w:tcPr>
          <w:p>
            <w:r>
              <w:rPr>
                <w:b/>
                <w:bCs/>
                <w:color w:val="262626"/>
                <w:sz w:val="20"/>
                <w:szCs w:val="20"/>
              </w:rPr>
              <w:t xml:space="preserve">250 solicitudes/mes</w:t>
            </w:r>
          </w:p>
        </w:tc>
        <w:tc>
          <w:tcPr>
            <w:tcW w:type="dxa" w:w="4000"/>
            <w:tcMar>
              <w:top w:type="dxa" w:w="80"/>
              <w:left w:type="dxa" w:w="100"/>
              <w:bottom w:type="dxa" w:w="80"/>
              <w:right w:type="dxa" w:w="100"/>
            </w:tcMar>
            <w:vAlign w:val="center"/>
          </w:tcPr>
          <w:p>
            <w:r>
              <w:rPr>
                <w:b w:val="false"/>
                <w:bCs w:val="false"/>
                <w:color w:val="262626"/>
                <w:sz w:val="20"/>
                <w:szCs w:val="20"/>
              </w:rPr>
              <w:t xml:space="preserve">≈ $500 USD/mes</w:t>
            </w:r>
          </w:p>
        </w:tc>
      </w:tr>
      <w:tr>
        <w:tc>
          <w:tcPr>
            <w:tcW w:type="dxa" w:w="5900"/>
            <w:shd w:fill="F2F2F2" w:val="clear"/>
            <w:tcMar>
              <w:top w:type="dxa" w:w="80"/>
              <w:left w:type="dxa" w:w="100"/>
              <w:bottom w:type="dxa" w:w="80"/>
              <w:right w:type="dxa" w:w="100"/>
            </w:tcMar>
            <w:vAlign w:val="center"/>
          </w:tcPr>
          <w:p>
            <w:r>
              <w:rPr>
                <w:b/>
                <w:bCs/>
                <w:color w:val="262626"/>
                <w:sz w:val="20"/>
                <w:szCs w:val="20"/>
              </w:rPr>
              <w:t xml:space="preserve">500 solicitudes/mes</w:t>
            </w:r>
          </w:p>
        </w:tc>
        <w:tc>
          <w:tcPr>
            <w:tcW w:type="dxa" w:w="4000"/>
            <w:shd w:fill="F2F2F2" w:val="clear"/>
            <w:tcMar>
              <w:top w:type="dxa" w:w="80"/>
              <w:left w:type="dxa" w:w="100"/>
              <w:bottom w:type="dxa" w:w="80"/>
              <w:right w:type="dxa" w:w="100"/>
            </w:tcMar>
            <w:vAlign w:val="center"/>
          </w:tcPr>
          <w:p>
            <w:r>
              <w:rPr>
                <w:b w:val="false"/>
                <w:bCs w:val="false"/>
                <w:color w:val="262626"/>
                <w:sz w:val="20"/>
                <w:szCs w:val="20"/>
              </w:rPr>
              <w:t xml:space="preserve">≈ $1,000 USD/mes</w:t>
            </w:r>
          </w:p>
        </w:tc>
      </w:tr>
    </w:tbl>
    <w:p>
      <w:pPr>
        <w:spacing w:after="160" w:line="276"/>
      </w:pPr>
      <w:r>
        <w:rPr>
          <w:color w:val="262626"/>
          <w:sz w:val="21"/>
          <w:szCs w:val="21"/>
        </w:rPr>
        <w:t xml:space="preserve"/>
      </w:r>
    </w:p>
    <w:p>
      <w:pPr>
        <w:spacing w:after="160" w:line="276"/>
      </w:pPr>
      <w:r>
        <w:rPr>
          <w:color w:val="262626"/>
          <w:sz w:val="21"/>
          <w:szCs w:val="21"/>
        </w:rPr>
        <w:t xml:space="preserve">Con base en el volumen estimado de [Nombre del Cliente] (hasta 500 solicitudes/mes), el costo de consumo esperado se ubica entre $500 y $1,000 USD mensuales, sin incluir el costo de servicios profesionales de habilitación (Fases 1 a 6), que se presenta como propuesta económica en documento anexo.</w:t>
      </w:r>
    </w:p>
    <w:p>
      <w:pPr>
        <w:pStyle w:val="Heading2"/>
        <w:spacing w:after="150" w:before="300"/>
      </w:pPr>
      <w:r>
        <w:rPr>
          <w:b/>
          <w:bCs/>
          <w:color w:val="2E74B5"/>
        </w:rPr>
        <w:t xml:space="preserve">10.3 Costos operativos adicionales a considerar</w:t>
      </w:r>
    </w:p>
    <w:p>
      <w:pPr>
        <w:pStyle w:val="ListParagraph"/>
        <w:numPr>
          <w:ilvl w:val="0"/>
          <w:numId w:val="2"/>
        </w:numPr>
        <w:spacing w:after="90"/>
      </w:pPr>
      <w:r>
        <w:rPr>
          <w:color w:val="262626"/>
          <w:sz w:val="21"/>
          <w:szCs w:val="21"/>
        </w:rPr>
        <w:t xml:space="preserve">Tiempo interno para definir políticas de acceso externo (guest access) y accesos condicionales.</w:t>
      </w:r>
    </w:p>
    <w:p>
      <w:pPr>
        <w:pStyle w:val="ListParagraph"/>
        <w:numPr>
          <w:ilvl w:val="0"/>
          <w:numId w:val="2"/>
        </w:numPr>
        <w:spacing w:after="90"/>
      </w:pPr>
      <w:r>
        <w:rPr>
          <w:color w:val="262626"/>
          <w:sz w:val="21"/>
          <w:szCs w:val="21"/>
        </w:rPr>
        <w:t xml:space="preserve">Pruebas de etiquetas de confidencialidad y políticas de retención sobre los documentos firmados.</w:t>
      </w:r>
    </w:p>
    <w:p>
      <w:pPr>
        <w:pStyle w:val="ListParagraph"/>
        <w:numPr>
          <w:ilvl w:val="0"/>
          <w:numId w:val="2"/>
        </w:numPr>
        <w:spacing w:after="90"/>
      </w:pPr>
      <w:r>
        <w:rPr>
          <w:color w:val="262626"/>
          <w:sz w:val="21"/>
          <w:szCs w:val="21"/>
        </w:rPr>
        <w:t xml:space="preserve">Revisión periódica de auditoría (Purview) y documentación para la mesa de servicio.</w:t>
      </w:r>
    </w:p>
    <w:p>
      <w:pPr>
        <w:pStyle w:val="ListParagraph"/>
        <w:numPr>
          <w:ilvl w:val="0"/>
          <w:numId w:val="2"/>
        </w:numPr>
        <w:spacing w:after="90"/>
      </w:pPr>
      <w:r>
        <w:rPr>
          <w:color w:val="262626"/>
          <w:sz w:val="21"/>
          <w:szCs w:val="21"/>
        </w:rPr>
        <w:t xml:space="preserve">Designación de un responsable interno (dueño del costo) que revise el consumo mensual antes de que se convierta en una sorpresa presupuestal.</w:t>
      </w:r>
    </w:p>
    <w:p>
      <w:pPr>
        <w:pStyle w:val="Heading1"/>
        <w:pBdr>
          <w:bottom w:val="single" w:color="2E74B5" w:sz="6" w:space="4"/>
        </w:pBdr>
        <w:spacing w:after="200" w:before="400"/>
      </w:pPr>
      <w:r>
        <w:rPr>
          <w:b/>
          <w:bCs/>
          <w:color w:val="1F3864"/>
        </w:rPr>
        <w:t xml:space="preserve">11. Próximos Pasos</w:t>
      </w:r>
    </w:p>
    <w:p>
      <w:pPr>
        <w:pStyle w:val="ListParagraph"/>
        <w:numPr>
          <w:ilvl w:val="0"/>
          <w:numId w:val="2"/>
        </w:numPr>
        <w:spacing w:after="90"/>
      </w:pPr>
      <w:r>
        <w:rPr>
          <w:color w:val="262626"/>
          <w:sz w:val="21"/>
          <w:szCs w:val="21"/>
        </w:rPr>
        <w:t xml:space="preserve">Revisión y retroalimentación de la presente propuesta por parte de [Nombre del Cliente].</w:t>
      </w:r>
    </w:p>
    <w:p>
      <w:pPr>
        <w:pStyle w:val="ListParagraph"/>
        <w:numPr>
          <w:ilvl w:val="0"/>
          <w:numId w:val="2"/>
        </w:numPr>
        <w:spacing w:after="90"/>
      </w:pPr>
      <w:r>
        <w:rPr>
          <w:color w:val="262626"/>
          <w:sz w:val="21"/>
          <w:szCs w:val="21"/>
        </w:rPr>
        <w:t xml:space="preserve">Sesión de alineación para confirmar alcance, supuestos, volumen esperado y fecha de inicio.</w:t>
      </w:r>
    </w:p>
    <w:p>
      <w:pPr>
        <w:pStyle w:val="ListParagraph"/>
        <w:numPr>
          <w:ilvl w:val="0"/>
          <w:numId w:val="2"/>
        </w:numPr>
        <w:spacing w:after="90"/>
      </w:pPr>
      <w:r>
        <w:rPr>
          <w:color w:val="262626"/>
          <w:sz w:val="21"/>
          <w:szCs w:val="21"/>
        </w:rPr>
        <w:t xml:space="preserve">Validación con el área legal del cliente sobre la suficiencia de la firma electrónica simple.</w:t>
      </w:r>
    </w:p>
    <w:p>
      <w:pPr>
        <w:pStyle w:val="ListParagraph"/>
        <w:numPr>
          <w:ilvl w:val="0"/>
          <w:numId w:val="2"/>
        </w:numPr>
        <w:spacing w:after="90"/>
      </w:pPr>
      <w:r>
        <w:rPr>
          <w:color w:val="262626"/>
          <w:sz w:val="21"/>
          <w:szCs w:val="21"/>
        </w:rPr>
        <w:t xml:space="preserve">Firma de contrato / carta de aceptación y orden de compra.</w:t>
      </w:r>
    </w:p>
    <w:p>
      <w:pPr>
        <w:pStyle w:val="ListParagraph"/>
        <w:numPr>
          <w:ilvl w:val="0"/>
          <w:numId w:val="2"/>
        </w:numPr>
        <w:spacing w:after="90"/>
      </w:pPr>
      <w:r>
        <w:rPr>
          <w:color w:val="262626"/>
          <w:sz w:val="21"/>
          <w:szCs w:val="21"/>
        </w:rPr>
        <w:t xml:space="preserve">Kick-off del proyecto y arranque de la Fase 1 — Descubrimiento.</w:t>
      </w:r>
    </w:p>
    <w:p>
      <w:pPr>
        <w:spacing w:after="160" w:line="276"/>
      </w:pPr>
      <w:r>
        <w:rPr>
          <w:color w:val="262626"/>
          <w:sz w:val="21"/>
          <w:szCs w:val="21"/>
        </w:rPr>
        <w:t xml:space="preserve"/>
      </w:r>
    </w:p>
    <w:p>
      <w:pPr>
        <w:spacing w:after="160" w:line="276"/>
      </w:pPr>
      <w:r>
        <w:rPr>
          <w:color w:val="262626"/>
          <w:sz w:val="21"/>
          <w:szCs w:val="21"/>
        </w:rPr>
        <w:t xml:space="preserve">Quedamos atentos a sus comentarios y a su disposición para resolver cualquier duda adicional sobre la presente propuesta.</w:t>
      </w:r>
    </w:p>
    <w:p>
      <w:pPr>
        <w:spacing w:after="160" w:line="276"/>
      </w:pPr>
      <w:r>
        <w:rPr>
          <w:color w:val="262626"/>
          <w:sz w:val="21"/>
          <w:szCs w:val="21"/>
        </w:rPr>
        <w:t xml:space="preserve"/>
      </w:r>
    </w:p>
    <w:p>
      <w:pPr>
        <w:spacing w:after="160" w:line="276"/>
      </w:pPr>
      <w:r>
        <w:rPr>
          <w:color w:val="262626"/>
          <w:sz w:val="21"/>
          <w:szCs w:val="21"/>
        </w:rPr>
        <w:t xml:space="preserve">Atentamente,</w:t>
      </w:r>
    </w:p>
    <w:p>
      <w:pPr>
        <w:spacing w:after="160" w:line="276"/>
      </w:pPr>
      <w:r>
        <w:rPr>
          <w:color w:val="262626"/>
          <w:sz w:val="21"/>
          <w:szCs w:val="21"/>
        </w:rPr>
        <w:t xml:space="preserve">[Nombre de tu Empresa]</w:t>
      </w:r>
    </w:p>
    <w:p>
      <w:pPr>
        <w:spacing w:after="160" w:line="276"/>
      </w:pPr>
      <w:r>
        <w:rPr>
          <w:color w:val="262626"/>
          <w:sz w:val="21"/>
          <w:szCs w:val="21"/>
        </w:rPr>
        <w:t xml:space="preserve">[Nombre del contacto comercial] | [correo] | [teléfono]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r>
      <w:rPr>
        <w:color w:val="595959"/>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Propuesta de Servicios — Microsoft 365 eSignature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2026-07-29T05:31:39.524Z</dcterms:created>
  <dcterms:modified xsi:type="dcterms:W3CDTF">2026-07-29T05:31:39.537Z</dcterms:modified>
</cp:coreProperties>
</file>

<file path=docProps/custom.xml><?xml version="1.0" encoding="utf-8"?>
<Properties xmlns="http://schemas.openxmlformats.org/officeDocument/2006/custom-properties" xmlns:vt="http://schemas.openxmlformats.org/officeDocument/2006/docPropsVTypes"/>
</file>