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AZURE EVENT HUB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70C0"/>
          <w:sz w:val="36"/>
          <w:szCs w:val="36"/>
        </w:rPr>
        <w:t xml:space="preserve">Implementación Standard</w:t>
      </w:r>
    </w:p>
    <w:p>
      <w:pPr>
        <w:pBdr>
          <w:bottom w:val="single" w:color="0070C0" w:sz="12"/>
        </w:pBdr>
        <w:spacing w:after="300"/>
      </w:pPr>
    </w:p>
    <w:p>
      <w:pPr>
        <w:spacing w:before="20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Requerimientos Técnicos y Actividades de Implementación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Versión 1.0  |  Marzo 2025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1. Objetivo y Alcance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documento describe los requerimientos técnicos, consideraciones de arquitectura y las actividades necesarias para llevar a cabo una implementación estándar de Azure Event Hubs en un entorno empresarial. Cubre desde el aprovisionamiento inicial hasta la configuración de monitoreo y seguridad en producción.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Alcance de la implementación: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Aprovisionamiento del namespace y Event Hub en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Configuración de seguridad, identidad y políticas de acceso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Integración con productores y consumidores de eventos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Configuración de captura, monitoreo y alertas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Validación, pruebas de carga y pase a producción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2. Requerimientos Previos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2.1 Accesos y Permisos Azure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equipo de implementación debe contar con los siguientes roles y permisos en la suscripción de Azure: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22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3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/ Contributor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Suscripción / RG</w:t>
            </w:r>
          </w:p>
        </w:tc>
        <w:tc>
          <w:tcPr>
            <w:tcW w:type="dxa" w:w="3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y configurar recursos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 Event Hubs Data Owner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Namespace</w:t>
            </w:r>
          </w:p>
        </w:tc>
        <w:tc>
          <w:tcPr>
            <w:tcW w:type="dxa" w:w="3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Gestión de entidades y datos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 Contributor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3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diagnósticos y alertas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 Contributor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VNet / Subnets</w:t>
            </w:r>
          </w:p>
        </w:tc>
        <w:tc>
          <w:tcPr>
            <w:tcW w:type="dxa" w:w="3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Private Endpoints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2.2 Herramientas Necesarias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siguientes herramientas deben estar instaladas y configuradas en los equipos del equipo técnico: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CLI (v2.50+) con la extensión eventhubs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Portal acceso con autenticación MFA habilitada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Terraform &gt;= 1.5 o Azure Bicep (si se usa IaC)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PowerShell 7+ con módulo Az.EventHub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Cliente de pruebas: Apache Kafka CLI o SDK específico del lenguaje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Herramienta de monitoreo: Azure Monitor, Grafana o Datadog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2.3 Infraestructura de Red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requiere una red virtual (VNet) configurada previamente con: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Subnet dedicada para Private Endpoints (mínimo /27)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 privado configurado: privatelink.servicebus.windows.net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Conectividad validada desde las aplicaciones hacia la VNet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NSG rules abiertas en puertos 443 (HTTPS/AMQP) y 9093 (Kafka TLS)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3. Arquitectura de la Solución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arquitectura estándar de Azure Event Hubs se compone de los siguientes elementos: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12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/ SKU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Hubs Namespace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o Premium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Contenedor lógico de todos los Event Hubs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 Hub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 particiones (1–32+)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Canal de ingesta de eventos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Consumer Groups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 aplicación lectora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Vista independiente del stream por consumidor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Capture (opcional)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Azure Blob / ADLS Gen2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Archivado automático de eventos en Avro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 Registry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de esquemas Avro/JSON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Private Endpoint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VNet Integration</w:t>
            </w:r>
          </w:p>
        </w:tc>
        <w:tc>
          <w:tcPr>
            <w:tcW w:type="dxa" w:w="4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privado sin exposición a Internet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070C0"/>
          <w:sz w:val="19"/>
          <w:szCs w:val="19"/>
        </w:rPr>
        <w:t xml:space="preserve">💡 Nota: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Para workloads de alta disponibilidad se recomienda Geo-Disaster Recovery con namespace secundario en una región distinta.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4. Requerimientos Técnicos de Configuración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4.1 Especificaciones del Namespace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32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SKU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/ Premium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requerido para VNet y Schema Registry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Throughput Units (STD)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2–10 TU (auto-inflate)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TU = 1 MB/s entrada, 2 MB/s salida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Processing Units (Premium)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1–8 PU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PU = 1 GB RAM, aislamiento de cómputo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Retención de mensajes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1–7 días (STD) / 90 días (Premium)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Definir según SLA de reprocesamiento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Zona de redundancia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Habilitado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Requiere región con Availability Zones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Tamaño máximo de mensaje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MB (STD) / 1 MB (Premium)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Claim Check para mensajes mayores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TLS mínimo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TLS 1.2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Recomendado TLS 1.3 en Premium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4.2 Configuración de Event Hubs (por hub)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32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Recomendado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Número de particiones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8–32 (según throughput)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Inmutable después de creación en STD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Consumer Groups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por aplicación lectora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 20 en Standard, 100 en Premium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Retención de mensajes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Heredada del namespace o custom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Premium permite configuración individual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Capture habilitado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Según necesidad de archivado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Formato Avro, ventana de 5 min o 300 MB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4.3 Seguridad y Control de Acceso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autenticación y autorización deben seguir el principio de mínimo privilegio: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Deshabilitar acceso con SAS Key en producción; usar solo Managed Identity o AAD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Asignar rol Azure Event Hubs Data Sender a identidades productoras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Asignar rol Azure Event Hubs Data Receiver a identidades consumidoras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Habilitar Private Endpoint y deshabilitar acceso público desde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Azure Firewall o IP Firewall para accesos administrativos si aplica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Habilitar Customer Managed Keys (CMK) con Azure Key Vault en entornos regulados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070C0"/>
          <w:sz w:val="19"/>
          <w:szCs w:val="19"/>
        </w:rPr>
        <w:t xml:space="preserve">💡 Nota: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En Premium, es posible habilitar doble cifrado con CMK para cumplimiento con normativas como PCI-DSS, HIPAA o ISO 27001.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0C0"/>
          <w:sz w:val="24"/>
          <w:szCs w:val="24"/>
        </w:rPr>
        <w:t xml:space="preserve">4.4 Diagnósticos y Monitoreo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Diagnostic Settings en el namespace para enviar logs y métricas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Analytics Workspace (recomendado para alertas y dashboards)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Storage Account (retención a largo plazo)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 Hub secundario (integración con SIEM)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Logs a habilitar: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OperationalLogs – operaciones de gestión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AutoScaleLogs – eventos de escalado automático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KafkaCoordinatorLogs – si se usa protocolo Kafka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EventHubVNetConnectionEvent – conexiones de red privada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Métricas clave a monitorear: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IncomingMessages / IncomingBytes – volumen de ingesta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OutgoingMessages / OutgoingBytes – volumen de salida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ThrottledRequests – solicitudes limitadas (indica necesidad de escalar)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ActiveConnections – conexiones activas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ServerErrors / UserErrors – errores en el servicio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CaptureBacklog – retraso en captura de eventos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5. Actividades de Implementación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siguientes actividades deben ejecutarse en el orden indicado. El estimado de duración es orientativo y puede variar según la complejidad del entorno.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700"/>
        <w:gridCol w:w="1300"/>
        <w:gridCol w:w="202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972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– Aprovisionamiento de Infraestructura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Diseño de arquitectura y nomenclatura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Definir naming, SKU, regiones, particiones, Consumer Groups y política de retención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Arquitecto Azure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Creación del Resource Group y políticas de etiquetado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RG con tags: proyecto, ambiente, owner, cost-center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 / IaC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Aprovisionamiento del Namespace Event Hubs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namespace con SKU, zona de redundancia y auto-inflate habilitado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 / IaC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Creación de Event Hubs y Consumer Groups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los hubs definidos en el diseño con sus particiones y grupos de consumo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 / IaC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 de Private Endpoint y DNS Privado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PE en la subnet designada, vincular a zona DNS privada y validar resolución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Networking / DevOps</w:t>
            </w:r>
          </w:p>
        </w:tc>
      </w:tr>
      <w:tr>
        <w:tc>
          <w:tcPr>
            <w:tcW w:type="dxa" w:w="972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– Seguridad y Control de Acceso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 de Managed Identities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o usar identidades existentes para productores y consumidores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IAM / DevOps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Asignación de roles RBAC en Event Hub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Asignar Data Sender / Data Receiver por identidad en el scope correcto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IAM / DevOps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Deshabilitar acceso público y configurar IP Firewall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Desactivar Public Network Access y permitir solo redes/IPs autorizadas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Networking / Seguridad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Configuración de Customer Managed Keys (si aplica)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Key Vault, generar clave RSA 2048+ y vincular al namespace Premium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 / IAM</w:t>
            </w:r>
          </w:p>
        </w:tc>
      </w:tr>
      <w:tr>
        <w:tc>
          <w:tcPr>
            <w:tcW w:type="dxa" w:w="972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– Monitoreo, Captura y Alertas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Diagnostic Settings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Enviar logs operativos y métricas a Log Analytics Workspace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 / Monitoring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dashboard de monitoreo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con IncomingMessages, ThrottledRequests, Errors y latencia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alertas en Azure Monitor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Alertas para ThrottledRequests &gt; 0, ServerErrors &gt; 5/min, ActiveConnections anómalas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Event Hubs Capture (si aplica)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Activar captura a Blob Storage / ADLS Gen2 en formato Avro con ventana definida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DevOps / Data</w:t>
            </w:r>
          </w:p>
        </w:tc>
      </w:tr>
      <w:tr>
        <w:tc>
          <w:tcPr>
            <w:tcW w:type="dxa" w:w="972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– Integración, Pruebas y Pase a Producción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Integración con aplicaciones productoras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SDK (Java/.NET/Python/Go) o protocolo Kafka en las apps emisoras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Integración con aplicaciones consumidoras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EventProcessorClient o Kafka Consumer en las apps receptoras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Desarrollo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funcionales y de conectividad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envío, recepción, offset commit y reconexión ante fallos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/ Desarrollo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de carga y performance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Simular volumen esperado + 30% para validar auto-inflate y latencias P95/P99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/ DevOps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de seguridad y compliance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Ejecutar Azure Security Center recommendations y validar Defender for Cloud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Documentación y Knowledge Transfer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Documentar arquitectura final, runbooks operativos y procedimientos de escalado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Arquitecto / DevOps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Pase a producción (Go-Live)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Activar tráfico productivo, monitorear durante 24h y confirmar estabilidad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día</w:t>
            </w:r>
          </w:p>
        </w:tc>
        <w:tc>
          <w:tcPr>
            <w:tcW w:type="dxa" w:w="20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el equipo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6. Estimación de Timeline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22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Total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1 – Aprovisionamiento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2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4.5 días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2 – Seguridad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2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 días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3 – Monitoreo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3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2.5 días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Fase 4 – Integración y Pruebas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Semana 6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días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Semana 6</w:t>
            </w:r>
          </w:p>
        </w:tc>
        <w:tc>
          <w:tcPr>
            <w:tcW w:type="dxa" w:w="22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~20 días hábiles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0070C0"/>
          <w:sz w:val="19"/>
          <w:szCs w:val="19"/>
        </w:rPr>
        <w:t xml:space="preserve">💡 Nota: 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La duración puede variar dependiendo de la complejidad de las integraciones, aprobaciones de seguridad y disponibilidad de los equipos involucrados.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7. Criterios de Aceptación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implementación se considerará exitosa cuando se cumplan todos los siguientes criterios: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namespace y todos los Event Hubs se crean sin errores y con la configuración definida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acceso público está deshabilitado y el Private Endpoint resuelve correctamente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aplicaciones productoras envían mensajes usando Managed Identity sin SAS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aplicaciones consumidoras reciben y procesan mensajes correctamente en todos los Consumer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Diagnostic Settings están activos y los logs aparecen en Log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alertas de ThrottledRequests y ServerErrors están configuradas y funcionando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pruebas de carga no muestran throttling al 80% del throughput contratado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equipo operativo ha recibido knowledge transfer y cuenta con runbooks documentados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Defender for Cloud no reporta vulnerabilidades críticas o altas sin atender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3366"/>
          <w:sz w:val="28"/>
          <w:szCs w:val="28"/>
        </w:rPr>
        <w:t xml:space="preserve">8. Referencias y Recursos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Documentación oficial: https://learn.microsoft.com/azure/event-hubs/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Best Practices: https://learn.microsoft.com/azure/event-hubs/event-hubs-best-practices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Kafka en Event Hubs: https://learn.microsoft.com/azure/event-hubs/event-hubs-for-kafka-ecosystem-overview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Pricing Calculator: https://azure.microsoft.com/pricing/details/event-hubs/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Terraform Provider: https://registry.terraform.io/providers/hashicorp/azurerm/latest/docs/resources/eventhub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SDK .NET: Azure.Messaging.EventHubs (NuGet)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SDK Python: azure-eventhub (pip)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SDK Java: azure-messaging-eventhubs (Maven)</w:t>
      </w:r>
    </w:p>
    <w:p>
      <w:pPr>
        <w:spacing w:before="4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/>
      </w:pBdr>
      <w:spacing w:before="60"/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Confidencial – Uso Interno   |   ©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C0" w:sz="6"/>
      </w:pBdr>
      <w:spacing w:after="100"/>
    </w:pPr>
    <w:r>
      <w:rPr>
        <w:rFonts w:ascii="Arial" w:cs="Arial" w:eastAsia="Arial" w:hAnsi="Arial"/>
        <w:b/>
        <w:bCs/>
        <w:color w:val="003366"/>
        <w:sz w:val="20"/>
        <w:szCs w:val="20"/>
      </w:rPr>
      <w:t xml:space="preserve">Azure Event Hub – Implementación Standard</w:t>
    </w:r>
    <w:r>
      <w:rPr>
        <w:rFonts w:ascii="Arial" w:cs="Arial" w:eastAsia="Arial" w:hAnsi="Arial"/>
        <w:color w:val="595959"/>
        <w:sz w:val="18"/>
        <w:szCs w:val="18"/>
      </w:rPr>
      <w:t xml:space="preserve">   |   Requerimientos Técnicos y Actividades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2026-03-05T04:21:42.214Z</dcterms:created>
  <dcterms:modified xsi:type="dcterms:W3CDTF">2026-03-05T04:21:42.215Z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