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52"/>
          <w:szCs w:val="52"/>
        </w:rPr>
        <w:t xml:space="preserve">PROPUESTA DE SERVICIOS</w:t>
      </w:r>
    </w:p>
    <w:p>
      <w:pPr>
        <w:spacing w:after="220" w:before="220"/>
        <w:jc w:val="center"/>
      </w:pPr>
      <w:r>
        <w:rPr>
          <w:rFonts w:ascii="Calibri" w:cs="Calibri" w:eastAsia="Calibri" w:hAnsi="Calibri"/>
          <w:b/>
          <w:bCs/>
          <w:color w:val="2E5395"/>
          <w:sz w:val="32"/>
          <w:szCs w:val="32"/>
        </w:rPr>
        <w:t xml:space="preserve">Migración de Tenant a Tenant en Microsoft Azure</w:t>
      </w:r>
    </w:p>
    <w:p>
      <w:pPr>
        <w:spacing w:after="1800"/>
        <w:jc w:val="center"/>
      </w:pPr>
      <w:r>
        <w:rPr>
          <w:rFonts w:ascii="Calibri" w:cs="Calibri" w:eastAsia="Calibri" w:hAnsi="Calibri"/>
          <w:i/>
          <w:iCs/>
          <w:color w:val="262626"/>
          <w:sz w:val="24"/>
          <w:szCs w:val="24"/>
        </w:rPr>
        <w:t xml:space="preserve">Estrategia de Backup &amp; Restore para Máquinas Virtuales, Discos y Servicios Asociados</w:t>
      </w:r>
    </w:p>
    <w:p>
      <w:pPr>
        <w:spacing w:after="100"/>
        <w:jc w:val="center"/>
      </w:pPr>
      <w:r>
        <w:rPr>
          <w:rFonts w:ascii="Calibri" w:cs="Calibri" w:eastAsia="Calibri" w:hAnsi="Calibri"/>
          <w:color w:val="262626"/>
          <w:sz w:val="22"/>
          <w:szCs w:val="22"/>
        </w:rPr>
        <w:t xml:space="preserve">Cliente: TotalTech</w:t>
      </w:r>
    </w:p>
    <w:p>
      <w:pPr>
        <w:spacing w:after="100"/>
        <w:jc w:val="center"/>
      </w:pPr>
      <w:r>
        <w:rPr>
          <w:rFonts w:ascii="Calibri" w:cs="Calibri" w:eastAsia="Calibri" w:hAnsi="Calibri"/>
          <w:color w:val="262626"/>
          <w:sz w:val="22"/>
          <w:szCs w:val="22"/>
        </w:rPr>
        <w:t xml:space="preserve">Referencia de dimensionamiento: TotalTech_VM | PAYG</w:t>
      </w:r>
    </w:p>
    <w:p>
      <w:pPr>
        <w:spacing w:after="100"/>
        <w:jc w:val="center"/>
      </w:pPr>
      <w:r>
        <w:rPr>
          <w:rFonts w:ascii="Calibri" w:cs="Calibri" w:eastAsia="Calibri" w:hAnsi="Calibri"/>
          <w:color w:val="262626"/>
          <w:sz w:val="22"/>
          <w:szCs w:val="22"/>
        </w:rPr>
        <w:t xml:space="preserve">Fecha: 9 de julio de 2026</w:t>
      </w:r>
    </w:p>
    <w:p>
      <w:pPr>
        <w:spacing w:after="100"/>
        <w:jc w:val="center"/>
      </w:pPr>
      <w:r>
        <w:rPr>
          <w:rFonts w:ascii="Calibri" w:cs="Calibri" w:eastAsia="Calibri" w:hAnsi="Calibri"/>
          <w:color w:val="262626"/>
          <w:sz w:val="22"/>
          <w:szCs w:val="22"/>
        </w:rPr>
        <w:t xml:space="preserve">Versión: 1.0</w:t>
      </w:r>
    </w:p>
    <w:p>
      <w:r>
        <w:br w:type="page"/>
      </w:r>
    </w:p>
    <w:p>
      <w:pPr>
        <w:spacing w:after="300" w:before="100"/>
      </w:pPr>
      <w:r>
        <w:rPr>
          <w:rFonts w:ascii="Calibri" w:cs="Calibri" w:eastAsia="Calibri" w:hAnsi="Calibri"/>
          <w:b/>
          <w:bCs/>
          <w:color w:val="1F3864"/>
          <w:sz w:val="32"/>
          <w:szCs w:val="32"/>
        </w:rPr>
        <w:t xml:space="preserve">Contenido</w:t>
      </w:r>
    </w:p>
    <w:p>
      <w:pPr>
        <w:spacing w:after="140"/>
      </w:pPr>
      <w:r>
        <w:rPr>
          <w:rFonts w:ascii="Calibri" w:cs="Calibri" w:eastAsia="Calibri" w:hAnsi="Calibri"/>
          <w:color w:val="262626"/>
          <w:sz w:val="22"/>
          <w:szCs w:val="22"/>
        </w:rPr>
        <w:t xml:space="preserve">1. Resumen Ejecutivo</w:t>
      </w:r>
    </w:p>
    <w:p>
      <w:pPr>
        <w:spacing w:after="140"/>
      </w:pPr>
      <w:r>
        <w:rPr>
          <w:rFonts w:ascii="Calibri" w:cs="Calibri" w:eastAsia="Calibri" w:hAnsi="Calibri"/>
          <w:color w:val="262626"/>
          <w:sz w:val="22"/>
          <w:szCs w:val="22"/>
        </w:rPr>
        <w:t xml:space="preserve">2. Situación Actual</w:t>
      </w:r>
    </w:p>
    <w:p>
      <w:pPr>
        <w:spacing w:after="140"/>
      </w:pPr>
      <w:r>
        <w:rPr>
          <w:rFonts w:ascii="Calibri" w:cs="Calibri" w:eastAsia="Calibri" w:hAnsi="Calibri"/>
          <w:color w:val="262626"/>
          <w:sz w:val="22"/>
          <w:szCs w:val="22"/>
        </w:rPr>
        <w:t xml:space="preserve">3. Objetivo</w:t>
      </w:r>
    </w:p>
    <w:p>
      <w:pPr>
        <w:spacing w:after="140"/>
      </w:pPr>
      <w:r>
        <w:rPr>
          <w:rFonts w:ascii="Calibri" w:cs="Calibri" w:eastAsia="Calibri" w:hAnsi="Calibri"/>
          <w:color w:val="262626"/>
          <w:sz w:val="22"/>
          <w:szCs w:val="22"/>
        </w:rPr>
        <w:t xml:space="preserve">4. Arquitectura Propuesta</w:t>
      </w:r>
    </w:p>
    <w:p>
      <w:pPr>
        <w:spacing w:after="140"/>
      </w:pPr>
      <w:r>
        <w:rPr>
          <w:rFonts w:ascii="Calibri" w:cs="Calibri" w:eastAsia="Calibri" w:hAnsi="Calibri"/>
          <w:color w:val="262626"/>
          <w:sz w:val="22"/>
          <w:szCs w:val="22"/>
        </w:rPr>
        <w:t xml:space="preserve">5. Requerimientos Técnicos</w:t>
      </w:r>
    </w:p>
    <w:p>
      <w:pPr>
        <w:spacing w:after="140"/>
      </w:pPr>
      <w:r>
        <w:rPr>
          <w:rFonts w:ascii="Calibri" w:cs="Calibri" w:eastAsia="Calibri" w:hAnsi="Calibri"/>
          <w:color w:val="262626"/>
          <w:sz w:val="22"/>
          <w:szCs w:val="22"/>
        </w:rPr>
        <w:t xml:space="preserve">6. Requerimientos Humanos (Equipo del Proyecto)</w:t>
      </w:r>
    </w:p>
    <w:p>
      <w:pPr>
        <w:spacing w:after="140"/>
      </w:pPr>
      <w:r>
        <w:rPr>
          <w:rFonts w:ascii="Calibri" w:cs="Calibri" w:eastAsia="Calibri" w:hAnsi="Calibri"/>
          <w:color w:val="262626"/>
          <w:sz w:val="22"/>
          <w:szCs w:val="22"/>
        </w:rPr>
        <w:t xml:space="preserve">7. Alcance</w:t>
      </w:r>
    </w:p>
    <w:p>
      <w:pPr>
        <w:spacing w:after="140"/>
      </w:pPr>
      <w:r>
        <w:rPr>
          <w:rFonts w:ascii="Calibri" w:cs="Calibri" w:eastAsia="Calibri" w:hAnsi="Calibri"/>
          <w:color w:val="262626"/>
          <w:sz w:val="22"/>
          <w:szCs w:val="22"/>
        </w:rPr>
        <w:t xml:space="preserve">8. Fuera de Alcance</w:t>
      </w:r>
    </w:p>
    <w:p>
      <w:pPr>
        <w:spacing w:after="140"/>
      </w:pPr>
      <w:r>
        <w:rPr>
          <w:rFonts w:ascii="Calibri" w:cs="Calibri" w:eastAsia="Calibri" w:hAnsi="Calibri"/>
          <w:color w:val="262626"/>
          <w:sz w:val="22"/>
          <w:szCs w:val="22"/>
        </w:rPr>
        <w:t xml:space="preserve">9. Estrategia de Migración</w:t>
      </w:r>
    </w:p>
    <w:p>
      <w:pPr>
        <w:spacing w:after="140"/>
      </w:pPr>
      <w:r>
        <w:rPr>
          <w:rFonts w:ascii="Calibri" w:cs="Calibri" w:eastAsia="Calibri" w:hAnsi="Calibri"/>
          <w:color w:val="262626"/>
          <w:sz w:val="22"/>
          <w:szCs w:val="22"/>
        </w:rPr>
        <w:t xml:space="preserve">10. Fases y Tiempos de Ejecución</w:t>
      </w:r>
    </w:p>
    <w:p>
      <w:pPr>
        <w:spacing w:after="140"/>
      </w:pPr>
      <w:r>
        <w:rPr>
          <w:rFonts w:ascii="Calibri" w:cs="Calibri" w:eastAsia="Calibri" w:hAnsi="Calibri"/>
          <w:color w:val="262626"/>
          <w:sz w:val="22"/>
          <w:szCs w:val="22"/>
        </w:rPr>
        <w:t xml:space="preserve">11. Supuestos</w:t>
      </w:r>
    </w:p>
    <w:p>
      <w:pPr>
        <w:spacing w:after="140"/>
      </w:pPr>
      <w:r>
        <w:rPr>
          <w:rFonts w:ascii="Calibri" w:cs="Calibri" w:eastAsia="Calibri" w:hAnsi="Calibri"/>
          <w:color w:val="262626"/>
          <w:sz w:val="22"/>
          <w:szCs w:val="22"/>
        </w:rPr>
        <w:t xml:space="preserve">12. Riesgos y Consideraciones de Seguridad</w:t>
      </w:r>
    </w:p>
    <w:p>
      <w:pPr>
        <w:spacing w:after="140"/>
      </w:pPr>
      <w:r>
        <w:rPr>
          <w:rFonts w:ascii="Calibri" w:cs="Calibri" w:eastAsia="Calibri" w:hAnsi="Calibri"/>
          <w:color w:val="262626"/>
          <w:sz w:val="22"/>
          <w:szCs w:val="22"/>
        </w:rPr>
        <w:t xml:space="preserve">13. Calculadora Azure (Dimensionamiento y Costos)</w:t>
      </w:r>
    </w:p>
    <w:p>
      <w:pPr>
        <w:spacing w:after="140"/>
      </w:pPr>
      <w:r>
        <w:rPr>
          <w:rFonts w:ascii="Calibri" w:cs="Calibri" w:eastAsia="Calibri" w:hAnsi="Calibri"/>
          <w:color w:val="262626"/>
          <w:sz w:val="22"/>
          <w:szCs w:val="22"/>
        </w:rPr>
        <w:t xml:space="preserve">14. Consideraciones Adicionales para la Implementación</w:t>
      </w:r>
    </w:p>
    <w:p>
      <w:pPr>
        <w:spacing w:after="140"/>
      </w:pPr>
      <w:r>
        <w:rPr>
          <w:rFonts w:ascii="Calibri" w:cs="Calibri" w:eastAsia="Calibri" w:hAnsi="Calibri"/>
          <w:color w:val="262626"/>
          <w:sz w:val="22"/>
          <w:szCs w:val="22"/>
        </w:rPr>
        <w:t xml:space="preserve">15. Entregables</w:t>
      </w:r>
    </w:p>
    <w:p>
      <w:r>
        <w:br w:type="page"/>
      </w:r>
    </w:p>
    <w:p>
      <w:pPr>
        <w:pStyle w:val="Heading1"/>
        <w:pBdr>
          <w:bottom w:val="single" w:color="2E5395" w:sz="6" w:space="4"/>
        </w:pBdr>
        <w:spacing w:after="180" w:before="400"/>
      </w:pPr>
      <w:r>
        <w:rPr>
          <w:rFonts w:ascii="Calibri" w:cs="Calibri" w:eastAsia="Calibri" w:hAnsi="Calibri"/>
          <w:b/>
          <w:bCs/>
          <w:color w:val="1F3864"/>
          <w:sz w:val="30"/>
          <w:szCs w:val="30"/>
        </w:rPr>
        <w:t xml:space="preserve">1. Resumen Ejecutivo</w:t>
      </w:r>
    </w:p>
    <w:p>
      <w:pPr>
        <w:spacing w:after="160" w:line="276"/>
      </w:pPr>
      <w:r>
        <w:rPr>
          <w:rFonts w:ascii="Calibri" w:cs="Calibri" w:eastAsia="Calibri" w:hAnsi="Calibri"/>
          <w:color w:val="262626"/>
          <w:sz w:val="21"/>
          <w:szCs w:val="21"/>
        </w:rPr>
        <w:t xml:space="preserve">El presente documento describe la propuesta de servicios para ejecutar la migración de Tenant a Tenant en Microsoft Azure de los ambientes productivo y de calidad (QAS) del cliente TotalTech. La solicitud tiene un carácter principalmente administrativo: trasladar el ambiente actual (Tenant 1) hacia un nuevo Tenant de destino (Tenant 2), preservando la operación de los aplicativos SAP, GRP, DMS y la base de datos Oracle que residen sobre la infraestructura IaaS actual.</w:t>
      </w:r>
    </w:p>
    <w:p>
      <w:pPr>
        <w:spacing w:after="160" w:line="276"/>
      </w:pPr>
      <w:r>
        <w:rPr>
          <w:rFonts w:ascii="Calibri" w:cs="Calibri" w:eastAsia="Calibri" w:hAnsi="Calibri"/>
          <w:color w:val="262626"/>
          <w:sz w:val="21"/>
          <w:szCs w:val="21"/>
        </w:rPr>
        <w:t xml:space="preserve">La estrategia recomendada se basa en un modelo de Backup &amp; Restore: se respaldan las máquinas virtuales y discos administrados en el Tenant origen, se transfieren los archivos resultantes al Tenant destino, y se reconstruyen los recursos de cómputo, almacenamiento y red en el nuevo entorno, validando la operación normal antes del corte productivo.</w:t>
      </w:r>
    </w:p>
    <w:p>
      <w:pPr>
        <w:spacing w:after="160" w:line="276"/>
      </w:pPr>
      <w:r>
        <w:rPr>
          <w:rFonts w:ascii="Calibri" w:cs="Calibri" w:eastAsia="Calibri" w:hAnsi="Calibri"/>
          <w:color w:val="262626"/>
          <w:sz w:val="21"/>
          <w:szCs w:val="21"/>
        </w:rPr>
        <w:t xml:space="preserve">Es importante señalar que Azure no permite un “movimiento” nativo de recursos entre Tenants (Azure AD) distintos —a diferencia de un movimiento entre suscripciones dentro del mismo Tenant—, por lo que toda migración Tenant a Tenant requiere necesariamente una copia de datos (backup/export + restore/import) y una reconfiguración de identidad, red y seguridad en el destino.</w:t>
      </w:r>
    </w:p>
    <w:p>
      <w:pPr>
        <w:spacing w:after="160" w:line="276"/>
      </w:pPr>
      <w:r>
        <w:rPr>
          <w:rFonts w:ascii="Calibri" w:cs="Calibri" w:eastAsia="Calibri" w:hAnsi="Calibri"/>
          <w:color w:val="262626"/>
          <w:sz w:val="21"/>
          <w:szCs w:val="21"/>
        </w:rPr>
        <w:t xml:space="preserve">Esta propuesta cubre: situación actual, objetivo, arquitectura, requerimientos técnicos y humanos, alcances y fuera de alcances, estrategia y fases de migración, tiempos estimados, supuestos, riesgos, y el detalle de dimensionamiento/costo obtenido de la calculadora de precios de Azure.</w:t>
      </w:r>
    </w:p>
    <w:p>
      <w:pPr>
        <w:pStyle w:val="Heading1"/>
        <w:pBdr>
          <w:bottom w:val="single" w:color="2E5395" w:sz="6" w:space="4"/>
        </w:pBdr>
        <w:spacing w:after="180" w:before="400"/>
      </w:pPr>
      <w:r>
        <w:rPr>
          <w:rFonts w:ascii="Calibri" w:cs="Calibri" w:eastAsia="Calibri" w:hAnsi="Calibri"/>
          <w:b/>
          <w:bCs/>
          <w:color w:val="1F3864"/>
          <w:sz w:val="30"/>
          <w:szCs w:val="30"/>
        </w:rPr>
        <w:t xml:space="preserve">2. Situación Actual</w:t>
      </w:r>
    </w:p>
    <w:p>
      <w:pPr>
        <w:spacing w:after="160" w:line="276"/>
      </w:pPr>
      <w:r>
        <w:rPr>
          <w:rFonts w:ascii="Calibri" w:cs="Calibri" w:eastAsia="Calibri" w:hAnsi="Calibri"/>
          <w:color w:val="262626"/>
          <w:sz w:val="21"/>
          <w:szCs w:val="21"/>
        </w:rPr>
        <w:t xml:space="preserve">TotalTech opera actualmente un ambiente de infraestructura en Microsoft Azure bajo un único Tenant y suscripción (“Tenant 1”), en la región South Central US, bajo el modelo de facturación Pay-As-You-Go (PAYG). De acuerdo con el inventario levantado en la calculadora de Azure anexa, el ambiente aloja:</w:t>
      </w:r>
    </w:p>
    <w:p>
      <w:pPr>
        <w:pStyle w:val="ListParagraph"/>
        <w:numPr>
          <w:ilvl w:val="0"/>
          <w:numId w:val="2"/>
        </w:numPr>
        <w:spacing w:after="80"/>
      </w:pPr>
      <w:r>
        <w:rPr>
          <w:rFonts w:ascii="Calibri" w:cs="Calibri" w:eastAsia="Calibri" w:hAnsi="Calibri"/>
          <w:color w:val="262626"/>
          <w:sz w:val="21"/>
          <w:szCs w:val="21"/>
        </w:rPr>
        <w:t xml:space="preserve">9 máquinas virtuales (IaaS) que soportan los aplicativos Oracle DB, DMS, GRP y SAP ECC, en ambientes de Producción y QAS.</w:t>
      </w:r>
    </w:p>
    <w:p>
      <w:pPr>
        <w:pStyle w:val="ListParagraph"/>
        <w:numPr>
          <w:ilvl w:val="0"/>
          <w:numId w:val="2"/>
        </w:numPr>
        <w:spacing w:after="80"/>
      </w:pPr>
      <w:r>
        <w:rPr>
          <w:rFonts w:ascii="Calibri" w:cs="Calibri" w:eastAsia="Calibri" w:hAnsi="Calibri"/>
          <w:color w:val="262626"/>
          <w:sz w:val="21"/>
          <w:szCs w:val="21"/>
        </w:rPr>
        <w:t xml:space="preserve">18 discos administrados (Managed Disks), en combinación de SSD Estándar y SSD Premium, usados como discos de sistema operativo y de datos.</w:t>
      </w:r>
    </w:p>
    <w:p>
      <w:pPr>
        <w:pStyle w:val="ListParagraph"/>
        <w:numPr>
          <w:ilvl w:val="0"/>
          <w:numId w:val="2"/>
        </w:numPr>
        <w:spacing w:after="80"/>
      </w:pPr>
      <w:r>
        <w:rPr>
          <w:rFonts w:ascii="Calibri" w:cs="Calibri" w:eastAsia="Calibri" w:hAnsi="Calibri"/>
          <w:color w:val="262626"/>
          <w:sz w:val="21"/>
          <w:szCs w:val="21"/>
        </w:rPr>
        <w:t xml:space="preserve">Direccionamiento IP privado estático (10 IPs) sobre una red virtual básica (ARM).</w:t>
      </w:r>
    </w:p>
    <w:p>
      <w:pPr>
        <w:pStyle w:val="ListParagraph"/>
        <w:numPr>
          <w:ilvl w:val="0"/>
          <w:numId w:val="2"/>
        </w:numPr>
        <w:spacing w:after="80"/>
      </w:pPr>
      <w:r>
        <w:rPr>
          <w:rFonts w:ascii="Calibri" w:cs="Calibri" w:eastAsia="Calibri" w:hAnsi="Calibri"/>
          <w:color w:val="262626"/>
          <w:sz w:val="21"/>
          <w:szCs w:val="21"/>
        </w:rPr>
        <w:t xml:space="preserve">Un único Billing Account / Billing Profile y modelo de soporte asociados al Tenant actual.</w:t>
      </w:r>
    </w:p>
    <w:p>
      <w:pPr>
        <w:spacing w:after="160" w:line="276"/>
      </w:pPr>
      <w:r>
        <w:rPr>
          <w:rFonts w:ascii="Calibri" w:cs="Calibri" w:eastAsia="Calibri" w:hAnsi="Calibri"/>
          <w:color w:val="262626"/>
          <w:sz w:val="21"/>
          <w:szCs w:val="21"/>
        </w:rPr>
        <w:t xml:space="preserve">El costo mensual estimado del ambiente actual, de acuerdo con la calculadora de precios de Azure, asciende a USD $3,625.58 (detalle completo en la sección 12 – Calculadora Azure).</w:t>
      </w:r>
    </w:p>
    <w:p>
      <w:pPr>
        <w:spacing w:after="160" w:line="276"/>
      </w:pPr>
      <w:r>
        <w:rPr>
          <w:rFonts w:ascii="Calibri" w:cs="Calibri" w:eastAsia="Calibri" w:hAnsi="Calibri"/>
          <w:color w:val="262626"/>
          <w:sz w:val="21"/>
          <w:szCs w:val="21"/>
        </w:rPr>
        <w:t xml:space="preserve">El cliente requiere trasladar este ambiente a un nuevo Tenant (“Tenant 2”) por motivos administrativos/corporativos, manteniendo la continuidad operativa de los aplicativos de negocio y minimizando el tiempo de indisponibilidad (downtime).</w:t>
      </w:r>
    </w:p>
    <w:p>
      <w:pPr>
        <w:pStyle w:val="Heading1"/>
        <w:pBdr>
          <w:bottom w:val="single" w:color="2E5395" w:sz="6" w:space="4"/>
        </w:pBdr>
        <w:spacing w:after="180" w:before="400"/>
      </w:pPr>
      <w:r>
        <w:rPr>
          <w:rFonts w:ascii="Calibri" w:cs="Calibri" w:eastAsia="Calibri" w:hAnsi="Calibri"/>
          <w:b/>
          <w:bCs/>
          <w:color w:val="1F3864"/>
          <w:sz w:val="30"/>
          <w:szCs w:val="30"/>
        </w:rPr>
        <w:t xml:space="preserve">3. Objetivo</w:t>
      </w:r>
    </w:p>
    <w:p>
      <w:pPr>
        <w:spacing w:after="160" w:line="276"/>
      </w:pPr>
      <w:r>
        <w:rPr>
          <w:rFonts w:ascii="Calibri" w:cs="Calibri" w:eastAsia="Calibri" w:hAnsi="Calibri"/>
          <w:color w:val="262626"/>
          <w:sz w:val="21"/>
          <w:szCs w:val="21"/>
        </w:rPr>
        <w:t xml:space="preserve">Diseñar y ejecutar un plan de migración Tenant a Tenant en Microsoft Azure que permita:</w:t>
      </w:r>
    </w:p>
    <w:p>
      <w:pPr>
        <w:pStyle w:val="ListParagraph"/>
        <w:numPr>
          <w:ilvl w:val="0"/>
          <w:numId w:val="3"/>
        </w:numPr>
        <w:spacing w:after="80"/>
      </w:pPr>
      <w:r>
        <w:rPr>
          <w:rFonts w:ascii="Calibri" w:cs="Calibri" w:eastAsia="Calibri" w:hAnsi="Calibri"/>
          <w:color w:val="262626"/>
          <w:sz w:val="21"/>
          <w:szCs w:val="21"/>
        </w:rPr>
        <w:t xml:space="preserve">Respaldar (backup) las máquinas virtuales, discos administrados y configuración de red del Tenant 1.</w:t>
      </w:r>
    </w:p>
    <w:p>
      <w:pPr>
        <w:pStyle w:val="ListParagraph"/>
        <w:numPr>
          <w:ilvl w:val="0"/>
          <w:numId w:val="3"/>
        </w:numPr>
        <w:spacing w:after="80"/>
      </w:pPr>
      <w:r>
        <w:rPr>
          <w:rFonts w:ascii="Calibri" w:cs="Calibri" w:eastAsia="Calibri" w:hAnsi="Calibri"/>
          <w:color w:val="262626"/>
          <w:sz w:val="21"/>
          <w:szCs w:val="21"/>
        </w:rPr>
        <w:t xml:space="preserve">Transferir de forma segura los archivos de respaldo resultantes hacia el Tenant 2.</w:t>
      </w:r>
    </w:p>
    <w:p>
      <w:pPr>
        <w:pStyle w:val="ListParagraph"/>
        <w:numPr>
          <w:ilvl w:val="0"/>
          <w:numId w:val="3"/>
        </w:numPr>
        <w:spacing w:after="80"/>
      </w:pPr>
      <w:r>
        <w:rPr>
          <w:rFonts w:ascii="Calibri" w:cs="Calibri" w:eastAsia="Calibri" w:hAnsi="Calibri"/>
          <w:color w:val="262626"/>
          <w:sz w:val="21"/>
          <w:szCs w:val="21"/>
        </w:rPr>
        <w:t xml:space="preserve">Restaurar y reconstruir los recursos de cómputo, almacenamiento y red en el Tenant 2, ajustando reglas de seguridad (NSG), sincronización de identidades (Azure AD) y conectividad requeridas.</w:t>
      </w:r>
    </w:p>
    <w:p>
      <w:pPr>
        <w:pStyle w:val="ListParagraph"/>
        <w:numPr>
          <w:ilvl w:val="0"/>
          <w:numId w:val="3"/>
        </w:numPr>
        <w:spacing w:after="80"/>
      </w:pPr>
      <w:r>
        <w:rPr>
          <w:rFonts w:ascii="Calibri" w:cs="Calibri" w:eastAsia="Calibri" w:hAnsi="Calibri"/>
          <w:color w:val="262626"/>
          <w:sz w:val="21"/>
          <w:szCs w:val="21"/>
        </w:rPr>
        <w:t xml:space="preserve">Garantizar que los aplicativos (Oracle DB, DMS, GRP, SAP ECC) inicien y operen con normalidad en el nuevo Tenant, con el mínimo impacto posible al negocio.</w:t>
      </w:r>
    </w:p>
    <w:p>
      <w:pPr>
        <w:pStyle w:val="ListParagraph"/>
        <w:numPr>
          <w:ilvl w:val="0"/>
          <w:numId w:val="3"/>
        </w:numPr>
        <w:spacing w:after="80"/>
      </w:pPr>
      <w:r>
        <w:rPr>
          <w:rFonts w:ascii="Calibri" w:cs="Calibri" w:eastAsia="Calibri" w:hAnsi="Calibri"/>
          <w:color w:val="262626"/>
          <w:sz w:val="21"/>
          <w:szCs w:val="21"/>
        </w:rPr>
        <w:t xml:space="preserve">Entregar documentación técnica y administrativa del nuevo ambiente, así como un plan de rollback ante contingencias.</w:t>
      </w:r>
    </w:p>
    <w:p>
      <w:pPr>
        <w:pStyle w:val="Heading1"/>
        <w:pBdr>
          <w:bottom w:val="single" w:color="2E5395" w:sz="6" w:space="4"/>
        </w:pBdr>
        <w:spacing w:after="180" w:before="400"/>
      </w:pPr>
      <w:r>
        <w:rPr>
          <w:rFonts w:ascii="Calibri" w:cs="Calibri" w:eastAsia="Calibri" w:hAnsi="Calibri"/>
          <w:b/>
          <w:bCs/>
          <w:color w:val="1F3864"/>
          <w:sz w:val="30"/>
          <w:szCs w:val="30"/>
        </w:rPr>
        <w:t xml:space="preserve">4. Arquitectura Propuesta</w:t>
      </w:r>
    </w:p>
    <w:p>
      <w:pPr>
        <w:spacing w:after="160" w:line="276"/>
      </w:pPr>
      <w:r>
        <w:rPr>
          <w:rFonts w:ascii="Calibri" w:cs="Calibri" w:eastAsia="Calibri" w:hAnsi="Calibri"/>
          <w:color w:val="262626"/>
          <w:sz w:val="21"/>
          <w:szCs w:val="21"/>
        </w:rPr>
        <w:t xml:space="preserve">La arquitectura propuesta contempla dos ambientes en paralelo durante la ventana de migración: el Tenant 1 (origen), que permanece operativo hasta el corte, y el Tenant 2 (destino), preparado previamente para recibir los recursos restaurados. El flujo general de la solución es el siguiente:</w:t>
      </w:r>
    </w:p>
    <w:p>
      <w:pPr>
        <w:pStyle w:val="ListParagraph"/>
        <w:numPr>
          <w:ilvl w:val="0"/>
          <w:numId w:val="3"/>
        </w:numPr>
        <w:spacing w:after="80"/>
      </w:pPr>
      <w:r>
        <w:rPr>
          <w:rFonts w:ascii="Calibri" w:cs="Calibri" w:eastAsia="Calibri" w:hAnsi="Calibri"/>
          <w:color w:val="262626"/>
          <w:sz w:val="21"/>
          <w:szCs w:val="21"/>
        </w:rPr>
        <w:t xml:space="preserve">Backup en origen: snapshot/backup de cada VM y sus discos administrados (sistema operativo y datos) en el Tenant 1.</w:t>
      </w:r>
    </w:p>
    <w:p>
      <w:pPr>
        <w:pStyle w:val="ListParagraph"/>
        <w:numPr>
          <w:ilvl w:val="0"/>
          <w:numId w:val="3"/>
        </w:numPr>
        <w:spacing w:after="80"/>
      </w:pPr>
      <w:r>
        <w:rPr>
          <w:rFonts w:ascii="Calibri" w:cs="Calibri" w:eastAsia="Calibri" w:hAnsi="Calibri"/>
          <w:color w:val="262626"/>
          <w:sz w:val="21"/>
          <w:szCs w:val="21"/>
        </w:rPr>
        <w:t xml:space="preserve">Exportación a Storage Account: los discos se exportan como Page Blobs (VHD) hacia una cuenta de almacenamiento intermedia en el Tenant 1, generando una URL con SAS token de acceso restringido y con expiración controlada.</w:t>
      </w:r>
    </w:p>
    <w:p>
      <w:pPr>
        <w:pStyle w:val="ListParagraph"/>
        <w:numPr>
          <w:ilvl w:val="0"/>
          <w:numId w:val="3"/>
        </w:numPr>
        <w:spacing w:after="80"/>
      </w:pPr>
      <w:r>
        <w:rPr>
          <w:rFonts w:ascii="Calibri" w:cs="Calibri" w:eastAsia="Calibri" w:hAnsi="Calibri"/>
          <w:color w:val="262626"/>
          <w:sz w:val="21"/>
          <w:szCs w:val="21"/>
        </w:rPr>
        <w:t xml:space="preserve">Transferencia entre Tenants: copia de los archivos VHD desde la cuenta de almacenamiento del Tenant 1 hacia una cuenta de almacenamiento del Tenant 2, utilizando herramientas como AzCopy sobre los SAS tokens (sin exponer credenciales administrativas entre Tenants).</w:t>
      </w:r>
    </w:p>
    <w:p>
      <w:pPr>
        <w:pStyle w:val="ListParagraph"/>
        <w:numPr>
          <w:ilvl w:val="0"/>
          <w:numId w:val="3"/>
        </w:numPr>
        <w:spacing w:after="80"/>
      </w:pPr>
      <w:r>
        <w:rPr>
          <w:rFonts w:ascii="Calibri" w:cs="Calibri" w:eastAsia="Calibri" w:hAnsi="Calibri"/>
          <w:color w:val="262626"/>
          <w:sz w:val="21"/>
          <w:szCs w:val="21"/>
        </w:rPr>
        <w:t xml:space="preserve">Restauración en destino: creación de Managed Disks en el Tenant 2 a partir de los VHD recibidos, y aprovisionamiento de las VMs asociando dichos discos, en la VNet/Subnet correspondiente.</w:t>
      </w:r>
    </w:p>
    <w:p>
      <w:pPr>
        <w:pStyle w:val="ListParagraph"/>
        <w:numPr>
          <w:ilvl w:val="0"/>
          <w:numId w:val="3"/>
        </w:numPr>
        <w:spacing w:after="80"/>
      </w:pPr>
      <w:r>
        <w:rPr>
          <w:rFonts w:ascii="Calibri" w:cs="Calibri" w:eastAsia="Calibri" w:hAnsi="Calibri"/>
          <w:color w:val="262626"/>
          <w:sz w:val="21"/>
          <w:szCs w:val="21"/>
        </w:rPr>
        <w:t xml:space="preserve">Red y seguridad: creación/validación de VNets, Subnets, NSGs, IPs privadas y reglas de firewall en el Tenant 2, replicando (o mejorando) el modelo de seguridad del Tenant 1.</w:t>
      </w:r>
    </w:p>
    <w:p>
      <w:pPr>
        <w:pStyle w:val="ListParagraph"/>
        <w:numPr>
          <w:ilvl w:val="0"/>
          <w:numId w:val="3"/>
        </w:numPr>
        <w:spacing w:after="80"/>
      </w:pPr>
      <w:r>
        <w:rPr>
          <w:rFonts w:ascii="Calibri" w:cs="Calibri" w:eastAsia="Calibri" w:hAnsi="Calibri"/>
          <w:color w:val="262626"/>
          <w:sz w:val="21"/>
          <w:szCs w:val="21"/>
        </w:rPr>
        <w:t xml:space="preserve">Identidad: validación de autenticación de las VMs unidas a dominio (si aplica), sincronización o recreación de cuentas de servicio, y ajuste de Azure AD Connect si el destino usa un directorio distinto.</w:t>
      </w:r>
    </w:p>
    <w:p>
      <w:pPr>
        <w:pStyle w:val="ListParagraph"/>
        <w:numPr>
          <w:ilvl w:val="0"/>
          <w:numId w:val="3"/>
        </w:numPr>
        <w:spacing w:after="80"/>
      </w:pPr>
      <w:r>
        <w:rPr>
          <w:rFonts w:ascii="Calibri" w:cs="Calibri" w:eastAsia="Calibri" w:hAnsi="Calibri"/>
          <w:color w:val="262626"/>
          <w:sz w:val="21"/>
          <w:szCs w:val="21"/>
        </w:rPr>
        <w:t xml:space="preserve">Validación funcional: arranque de las VMs en el Tenant 2 y pruebas funcionales de los aplicativos (Oracle DB, DMS, GRP, SAP ECC) antes del corte definitivo.</w:t>
      </w:r>
    </w:p>
    <w:p>
      <w:pPr>
        <w:pStyle w:val="ListParagraph"/>
        <w:numPr>
          <w:ilvl w:val="0"/>
          <w:numId w:val="3"/>
        </w:numPr>
        <w:spacing w:after="80"/>
      </w:pPr>
      <w:r>
        <w:rPr>
          <w:rFonts w:ascii="Calibri" w:cs="Calibri" w:eastAsia="Calibri" w:hAnsi="Calibri"/>
          <w:color w:val="262626"/>
          <w:sz w:val="21"/>
          <w:szCs w:val="21"/>
        </w:rPr>
        <w:t xml:space="preserve">Cutover: redirección de accesos (DNS, VPN/ExpressRoute, whitelists) hacia el Tenant 2 y desactivación controlada de los recursos del Tenant 1.</w:t>
      </w:r>
    </w:p>
    <w:p>
      <w:pPr>
        <w:spacing w:after="160" w:line="276"/>
      </w:pPr>
      <w:r>
        <w:rPr>
          <w:rFonts w:ascii="Calibri" w:cs="Calibri" w:eastAsia="Calibri" w:hAnsi="Calibri"/>
          <w:color w:val="262626"/>
          <w:sz w:val="21"/>
          <w:szCs w:val="21"/>
        </w:rPr>
        <w:t xml:space="preserve"/>
      </w:r>
    </w:p>
    <w:p>
      <w:pPr>
        <w:pStyle w:val="Heading2"/>
        <w:spacing w:after="120" w:before="260"/>
      </w:pPr>
      <w:r>
        <w:rPr>
          <w:rFonts w:ascii="Calibri" w:cs="Calibri" w:eastAsia="Calibri" w:hAnsi="Calibri"/>
          <w:b/>
          <w:bCs/>
          <w:color w:val="2E5395"/>
          <w:sz w:val="24"/>
          <w:szCs w:val="24"/>
        </w:rPr>
        <w:t xml:space="preserve">4.1 Componentes por Tenant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Componente</w:t>
            </w:r>
          </w:p>
        </w:tc>
        <w:tc>
          <w:tcPr>
            <w:tcW w:type="dxa" w:w="3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Tenant 1 (Origen)</w:t>
            </w:r>
          </w:p>
        </w:tc>
        <w:tc>
          <w:tcPr>
            <w:tcW w:type="dxa" w:w="3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Tenant 2 (Destino)</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Identidad</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Azure AD propio, cuentas y grupos actuales</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Azure AD propio o federado; recreación/migración de cuentas y grupos de servicio</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Suscripción</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Suscripción PAYG actual</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Nueva suscripción asociada al Tenant 2</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Red virtual (VNet)</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VNet/Subnets actuales, IPs privadas estáticas (10)</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Nueva VNet/Subnets espejo, re-direccionamiento IP si aplica</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Seguridad de red (NSG)</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Reglas NSG vigentes por VM/Subnet</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Reglas NSG replicadas y validadas (entrada/salida) en destino</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Cómputo (VMs)</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9 VMs: OracleDBsrv, TTechDMS-PRD/QAS, TTechGRP-PRD/QAS, TTechGRPPRD0922, TTechSAP-DMS, TTechSAP-ECC (x2)</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VMs reconstruidas con mismo sizing (o ajustado) a partir de discos restaurados</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18 Managed Disks (SSD Estándar / Premium)</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Managed Disks recreados desde VHD restaurado; mismo tipo/tier salvo optimización acordada</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Respaldo / transferencia</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Snapshot / Azure Backup / export a Storage Account (Page Blobs)</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Storage Account de recepción; import de VHD y creación de Managed Disks</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Aplicativos</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Oracle DB, DMS, GRP, SAP ECC operando sobre las VMs actuales</w:t>
            </w:r>
          </w:p>
        </w:tc>
        <w:tc>
          <w:tcPr>
            <w:tcW w:type="dxa" w:w="3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Mismos aplicativos, validados post-restore (conectividad, servicios, licenciamiento)</w:t>
            </w:r>
          </w:p>
        </w:tc>
      </w:tr>
    </w:tbl>
    <w:p>
      <w:pPr>
        <w:spacing w:before="200"/>
      </w:pPr>
    </w:p>
    <w:p>
      <w:pPr>
        <w:pStyle w:val="Heading1"/>
        <w:pBdr>
          <w:bottom w:val="single" w:color="2E5395" w:sz="6" w:space="4"/>
        </w:pBdr>
        <w:spacing w:after="180" w:before="400"/>
      </w:pPr>
      <w:r>
        <w:rPr>
          <w:rFonts w:ascii="Calibri" w:cs="Calibri" w:eastAsia="Calibri" w:hAnsi="Calibri"/>
          <w:b/>
          <w:bCs/>
          <w:color w:val="1F3864"/>
          <w:sz w:val="30"/>
          <w:szCs w:val="30"/>
        </w:rPr>
        <w:t xml:space="preserve">5. Requerimientos Técnicos</w:t>
      </w:r>
    </w:p>
    <w:p>
      <w:pPr>
        <w:pStyle w:val="Heading2"/>
        <w:spacing w:after="120" w:before="260"/>
      </w:pPr>
      <w:r>
        <w:rPr>
          <w:rFonts w:ascii="Calibri" w:cs="Calibri" w:eastAsia="Calibri" w:hAnsi="Calibri"/>
          <w:b/>
          <w:bCs/>
          <w:color w:val="2E5395"/>
          <w:sz w:val="24"/>
          <w:szCs w:val="24"/>
        </w:rPr>
        <w:t xml:space="preserve">5.1 Accesos y permisos</w:t>
      </w:r>
    </w:p>
    <w:p>
      <w:pPr>
        <w:pStyle w:val="ListParagraph"/>
        <w:numPr>
          <w:ilvl w:val="0"/>
          <w:numId w:val="2"/>
        </w:numPr>
        <w:spacing w:after="80"/>
      </w:pPr>
      <w:r>
        <w:rPr>
          <w:rFonts w:ascii="Calibri" w:cs="Calibri" w:eastAsia="Calibri" w:hAnsi="Calibri"/>
          <w:color w:val="262626"/>
          <w:sz w:val="21"/>
          <w:szCs w:val="21"/>
        </w:rPr>
        <w:t xml:space="preserve">Rol de Owner/Contributor sobre la suscripción del Tenant 1 y del Tenant 2.</w:t>
      </w:r>
    </w:p>
    <w:p>
      <w:pPr>
        <w:pStyle w:val="ListParagraph"/>
        <w:numPr>
          <w:ilvl w:val="0"/>
          <w:numId w:val="2"/>
        </w:numPr>
        <w:spacing w:after="80"/>
      </w:pPr>
      <w:r>
        <w:rPr>
          <w:rFonts w:ascii="Calibri" w:cs="Calibri" w:eastAsia="Calibri" w:hAnsi="Calibri"/>
          <w:color w:val="262626"/>
          <w:sz w:val="21"/>
          <w:szCs w:val="21"/>
        </w:rPr>
        <w:t xml:space="preserve">Acceso de Global Administrator (o rol delegado) en Azure AD de ambos Tenants para la gestión de identidades.</w:t>
      </w:r>
    </w:p>
    <w:p>
      <w:pPr>
        <w:pStyle w:val="ListParagraph"/>
        <w:numPr>
          <w:ilvl w:val="0"/>
          <w:numId w:val="2"/>
        </w:numPr>
        <w:spacing w:after="80"/>
      </w:pPr>
      <w:r>
        <w:rPr>
          <w:rFonts w:ascii="Calibri" w:cs="Calibri" w:eastAsia="Calibri" w:hAnsi="Calibri"/>
          <w:color w:val="262626"/>
          <w:sz w:val="21"/>
          <w:szCs w:val="21"/>
        </w:rPr>
        <w:t xml:space="preserve">Acceso a la configuración de red (VNet, NSG, ExpressRoute/VPN, DNS) en ambos Tenants.</w:t>
      </w:r>
    </w:p>
    <w:p>
      <w:pPr>
        <w:pStyle w:val="Heading2"/>
        <w:spacing w:after="120" w:before="260"/>
      </w:pPr>
      <w:r>
        <w:rPr>
          <w:rFonts w:ascii="Calibri" w:cs="Calibri" w:eastAsia="Calibri" w:hAnsi="Calibri"/>
          <w:b/>
          <w:bCs/>
          <w:color w:val="2E5395"/>
          <w:sz w:val="24"/>
          <w:szCs w:val="24"/>
        </w:rPr>
        <w:t xml:space="preserve">5.2 Componentes de infraestructura destino</w:t>
      </w:r>
    </w:p>
    <w:p>
      <w:pPr>
        <w:pStyle w:val="ListParagraph"/>
        <w:numPr>
          <w:ilvl w:val="0"/>
          <w:numId w:val="2"/>
        </w:numPr>
        <w:spacing w:after="80"/>
      </w:pPr>
      <w:r>
        <w:rPr>
          <w:rFonts w:ascii="Calibri" w:cs="Calibri" w:eastAsia="Calibri" w:hAnsi="Calibri"/>
          <w:color w:val="262626"/>
          <w:sz w:val="21"/>
          <w:szCs w:val="21"/>
        </w:rPr>
        <w:t xml:space="preserve">Suscripción activa en el Tenant 2, con quota suficiente de cómputo (vCPUs) y almacenamiento equivalente al ambiente actual.</w:t>
      </w:r>
    </w:p>
    <w:p>
      <w:pPr>
        <w:pStyle w:val="ListParagraph"/>
        <w:numPr>
          <w:ilvl w:val="0"/>
          <w:numId w:val="2"/>
        </w:numPr>
        <w:spacing w:after="80"/>
      </w:pPr>
      <w:r>
        <w:rPr>
          <w:rFonts w:ascii="Calibri" w:cs="Calibri" w:eastAsia="Calibri" w:hAnsi="Calibri"/>
          <w:color w:val="262626"/>
          <w:sz w:val="21"/>
          <w:szCs w:val="21"/>
        </w:rPr>
        <w:t xml:space="preserve">VNets y Subnets diseñadas en el Tenant 2 (mismo esquema de direccionamiento o esquema nuevo, según disponibilidad).</w:t>
      </w:r>
    </w:p>
    <w:p>
      <w:pPr>
        <w:pStyle w:val="ListParagraph"/>
        <w:numPr>
          <w:ilvl w:val="0"/>
          <w:numId w:val="2"/>
        </w:numPr>
        <w:spacing w:after="80"/>
      </w:pPr>
      <w:r>
        <w:rPr>
          <w:rFonts w:ascii="Calibri" w:cs="Calibri" w:eastAsia="Calibri" w:hAnsi="Calibri"/>
          <w:color w:val="262626"/>
          <w:sz w:val="21"/>
          <w:szCs w:val="21"/>
        </w:rPr>
        <w:t xml:space="preserve">Storage Accounts intermedias en origen y destino para el tránsito de los archivos VHD.</w:t>
      </w:r>
    </w:p>
    <w:p>
      <w:pPr>
        <w:pStyle w:val="ListParagraph"/>
        <w:numPr>
          <w:ilvl w:val="0"/>
          <w:numId w:val="2"/>
        </w:numPr>
        <w:spacing w:after="80"/>
      </w:pPr>
      <w:r>
        <w:rPr>
          <w:rFonts w:ascii="Calibri" w:cs="Calibri" w:eastAsia="Calibri" w:hAnsi="Calibri"/>
          <w:color w:val="262626"/>
          <w:sz w:val="21"/>
          <w:szCs w:val="21"/>
        </w:rPr>
        <w:t xml:space="preserve">Recovery Services Vault (Azure Backup) o mecanismo equivalente de snapshot en el Tenant 1.</w:t>
      </w:r>
    </w:p>
    <w:p>
      <w:pPr>
        <w:pStyle w:val="Heading2"/>
        <w:spacing w:after="120" w:before="260"/>
      </w:pPr>
      <w:r>
        <w:rPr>
          <w:rFonts w:ascii="Calibri" w:cs="Calibri" w:eastAsia="Calibri" w:hAnsi="Calibri"/>
          <w:b/>
          <w:bCs/>
          <w:color w:val="2E5395"/>
          <w:sz w:val="24"/>
          <w:szCs w:val="24"/>
        </w:rPr>
        <w:t xml:space="preserve">5.3 Seguridad y conectividad</w:t>
      </w:r>
    </w:p>
    <w:p>
      <w:pPr>
        <w:pStyle w:val="ListParagraph"/>
        <w:numPr>
          <w:ilvl w:val="0"/>
          <w:numId w:val="2"/>
        </w:numPr>
        <w:spacing w:after="80"/>
      </w:pPr>
      <w:r>
        <w:rPr>
          <w:rFonts w:ascii="Calibri" w:cs="Calibri" w:eastAsia="Calibri" w:hAnsi="Calibri"/>
          <w:color w:val="262626"/>
          <w:sz w:val="21"/>
          <w:szCs w:val="21"/>
        </w:rPr>
        <w:t xml:space="preserve">Definición y documentación de reglas NSG (entrada/salida) requeridas por cada aplicativo (SAP, GRP, DMS, Oracle).</w:t>
      </w:r>
    </w:p>
    <w:p>
      <w:pPr>
        <w:pStyle w:val="ListParagraph"/>
        <w:numPr>
          <w:ilvl w:val="0"/>
          <w:numId w:val="2"/>
        </w:numPr>
        <w:spacing w:after="80"/>
      </w:pPr>
      <w:r>
        <w:rPr>
          <w:rFonts w:ascii="Calibri" w:cs="Calibri" w:eastAsia="Calibri" w:hAnsi="Calibri"/>
          <w:color w:val="262626"/>
          <w:sz w:val="21"/>
          <w:szCs w:val="21"/>
        </w:rPr>
        <w:t xml:space="preserve">Revisión de conectividad on-premises ↔ Azure (VPN Site-to-Site o ExpressRoute) hacia el nuevo Tenant, si aplica.</w:t>
      </w:r>
    </w:p>
    <w:p>
      <w:pPr>
        <w:pStyle w:val="ListParagraph"/>
        <w:numPr>
          <w:ilvl w:val="0"/>
          <w:numId w:val="2"/>
        </w:numPr>
        <w:spacing w:after="80"/>
      </w:pPr>
      <w:r>
        <w:rPr>
          <w:rFonts w:ascii="Calibri" w:cs="Calibri" w:eastAsia="Calibri" w:hAnsi="Calibri"/>
          <w:color w:val="262626"/>
          <w:sz w:val="21"/>
          <w:szCs w:val="21"/>
        </w:rPr>
        <w:t xml:space="preserve">Certificados, llaves de cifrado (Key Vault) y secretos utilizados por las VMs, a recrear o migrar en el Tenant 2.</w:t>
      </w:r>
    </w:p>
    <w:p>
      <w:pPr>
        <w:pStyle w:val="ListParagraph"/>
        <w:numPr>
          <w:ilvl w:val="0"/>
          <w:numId w:val="2"/>
        </w:numPr>
        <w:spacing w:after="80"/>
      </w:pPr>
      <w:r>
        <w:rPr>
          <w:rFonts w:ascii="Calibri" w:cs="Calibri" w:eastAsia="Calibri" w:hAnsi="Calibri"/>
          <w:color w:val="262626"/>
          <w:sz w:val="21"/>
          <w:szCs w:val="21"/>
        </w:rPr>
        <w:t xml:space="preserve">Reglas de firewall externo / whitelists de direcciones IP que deban actualizarse por el cambio de Tenant.</w:t>
      </w:r>
    </w:p>
    <w:p>
      <w:pPr>
        <w:pStyle w:val="Heading2"/>
        <w:spacing w:after="120" w:before="260"/>
      </w:pPr>
      <w:r>
        <w:rPr>
          <w:rFonts w:ascii="Calibri" w:cs="Calibri" w:eastAsia="Calibri" w:hAnsi="Calibri"/>
          <w:b/>
          <w:bCs/>
          <w:color w:val="2E5395"/>
          <w:sz w:val="24"/>
          <w:szCs w:val="24"/>
        </w:rPr>
        <w:t xml:space="preserve">5.4 Identidad y sincronización de AD</w:t>
      </w:r>
    </w:p>
    <w:p>
      <w:pPr>
        <w:pStyle w:val="ListParagraph"/>
        <w:numPr>
          <w:ilvl w:val="0"/>
          <w:numId w:val="2"/>
        </w:numPr>
        <w:spacing w:after="80"/>
      </w:pPr>
      <w:r>
        <w:rPr>
          <w:rFonts w:ascii="Calibri" w:cs="Calibri" w:eastAsia="Calibri" w:hAnsi="Calibri"/>
          <w:color w:val="262626"/>
          <w:sz w:val="21"/>
          <w:szCs w:val="21"/>
        </w:rPr>
        <w:t xml:space="preserve">Definición si el Tenant 2 usará el mismo Azure AD Connect / Directorio Activo on-premises, o un directorio independiente.</w:t>
      </w:r>
    </w:p>
    <w:p>
      <w:pPr>
        <w:pStyle w:val="ListParagraph"/>
        <w:numPr>
          <w:ilvl w:val="0"/>
          <w:numId w:val="2"/>
        </w:numPr>
        <w:spacing w:after="80"/>
      </w:pPr>
      <w:r>
        <w:rPr>
          <w:rFonts w:ascii="Calibri" w:cs="Calibri" w:eastAsia="Calibri" w:hAnsi="Calibri"/>
          <w:color w:val="262626"/>
          <w:sz w:val="21"/>
          <w:szCs w:val="21"/>
        </w:rPr>
        <w:t xml:space="preserve">Plan de recreación o migración de cuentas de servicio utilizadas por SAP, GRP, DMS y Oracle DB.</w:t>
      </w:r>
    </w:p>
    <w:p>
      <w:pPr>
        <w:pStyle w:val="ListParagraph"/>
        <w:numPr>
          <w:ilvl w:val="0"/>
          <w:numId w:val="2"/>
        </w:numPr>
        <w:spacing w:after="80"/>
      </w:pPr>
      <w:r>
        <w:rPr>
          <w:rFonts w:ascii="Calibri" w:cs="Calibri" w:eastAsia="Calibri" w:hAnsi="Calibri"/>
          <w:color w:val="262626"/>
          <w:sz w:val="21"/>
          <w:szCs w:val="21"/>
        </w:rPr>
        <w:t xml:space="preserve">Validación de nombres de dominio (UPN suffix) y resolución DNS interna en el nuevo Tenant.</w:t>
      </w:r>
    </w:p>
    <w:p>
      <w:pPr>
        <w:pStyle w:val="Heading2"/>
        <w:spacing w:after="120" w:before="260"/>
      </w:pPr>
      <w:r>
        <w:rPr>
          <w:rFonts w:ascii="Calibri" w:cs="Calibri" w:eastAsia="Calibri" w:hAnsi="Calibri"/>
          <w:b/>
          <w:bCs/>
          <w:color w:val="2E5395"/>
          <w:sz w:val="24"/>
          <w:szCs w:val="24"/>
        </w:rPr>
        <w:t xml:space="preserve">5.5 Aplicativos</w:t>
      </w:r>
    </w:p>
    <w:p>
      <w:pPr>
        <w:pStyle w:val="ListParagraph"/>
        <w:numPr>
          <w:ilvl w:val="0"/>
          <w:numId w:val="2"/>
        </w:numPr>
        <w:spacing w:after="80"/>
      </w:pPr>
      <w:r>
        <w:rPr>
          <w:rFonts w:ascii="Calibri" w:cs="Calibri" w:eastAsia="Calibri" w:hAnsi="Calibri"/>
          <w:color w:val="262626"/>
          <w:sz w:val="21"/>
          <w:szCs w:val="21"/>
        </w:rPr>
        <w:t xml:space="preserve">Inventario de licenciamiento de SO, SQL/Oracle y SAP asociado a cada VM, y su validez en el nuevo Tenant/suscripción.</w:t>
      </w:r>
    </w:p>
    <w:p>
      <w:pPr>
        <w:pStyle w:val="ListParagraph"/>
        <w:numPr>
          <w:ilvl w:val="0"/>
          <w:numId w:val="2"/>
        </w:numPr>
        <w:spacing w:after="80"/>
      </w:pPr>
      <w:r>
        <w:rPr>
          <w:rFonts w:ascii="Calibri" w:cs="Calibri" w:eastAsia="Calibri" w:hAnsi="Calibri"/>
          <w:color w:val="262626"/>
          <w:sz w:val="21"/>
          <w:szCs w:val="21"/>
        </w:rPr>
        <w:t xml:space="preserve">Ventanas de mantenimiento coordinadas con los dueños funcionales de cada aplicativo para las pruebas de arranque.</w:t>
      </w:r>
    </w:p>
    <w:p>
      <w:pPr>
        <w:pStyle w:val="Heading1"/>
        <w:pBdr>
          <w:bottom w:val="single" w:color="2E5395" w:sz="6" w:space="4"/>
        </w:pBdr>
        <w:spacing w:after="180" w:before="400"/>
      </w:pPr>
      <w:r>
        <w:rPr>
          <w:rFonts w:ascii="Calibri" w:cs="Calibri" w:eastAsia="Calibri" w:hAnsi="Calibri"/>
          <w:b/>
          <w:bCs/>
          <w:color w:val="1F3864"/>
          <w:sz w:val="30"/>
          <w:szCs w:val="30"/>
        </w:rPr>
        <w:t xml:space="preserve">6. Requerimientos Humanos (Equipo del Proyecto)</w:t>
      </w:r>
    </w:p>
    <w:p>
      <w:pPr>
        <w:spacing w:after="160" w:line="276"/>
      </w:pPr>
      <w:r>
        <w:rPr>
          <w:rFonts w:ascii="Calibri" w:cs="Calibri" w:eastAsia="Calibri" w:hAnsi="Calibri"/>
          <w:color w:val="262626"/>
          <w:sz w:val="21"/>
          <w:szCs w:val="21"/>
        </w:rPr>
        <w:t xml:space="preserve">La ejecución del proyecto requiere la participación combinada de un equipo técnico del proveedor y roles de decisión/validación por parte del cliente: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400"/>
      </w:tblGrid>
      <w:tr>
        <w:trPr>
          <w:tblHeader/>
        </w:trPr>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Rol</w:t>
            </w:r>
          </w:p>
        </w:tc>
        <w:tc>
          <w:tcPr>
            <w:tcW w:type="dxa" w:w="52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Responsabilidad principal</w:t>
            </w:r>
          </w:p>
        </w:tc>
        <w:tc>
          <w:tcPr>
            <w:tcW w:type="dxa" w:w="1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Origen</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Gerente de Proyecto (PM)</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Planeación, seguimiento de cronograma, gestión de riesgos y comunicación con el cliente</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Arquitecto Cloud Azure</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de arquitectura destino, definición de estrategia de migración</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Infraestructura/Cómputo</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exportación, restauración de VMs y discos administrados</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Redes y Seguridad</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y validación de VNets, Subnets, NSGs, conectividad y firewall</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Ingeniero de Identidad (Azure AD)</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Sincronización/recreación de cuentas, Azure AD Connect, políticas de acceso</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DBA / SAP Basis</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 de Oracle DB y de los módulos SAP/GRP/DMS tras el restore</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 / Cliente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Líder de QA / Pruebas</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Ejecución de pruebas funcionales y smoke tests post-migración</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Proveedor / Cliente</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Dueños de aplicativos (Application Owners)</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 de negocio, aprobación de ventanas de mantenimiento</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Responsable de Seguridad / Compliance</w:t>
            </w:r>
          </w:p>
        </w:tc>
        <w:tc>
          <w:tcPr>
            <w:tcW w:type="dxa" w:w="52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Aprobación de reglas de seguridad, manejo de datos entre Tenants</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Administrador de Tenant / Azure AD (Cliente)</w:t>
            </w:r>
          </w:p>
        </w:tc>
        <w:tc>
          <w:tcPr>
            <w:tcW w:type="dxa" w:w="52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Otorgar accesos administrativos en ambos Tenants, gestión de licenciamiento</w:t>
            </w:r>
          </w:p>
        </w:tc>
        <w:tc>
          <w:tcPr>
            <w:tcW w:type="dxa" w:w="1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Cliente</w:t>
            </w:r>
          </w:p>
        </w:tc>
      </w:tr>
    </w:tbl>
    <w:p>
      <w:pPr>
        <w:spacing w:before="200"/>
      </w:pPr>
    </w:p>
    <w:p>
      <w:pPr>
        <w:pStyle w:val="Heading1"/>
        <w:pBdr>
          <w:bottom w:val="single" w:color="2E5395" w:sz="6" w:space="4"/>
        </w:pBdr>
        <w:spacing w:after="180" w:before="400"/>
      </w:pPr>
      <w:r>
        <w:rPr>
          <w:rFonts w:ascii="Calibri" w:cs="Calibri" w:eastAsia="Calibri" w:hAnsi="Calibri"/>
          <w:b/>
          <w:bCs/>
          <w:color w:val="1F3864"/>
          <w:sz w:val="30"/>
          <w:szCs w:val="30"/>
        </w:rPr>
        <w:t xml:space="preserve">7. Alcance</w:t>
      </w:r>
    </w:p>
    <w:p>
      <w:pPr>
        <w:pStyle w:val="ListParagraph"/>
        <w:numPr>
          <w:ilvl w:val="0"/>
          <w:numId w:val="2"/>
        </w:numPr>
        <w:spacing w:after="80"/>
      </w:pPr>
      <w:r>
        <w:rPr>
          <w:rFonts w:ascii="Calibri" w:cs="Calibri" w:eastAsia="Calibri" w:hAnsi="Calibri"/>
          <w:color w:val="262626"/>
          <w:sz w:val="21"/>
          <w:szCs w:val="21"/>
        </w:rPr>
        <w:t xml:space="preserve">Levantamiento y documentación del inventario actual (9 VMs, 18 discos administrados, direccionamiento IP) con base en la calculadora de Azure proporcionada.</w:t>
      </w:r>
    </w:p>
    <w:p>
      <w:pPr>
        <w:pStyle w:val="ListParagraph"/>
        <w:numPr>
          <w:ilvl w:val="0"/>
          <w:numId w:val="2"/>
        </w:numPr>
        <w:spacing w:after="80"/>
      </w:pPr>
      <w:r>
        <w:rPr>
          <w:rFonts w:ascii="Calibri" w:cs="Calibri" w:eastAsia="Calibri" w:hAnsi="Calibri"/>
          <w:color w:val="262626"/>
          <w:sz w:val="21"/>
          <w:szCs w:val="21"/>
        </w:rPr>
        <w:t xml:space="preserve">Diseño de la arquitectura destino en el Tenant 2 (red, seguridad, cómputo y almacenamiento).</w:t>
      </w:r>
    </w:p>
    <w:p>
      <w:pPr>
        <w:pStyle w:val="ListParagraph"/>
        <w:numPr>
          <w:ilvl w:val="0"/>
          <w:numId w:val="2"/>
        </w:numPr>
        <w:spacing w:after="80"/>
      </w:pPr>
      <w:r>
        <w:rPr>
          <w:rFonts w:ascii="Calibri" w:cs="Calibri" w:eastAsia="Calibri" w:hAnsi="Calibri"/>
          <w:color w:val="262626"/>
          <w:sz w:val="21"/>
          <w:szCs w:val="21"/>
        </w:rPr>
        <w:t xml:space="preserve">Backup/snapshot de las máquinas virtuales y discos administrados en el Tenant 1.</w:t>
      </w:r>
    </w:p>
    <w:p>
      <w:pPr>
        <w:pStyle w:val="ListParagraph"/>
        <w:numPr>
          <w:ilvl w:val="0"/>
          <w:numId w:val="2"/>
        </w:numPr>
        <w:spacing w:after="80"/>
      </w:pPr>
      <w:r>
        <w:rPr>
          <w:rFonts w:ascii="Calibri" w:cs="Calibri" w:eastAsia="Calibri" w:hAnsi="Calibri"/>
          <w:color w:val="262626"/>
          <w:sz w:val="21"/>
          <w:szCs w:val="21"/>
        </w:rPr>
        <w:t xml:space="preserve">Exportación de los discos a formato VHD y transferencia de los archivos de respaldo hacia el Tenant 2.</w:t>
      </w:r>
    </w:p>
    <w:p>
      <w:pPr>
        <w:pStyle w:val="ListParagraph"/>
        <w:numPr>
          <w:ilvl w:val="0"/>
          <w:numId w:val="2"/>
        </w:numPr>
        <w:spacing w:after="80"/>
      </w:pPr>
      <w:r>
        <w:rPr>
          <w:rFonts w:ascii="Calibri" w:cs="Calibri" w:eastAsia="Calibri" w:hAnsi="Calibri"/>
          <w:color w:val="262626"/>
          <w:sz w:val="21"/>
          <w:szCs w:val="21"/>
        </w:rPr>
        <w:t xml:space="preserve">Restauración/reconstrucción de las máquinas virtuales y discos en el Tenant 2.</w:t>
      </w:r>
    </w:p>
    <w:p>
      <w:pPr>
        <w:pStyle w:val="ListParagraph"/>
        <w:numPr>
          <w:ilvl w:val="0"/>
          <w:numId w:val="2"/>
        </w:numPr>
        <w:spacing w:after="80"/>
      </w:pPr>
      <w:r>
        <w:rPr>
          <w:rFonts w:ascii="Calibri" w:cs="Calibri" w:eastAsia="Calibri" w:hAnsi="Calibri"/>
          <w:color w:val="262626"/>
          <w:sz w:val="21"/>
          <w:szCs w:val="21"/>
        </w:rPr>
        <w:t xml:space="preserve">Configuración de red de destino: VNets, Subnets, reglas NSG y direccionamiento IP.</w:t>
      </w:r>
    </w:p>
    <w:p>
      <w:pPr>
        <w:pStyle w:val="ListParagraph"/>
        <w:numPr>
          <w:ilvl w:val="0"/>
          <w:numId w:val="2"/>
        </w:numPr>
        <w:spacing w:after="80"/>
      </w:pPr>
      <w:r>
        <w:rPr>
          <w:rFonts w:ascii="Calibri" w:cs="Calibri" w:eastAsia="Calibri" w:hAnsi="Calibri"/>
          <w:color w:val="262626"/>
          <w:sz w:val="21"/>
          <w:szCs w:val="21"/>
        </w:rPr>
        <w:t xml:space="preserve">Soporte en la revisión de sincronización de Azure AD relacionada con las VMs migradas (cuentas de servicio, unión a dominio).</w:t>
      </w:r>
    </w:p>
    <w:p>
      <w:pPr>
        <w:pStyle w:val="ListParagraph"/>
        <w:numPr>
          <w:ilvl w:val="0"/>
          <w:numId w:val="2"/>
        </w:numPr>
        <w:spacing w:after="80"/>
      </w:pPr>
      <w:r>
        <w:rPr>
          <w:rFonts w:ascii="Calibri" w:cs="Calibri" w:eastAsia="Calibri" w:hAnsi="Calibri"/>
          <w:color w:val="262626"/>
          <w:sz w:val="21"/>
          <w:szCs w:val="21"/>
        </w:rPr>
        <w:t xml:space="preserve">Validación funcional (smoke test) de arranque de los aplicativos Oracle DB, DMS, GRP y SAP ECC en el Tenant 2.</w:t>
      </w:r>
    </w:p>
    <w:p>
      <w:pPr>
        <w:pStyle w:val="ListParagraph"/>
        <w:numPr>
          <w:ilvl w:val="0"/>
          <w:numId w:val="2"/>
        </w:numPr>
        <w:spacing w:after="80"/>
      </w:pPr>
      <w:r>
        <w:rPr>
          <w:rFonts w:ascii="Calibri" w:cs="Calibri" w:eastAsia="Calibri" w:hAnsi="Calibri"/>
          <w:color w:val="262626"/>
          <w:sz w:val="21"/>
          <w:szCs w:val="21"/>
        </w:rPr>
        <w:t xml:space="preserve">Elaboración de runbook de migración, plan de corte (cutover) y plan de rollback.</w:t>
      </w:r>
    </w:p>
    <w:p>
      <w:pPr>
        <w:pStyle w:val="ListParagraph"/>
        <w:numPr>
          <w:ilvl w:val="0"/>
          <w:numId w:val="2"/>
        </w:numPr>
        <w:spacing w:after="80"/>
      </w:pPr>
      <w:r>
        <w:rPr>
          <w:rFonts w:ascii="Calibri" w:cs="Calibri" w:eastAsia="Calibri" w:hAnsi="Calibri"/>
          <w:color w:val="262626"/>
          <w:sz w:val="21"/>
          <w:szCs w:val="21"/>
        </w:rPr>
        <w:t xml:space="preserve">Acompañamiento (hypercare) durante el periodo posterior al corte definido en el cronograma.</w:t>
      </w:r>
    </w:p>
    <w:p>
      <w:pPr>
        <w:pStyle w:val="Heading1"/>
        <w:pBdr>
          <w:bottom w:val="single" w:color="2E5395" w:sz="6" w:space="4"/>
        </w:pBdr>
        <w:spacing w:after="180" w:before="400"/>
      </w:pPr>
      <w:r>
        <w:rPr>
          <w:rFonts w:ascii="Calibri" w:cs="Calibri" w:eastAsia="Calibri" w:hAnsi="Calibri"/>
          <w:b/>
          <w:bCs/>
          <w:color w:val="1F3864"/>
          <w:sz w:val="30"/>
          <w:szCs w:val="30"/>
        </w:rPr>
        <w:t xml:space="preserve">8. Fuera de Alcance</w:t>
      </w:r>
    </w:p>
    <w:p>
      <w:pPr>
        <w:pStyle w:val="ListParagraph"/>
        <w:numPr>
          <w:ilvl w:val="0"/>
          <w:numId w:val="2"/>
        </w:numPr>
        <w:spacing w:after="80"/>
      </w:pPr>
      <w:r>
        <w:rPr>
          <w:rFonts w:ascii="Calibri" w:cs="Calibri" w:eastAsia="Calibri" w:hAnsi="Calibri"/>
          <w:color w:val="262626"/>
          <w:sz w:val="21"/>
          <w:szCs w:val="21"/>
        </w:rPr>
        <w:t xml:space="preserve">Diseño o implementación de una nueva topología de Azure AD / Azure AD Connect distinta a la sincronización mínima necesaria para la operación de las VMs (se cotiza como servicio adicional si el cliente lo requiere).</w:t>
      </w:r>
    </w:p>
    <w:p>
      <w:pPr>
        <w:pStyle w:val="ListParagraph"/>
        <w:numPr>
          <w:ilvl w:val="0"/>
          <w:numId w:val="2"/>
        </w:numPr>
        <w:spacing w:after="80"/>
      </w:pPr>
      <w:r>
        <w:rPr>
          <w:rFonts w:ascii="Calibri" w:cs="Calibri" w:eastAsia="Calibri" w:hAnsi="Calibri"/>
          <w:color w:val="262626"/>
          <w:sz w:val="21"/>
          <w:szCs w:val="21"/>
        </w:rPr>
        <w:t xml:space="preserve">Gestión de renovación, transferencia o adquisición de licenciamiento de sistema operativo, Oracle o SAP en el nuevo Tenant (responsabilidad del cliente ante el fabricante/partner de licenciamiento).</w:t>
      </w:r>
    </w:p>
    <w:p>
      <w:pPr>
        <w:pStyle w:val="ListParagraph"/>
        <w:numPr>
          <w:ilvl w:val="0"/>
          <w:numId w:val="2"/>
        </w:numPr>
        <w:spacing w:after="80"/>
      </w:pPr>
      <w:r>
        <w:rPr>
          <w:rFonts w:ascii="Calibri" w:cs="Calibri" w:eastAsia="Calibri" w:hAnsi="Calibri"/>
          <w:color w:val="262626"/>
          <w:sz w:val="21"/>
          <w:szCs w:val="21"/>
        </w:rPr>
        <w:t xml:space="preserve">Optimización, refactorización o actualización de versión de los aplicativos (SAP, GRP, DMS, Oracle DB).</w:t>
      </w:r>
    </w:p>
    <w:p>
      <w:pPr>
        <w:pStyle w:val="ListParagraph"/>
        <w:numPr>
          <w:ilvl w:val="0"/>
          <w:numId w:val="2"/>
        </w:numPr>
        <w:spacing w:after="80"/>
      </w:pPr>
      <w:r>
        <w:rPr>
          <w:rFonts w:ascii="Calibri" w:cs="Calibri" w:eastAsia="Calibri" w:hAnsi="Calibri"/>
          <w:color w:val="262626"/>
          <w:sz w:val="21"/>
          <w:szCs w:val="21"/>
        </w:rPr>
        <w:t xml:space="preserve">Pruebas de carga o desempeño (performance testing) exhaustivas más allá de la validación funcional básica.</w:t>
      </w:r>
    </w:p>
    <w:p>
      <w:pPr>
        <w:pStyle w:val="ListParagraph"/>
        <w:numPr>
          <w:ilvl w:val="0"/>
          <w:numId w:val="2"/>
        </w:numPr>
        <w:spacing w:after="80"/>
      </w:pPr>
      <w:r>
        <w:rPr>
          <w:rFonts w:ascii="Calibri" w:cs="Calibri" w:eastAsia="Calibri" w:hAnsi="Calibri"/>
          <w:color w:val="262626"/>
          <w:sz w:val="21"/>
          <w:szCs w:val="21"/>
        </w:rPr>
        <w:t xml:space="preserve">Migración de datos a nivel de aplicación o de negocio que no resida en los discos/VMs incluidos en el inventario (por ejemplo, integraciones externas, interfaces EDI, etc.).</w:t>
      </w:r>
    </w:p>
    <w:p>
      <w:pPr>
        <w:pStyle w:val="ListParagraph"/>
        <w:numPr>
          <w:ilvl w:val="0"/>
          <w:numId w:val="2"/>
        </w:numPr>
        <w:spacing w:after="80"/>
      </w:pPr>
      <w:r>
        <w:rPr>
          <w:rFonts w:ascii="Calibri" w:cs="Calibri" w:eastAsia="Calibri" w:hAnsi="Calibri"/>
          <w:color w:val="262626"/>
          <w:sz w:val="21"/>
          <w:szCs w:val="21"/>
        </w:rPr>
        <w:t xml:space="preserve">Soporte directo a usuarios finales (mesa de ayuda / Service Desk) posterior al periodo de hypercare.</w:t>
      </w:r>
    </w:p>
    <w:p>
      <w:pPr>
        <w:pStyle w:val="ListParagraph"/>
        <w:numPr>
          <w:ilvl w:val="0"/>
          <w:numId w:val="2"/>
        </w:numPr>
        <w:spacing w:after="80"/>
      </w:pPr>
      <w:r>
        <w:rPr>
          <w:rFonts w:ascii="Calibri" w:cs="Calibri" w:eastAsia="Calibri" w:hAnsi="Calibri"/>
          <w:color w:val="262626"/>
          <w:sz w:val="21"/>
          <w:szCs w:val="21"/>
        </w:rPr>
        <w:t xml:space="preserve">Compra o gestión de licenciamiento de Azure (Reservas, Savings Plans) distinto al modelo PAYG actual, salvo que se acuerde como parte de una optimización posterior.</w:t>
      </w:r>
    </w:p>
    <w:p>
      <w:pPr>
        <w:pStyle w:val="Heading1"/>
        <w:pBdr>
          <w:bottom w:val="single" w:color="2E5395" w:sz="6" w:space="4"/>
        </w:pBdr>
        <w:spacing w:after="180" w:before="400"/>
      </w:pPr>
      <w:r>
        <w:rPr>
          <w:rFonts w:ascii="Calibri" w:cs="Calibri" w:eastAsia="Calibri" w:hAnsi="Calibri"/>
          <w:b/>
          <w:bCs/>
          <w:color w:val="1F3864"/>
          <w:sz w:val="30"/>
          <w:szCs w:val="30"/>
        </w:rPr>
        <w:t xml:space="preserve">9. Estrategia de Migración</w:t>
      </w:r>
    </w:p>
    <w:p>
      <w:pPr>
        <w:spacing w:after="160" w:line="276"/>
      </w:pPr>
      <w:r>
        <w:rPr>
          <w:rFonts w:ascii="Calibri" w:cs="Calibri" w:eastAsia="Calibri" w:hAnsi="Calibri"/>
          <w:color w:val="262626"/>
          <w:sz w:val="21"/>
          <w:szCs w:val="21"/>
        </w:rPr>
        <w:t xml:space="preserve">Dado que Azure no permite mover recursos de forma nativa entre Tenants (Azure AD) diferentes, se adopta una estrategia de Backup &amp; Restore (“export/import”), la cual consiste en:</w:t>
      </w:r>
    </w:p>
    <w:p>
      <w:pPr>
        <w:pStyle w:val="Heading2"/>
        <w:spacing w:after="120" w:before="260"/>
      </w:pPr>
      <w:r>
        <w:rPr>
          <w:rFonts w:ascii="Calibri" w:cs="Calibri" w:eastAsia="Calibri" w:hAnsi="Calibri"/>
          <w:b/>
          <w:bCs/>
          <w:color w:val="2E5395"/>
          <w:sz w:val="24"/>
          <w:szCs w:val="24"/>
        </w:rPr>
        <w:t xml:space="preserve">9.1 Preparación</w:t>
      </w:r>
    </w:p>
    <w:p>
      <w:pPr>
        <w:pStyle w:val="ListParagraph"/>
        <w:numPr>
          <w:ilvl w:val="0"/>
          <w:numId w:val="3"/>
        </w:numPr>
        <w:spacing w:after="80"/>
      </w:pPr>
      <w:r>
        <w:rPr>
          <w:rFonts w:ascii="Calibri" w:cs="Calibri" w:eastAsia="Calibri" w:hAnsi="Calibri"/>
          <w:color w:val="262626"/>
          <w:sz w:val="21"/>
          <w:szCs w:val="21"/>
        </w:rPr>
        <w:t xml:space="preserve">Confirmar la existencia y accesos administrativos del Tenant 2 (suscripción activa, cuotas de cómputo suficientes).</w:t>
      </w:r>
    </w:p>
    <w:p>
      <w:pPr>
        <w:pStyle w:val="ListParagraph"/>
        <w:numPr>
          <w:ilvl w:val="0"/>
          <w:numId w:val="3"/>
        </w:numPr>
        <w:spacing w:after="80"/>
      </w:pPr>
      <w:r>
        <w:rPr>
          <w:rFonts w:ascii="Calibri" w:cs="Calibri" w:eastAsia="Calibri" w:hAnsi="Calibri"/>
          <w:color w:val="262626"/>
          <w:sz w:val="21"/>
          <w:szCs w:val="21"/>
        </w:rPr>
        <w:t xml:space="preserve">Diseñar la red de destino (VNets, Subnets, NSGs) espejo o mejorada respecto al Tenant 1.</w:t>
      </w:r>
    </w:p>
    <w:p>
      <w:pPr>
        <w:pStyle w:val="ListParagraph"/>
        <w:numPr>
          <w:ilvl w:val="0"/>
          <w:numId w:val="3"/>
        </w:numPr>
        <w:spacing w:after="80"/>
      </w:pPr>
      <w:r>
        <w:rPr>
          <w:rFonts w:ascii="Calibri" w:cs="Calibri" w:eastAsia="Calibri" w:hAnsi="Calibri"/>
          <w:color w:val="262626"/>
          <w:sz w:val="21"/>
          <w:szCs w:val="21"/>
        </w:rPr>
        <w:t xml:space="preserve">Definir la estrategia de identidad: mismo Azure AD Connect, nuevo directorio, o convivencia temporal (trust) entre Tenants.</w:t>
      </w:r>
    </w:p>
    <w:p>
      <w:pPr>
        <w:pStyle w:val="Heading2"/>
        <w:spacing w:after="120" w:before="260"/>
      </w:pPr>
      <w:r>
        <w:rPr>
          <w:rFonts w:ascii="Calibri" w:cs="Calibri" w:eastAsia="Calibri" w:hAnsi="Calibri"/>
          <w:b/>
          <w:bCs/>
          <w:color w:val="2E5395"/>
          <w:sz w:val="24"/>
          <w:szCs w:val="24"/>
        </w:rPr>
        <w:t xml:space="preserve">9.2 Backup y exportación (Tenant 1)</w:t>
      </w:r>
    </w:p>
    <w:p>
      <w:pPr>
        <w:pStyle w:val="ListParagraph"/>
        <w:numPr>
          <w:ilvl w:val="0"/>
          <w:numId w:val="3"/>
        </w:numPr>
        <w:spacing w:after="80"/>
      </w:pPr>
      <w:r>
        <w:rPr>
          <w:rFonts w:ascii="Calibri" w:cs="Calibri" w:eastAsia="Calibri" w:hAnsi="Calibri"/>
          <w:color w:val="262626"/>
          <w:sz w:val="21"/>
          <w:szCs w:val="21"/>
        </w:rPr>
        <w:t xml:space="preserve">Generar snapshot/backup de cada VM (disco de SO y discos de datos).</w:t>
      </w:r>
    </w:p>
    <w:p>
      <w:pPr>
        <w:pStyle w:val="ListParagraph"/>
        <w:numPr>
          <w:ilvl w:val="0"/>
          <w:numId w:val="3"/>
        </w:numPr>
        <w:spacing w:after="80"/>
      </w:pPr>
      <w:r>
        <w:rPr>
          <w:rFonts w:ascii="Calibri" w:cs="Calibri" w:eastAsia="Calibri" w:hAnsi="Calibri"/>
          <w:color w:val="262626"/>
          <w:sz w:val="21"/>
          <w:szCs w:val="21"/>
        </w:rPr>
        <w:t xml:space="preserve">Exportar los discos administrados como Page Blob (VHD) hacia una Storage Account intermedia, generando SAS tokens de acceso temporal y restringido.</w:t>
      </w:r>
    </w:p>
    <w:p>
      <w:pPr>
        <w:pStyle w:val="Heading2"/>
        <w:spacing w:after="120" w:before="260"/>
      </w:pPr>
      <w:r>
        <w:rPr>
          <w:rFonts w:ascii="Calibri" w:cs="Calibri" w:eastAsia="Calibri" w:hAnsi="Calibri"/>
          <w:b/>
          <w:bCs/>
          <w:color w:val="2E5395"/>
          <w:sz w:val="24"/>
          <w:szCs w:val="24"/>
        </w:rPr>
        <w:t xml:space="preserve">9.3 Transferencia entre Tenants</w:t>
      </w:r>
    </w:p>
    <w:p>
      <w:pPr>
        <w:pStyle w:val="ListParagraph"/>
        <w:numPr>
          <w:ilvl w:val="0"/>
          <w:numId w:val="3"/>
        </w:numPr>
        <w:spacing w:after="80"/>
      </w:pPr>
      <w:r>
        <w:rPr>
          <w:rFonts w:ascii="Calibri" w:cs="Calibri" w:eastAsia="Calibri" w:hAnsi="Calibri"/>
          <w:color w:val="262626"/>
          <w:sz w:val="21"/>
          <w:szCs w:val="21"/>
        </w:rPr>
        <w:t xml:space="preserve">Copiar los archivos VHD desde la Storage Account del Tenant 1 hacia la Storage Account del Tenant 2 mediante AzCopy (o Azure Storage Explorer), usando únicamente los SAS tokens generados, sin compartir credenciales administrativas entre Tenants.</w:t>
      </w:r>
    </w:p>
    <w:p>
      <w:pPr>
        <w:pStyle w:val="ListParagraph"/>
        <w:numPr>
          <w:ilvl w:val="0"/>
          <w:numId w:val="3"/>
        </w:numPr>
        <w:spacing w:after="80"/>
      </w:pPr>
      <w:r>
        <w:rPr>
          <w:rFonts w:ascii="Calibri" w:cs="Calibri" w:eastAsia="Calibri" w:hAnsi="Calibri"/>
          <w:color w:val="262626"/>
          <w:sz w:val="21"/>
          <w:szCs w:val="21"/>
        </w:rPr>
        <w:t xml:space="preserve">Validar la integridad de los archivos transferidos (checksum / tamaño) antes de proceder con la restauración.</w:t>
      </w:r>
    </w:p>
    <w:p>
      <w:pPr>
        <w:pStyle w:val="Heading2"/>
        <w:spacing w:after="120" w:before="260"/>
      </w:pPr>
      <w:r>
        <w:rPr>
          <w:rFonts w:ascii="Calibri" w:cs="Calibri" w:eastAsia="Calibri" w:hAnsi="Calibri"/>
          <w:b/>
          <w:bCs/>
          <w:color w:val="2E5395"/>
          <w:sz w:val="24"/>
          <w:szCs w:val="24"/>
        </w:rPr>
        <w:t xml:space="preserve">9.4 Restauración (Tenant 2)</w:t>
      </w:r>
    </w:p>
    <w:p>
      <w:pPr>
        <w:pStyle w:val="ListParagraph"/>
        <w:numPr>
          <w:ilvl w:val="0"/>
          <w:numId w:val="3"/>
        </w:numPr>
        <w:spacing w:after="80"/>
      </w:pPr>
      <w:r>
        <w:rPr>
          <w:rFonts w:ascii="Calibri" w:cs="Calibri" w:eastAsia="Calibri" w:hAnsi="Calibri"/>
          <w:color w:val="262626"/>
          <w:sz w:val="21"/>
          <w:szCs w:val="21"/>
        </w:rPr>
        <w:t xml:space="preserve">Crear Managed Disks en el Tenant 2 a partir de los VHD recibidos.</w:t>
      </w:r>
    </w:p>
    <w:p>
      <w:pPr>
        <w:pStyle w:val="ListParagraph"/>
        <w:numPr>
          <w:ilvl w:val="0"/>
          <w:numId w:val="3"/>
        </w:numPr>
        <w:spacing w:after="80"/>
      </w:pPr>
      <w:r>
        <w:rPr>
          <w:rFonts w:ascii="Calibri" w:cs="Calibri" w:eastAsia="Calibri" w:hAnsi="Calibri"/>
          <w:color w:val="262626"/>
          <w:sz w:val="21"/>
          <w:szCs w:val="21"/>
        </w:rPr>
        <w:t xml:space="preserve">Aprovisionar las máquinas virtuales asociando dichos discos, en la VNet/Subnet correspondiente y con el sizing validado con el cliente.</w:t>
      </w:r>
    </w:p>
    <w:p>
      <w:pPr>
        <w:pStyle w:val="ListParagraph"/>
        <w:numPr>
          <w:ilvl w:val="0"/>
          <w:numId w:val="3"/>
        </w:numPr>
        <w:spacing w:after="80"/>
      </w:pPr>
      <w:r>
        <w:rPr>
          <w:rFonts w:ascii="Calibri" w:cs="Calibri" w:eastAsia="Calibri" w:hAnsi="Calibri"/>
          <w:color w:val="262626"/>
          <w:sz w:val="21"/>
          <w:szCs w:val="21"/>
        </w:rPr>
        <w:t xml:space="preserve">Configurar NSGs, IPs privadas y reglas de conectividad necesarias para cada VM.</w:t>
      </w:r>
    </w:p>
    <w:p>
      <w:pPr>
        <w:pStyle w:val="Heading2"/>
        <w:spacing w:after="120" w:before="260"/>
      </w:pPr>
      <w:r>
        <w:rPr>
          <w:rFonts w:ascii="Calibri" w:cs="Calibri" w:eastAsia="Calibri" w:hAnsi="Calibri"/>
          <w:b/>
          <w:bCs/>
          <w:color w:val="2E5395"/>
          <w:sz w:val="24"/>
          <w:szCs w:val="24"/>
        </w:rPr>
        <w:t xml:space="preserve">9.5 Validación e identidad</w:t>
      </w:r>
    </w:p>
    <w:p>
      <w:pPr>
        <w:pStyle w:val="ListParagraph"/>
        <w:numPr>
          <w:ilvl w:val="0"/>
          <w:numId w:val="3"/>
        </w:numPr>
        <w:spacing w:after="80"/>
      </w:pPr>
      <w:r>
        <w:rPr>
          <w:rFonts w:ascii="Calibri" w:cs="Calibri" w:eastAsia="Calibri" w:hAnsi="Calibri"/>
          <w:color w:val="262626"/>
          <w:sz w:val="21"/>
          <w:szCs w:val="21"/>
        </w:rPr>
        <w:t xml:space="preserve">Validar el arranque de cada VM y la resolución de nombre/dominio.</w:t>
      </w:r>
    </w:p>
    <w:p>
      <w:pPr>
        <w:pStyle w:val="ListParagraph"/>
        <w:numPr>
          <w:ilvl w:val="0"/>
          <w:numId w:val="3"/>
        </w:numPr>
        <w:spacing w:after="80"/>
      </w:pPr>
      <w:r>
        <w:rPr>
          <w:rFonts w:ascii="Calibri" w:cs="Calibri" w:eastAsia="Calibri" w:hAnsi="Calibri"/>
          <w:color w:val="262626"/>
          <w:sz w:val="21"/>
          <w:szCs w:val="21"/>
        </w:rPr>
        <w:t xml:space="preserve">Confirmar sincronización o recreación de cuentas de servicio de Oracle DB, DMS, GRP y SAP ECC.</w:t>
      </w:r>
    </w:p>
    <w:p>
      <w:pPr>
        <w:pStyle w:val="ListParagraph"/>
        <w:numPr>
          <w:ilvl w:val="0"/>
          <w:numId w:val="3"/>
        </w:numPr>
        <w:spacing w:after="80"/>
      </w:pPr>
      <w:r>
        <w:rPr>
          <w:rFonts w:ascii="Calibri" w:cs="Calibri" w:eastAsia="Calibri" w:hAnsi="Calibri"/>
          <w:color w:val="262626"/>
          <w:sz w:val="21"/>
          <w:szCs w:val="21"/>
        </w:rPr>
        <w:t xml:space="preserve">Ejecutar smoke tests funcionales junto con los dueños de aplicativo.</w:t>
      </w:r>
    </w:p>
    <w:p>
      <w:pPr>
        <w:pStyle w:val="Heading2"/>
        <w:spacing w:after="120" w:before="260"/>
      </w:pPr>
      <w:r>
        <w:rPr>
          <w:rFonts w:ascii="Calibri" w:cs="Calibri" w:eastAsia="Calibri" w:hAnsi="Calibri"/>
          <w:b/>
          <w:bCs/>
          <w:color w:val="2E5395"/>
          <w:sz w:val="24"/>
          <w:szCs w:val="24"/>
        </w:rPr>
        <w:t xml:space="preserve">9.6 Cutover y cierre</w:t>
      </w:r>
    </w:p>
    <w:p>
      <w:pPr>
        <w:pStyle w:val="ListParagraph"/>
        <w:numPr>
          <w:ilvl w:val="0"/>
          <w:numId w:val="3"/>
        </w:numPr>
        <w:spacing w:after="80"/>
      </w:pPr>
      <w:r>
        <w:rPr>
          <w:rFonts w:ascii="Calibri" w:cs="Calibri" w:eastAsia="Calibri" w:hAnsi="Calibri"/>
          <w:color w:val="262626"/>
          <w:sz w:val="21"/>
          <w:szCs w:val="21"/>
        </w:rPr>
        <w:t xml:space="preserve">Redirigir accesos (DNS interno/externo, VPN/ExpressRoute, whitelists de firewall) hacia el Tenant 2.</w:t>
      </w:r>
    </w:p>
    <w:p>
      <w:pPr>
        <w:pStyle w:val="ListParagraph"/>
        <w:numPr>
          <w:ilvl w:val="0"/>
          <w:numId w:val="3"/>
        </w:numPr>
        <w:spacing w:after="80"/>
      </w:pPr>
      <w:r>
        <w:rPr>
          <w:rFonts w:ascii="Calibri" w:cs="Calibri" w:eastAsia="Calibri" w:hAnsi="Calibri"/>
          <w:color w:val="262626"/>
          <w:sz w:val="21"/>
          <w:szCs w:val="21"/>
        </w:rPr>
        <w:t xml:space="preserve">Mantener el Tenant 1 en estado de “stand-by” durante el periodo de hypercare, como respaldo de contingencia.</w:t>
      </w:r>
    </w:p>
    <w:p>
      <w:pPr>
        <w:pStyle w:val="ListParagraph"/>
        <w:numPr>
          <w:ilvl w:val="0"/>
          <w:numId w:val="3"/>
        </w:numPr>
        <w:spacing w:after="80"/>
      </w:pPr>
      <w:r>
        <w:rPr>
          <w:rFonts w:ascii="Calibri" w:cs="Calibri" w:eastAsia="Calibri" w:hAnsi="Calibri"/>
          <w:color w:val="262626"/>
          <w:sz w:val="21"/>
          <w:szCs w:val="21"/>
        </w:rPr>
        <w:t xml:space="preserve">Una vez validada la estabilidad, dar de baja los recursos del Tenant 1 conforme al plan de descomisionamiento acordado con el cliente.</w:t>
      </w:r>
    </w:p>
    <w:p>
      <w:pPr>
        <w:pStyle w:val="Heading1"/>
        <w:pBdr>
          <w:bottom w:val="single" w:color="2E5395" w:sz="6" w:space="4"/>
        </w:pBdr>
        <w:spacing w:after="180" w:before="400"/>
      </w:pPr>
      <w:r>
        <w:rPr>
          <w:rFonts w:ascii="Calibri" w:cs="Calibri" w:eastAsia="Calibri" w:hAnsi="Calibri"/>
          <w:b/>
          <w:bCs/>
          <w:color w:val="1F3864"/>
          <w:sz w:val="30"/>
          <w:szCs w:val="30"/>
        </w:rPr>
        <w:t xml:space="preserve">10. Fases y Tiempos de Ejecución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00"/>
        <w:gridCol w:w="1400"/>
      </w:tblGrid>
      <w:tr>
        <w:trPr>
          <w:tblHeader/>
        </w:trPr>
        <w:tc>
          <w:tcPr>
            <w:tcW w:type="dxa" w:w="9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Fase</w:t>
            </w:r>
          </w:p>
        </w:tc>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Nombre</w:t>
            </w:r>
          </w:p>
        </w:tc>
        <w:tc>
          <w:tcPr>
            <w:tcW w:type="dxa" w:w="43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Actividades principales</w:t>
            </w:r>
          </w:p>
        </w:tc>
        <w:tc>
          <w:tcPr>
            <w:tcW w:type="dxa" w:w="14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Duración estimada</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Descubrimiento y Planeación</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Levantamiento de inventario, validación de la calculadora Azure, definición de alcance final y cronograma detallado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 2 semanas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de Arquitectura Destino</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Diseño de red, seguridad e identidad del Tenant 2; validación de cuotas y capacidad</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semana</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Preparación del Tenant 2</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Creación de VNets, Subnets, NSGs, Storage Accounts y validación de accesos administrativos</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 2 semanas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Backup del Ambiente Origen</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Snapshot/backup de VMs y discos; exportación a Storage Account intermedia</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 – 5 días</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Transferencia y Restauración</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Copia de archivos VHD entre Tenants; creación de discos y VMs en el Tenant 2</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 2 semanas</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Funcional</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Pruebas de arranque, conectividad y smoke tests de Oracle DB, DMS, GRP y SAP ECC</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semana</w:t>
            </w:r>
          </w:p>
        </w:tc>
      </w:tr>
      <w:tr>
        <w:tc>
          <w:tcPr>
            <w:tcW w:type="dxa" w:w="9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6</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Cutover (Corte Productivo)</w:t>
            </w:r>
          </w:p>
        </w:tc>
        <w:tc>
          <w:tcPr>
            <w:tcW w:type="dxa" w:w="4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Redirección de accesos/DNS, puesta en producción del Tenant 2, monitoreo intensivo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 ventana de mantenimiento (fin de semana)</w:t>
            </w:r>
          </w:p>
        </w:tc>
      </w:tr>
      <w:tr>
        <w:tc>
          <w:tcPr>
            <w:tcW w:type="dxa" w:w="9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Hypercare y Cierre</w:t>
            </w:r>
          </w:p>
        </w:tc>
        <w:tc>
          <w:tcPr>
            <w:tcW w:type="dxa" w:w="4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Soporte post-migración, resolución de incidencias, descomisionamiento del Tenant 1</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 semanas</w:t>
            </w:r>
          </w:p>
        </w:tc>
      </w:tr>
    </w:tbl>
    <w:p>
      <w:pPr>
        <w:spacing w:after="160" w:before="200"/>
      </w:pPr>
    </w:p>
    <w:p>
      <w:pPr>
        <w:spacing w:after="160" w:line="276"/>
      </w:pPr>
      <w:r>
        <w:rPr>
          <w:rFonts w:ascii="Calibri" w:cs="Calibri" w:eastAsia="Calibri" w:hAnsi="Calibri"/>
          <w:b/>
          <w:bCs/>
          <w:color w:val="262626"/>
          <w:sz w:val="21"/>
          <w:szCs w:val="21"/>
        </w:rPr>
        <w:t xml:space="preserve">Duración total estimada del proyecto: 6 a 9 semanas, dependiendo del volumen final de datos a transferir, la disponibilidad de ventanas de mantenimiento del cliente y los tiempos de aprobación de accesos administrativos.</w:t>
      </w:r>
    </w:p>
    <w:p>
      <w:pPr>
        <w:pStyle w:val="Heading1"/>
        <w:pBdr>
          <w:bottom w:val="single" w:color="2E5395" w:sz="6" w:space="4"/>
        </w:pBdr>
        <w:spacing w:after="180" w:before="400"/>
      </w:pPr>
      <w:r>
        <w:rPr>
          <w:rFonts w:ascii="Calibri" w:cs="Calibri" w:eastAsia="Calibri" w:hAnsi="Calibri"/>
          <w:b/>
          <w:bCs/>
          <w:color w:val="1F3864"/>
          <w:sz w:val="30"/>
          <w:szCs w:val="30"/>
        </w:rPr>
        <w:t xml:space="preserve">11. Supuestos</w:t>
      </w:r>
    </w:p>
    <w:p>
      <w:pPr>
        <w:pStyle w:val="ListParagraph"/>
        <w:numPr>
          <w:ilvl w:val="0"/>
          <w:numId w:val="2"/>
        </w:numPr>
        <w:spacing w:after="80"/>
      </w:pPr>
      <w:r>
        <w:rPr>
          <w:rFonts w:ascii="Calibri" w:cs="Calibri" w:eastAsia="Calibri" w:hAnsi="Calibri"/>
          <w:color w:val="262626"/>
          <w:sz w:val="21"/>
          <w:szCs w:val="21"/>
        </w:rPr>
        <w:t xml:space="preserve">El cliente cuenta con el Tenant 2 (Azure AD y suscripción) ya creado y con cuota suficiente, o lo gestionará en paralelo a la Fase 0.</w:t>
      </w:r>
    </w:p>
    <w:p>
      <w:pPr>
        <w:pStyle w:val="ListParagraph"/>
        <w:numPr>
          <w:ilvl w:val="0"/>
          <w:numId w:val="2"/>
        </w:numPr>
        <w:spacing w:after="80"/>
      </w:pPr>
      <w:r>
        <w:rPr>
          <w:rFonts w:ascii="Calibri" w:cs="Calibri" w:eastAsia="Calibri" w:hAnsi="Calibri"/>
          <w:color w:val="262626"/>
          <w:sz w:val="21"/>
          <w:szCs w:val="21"/>
        </w:rPr>
        <w:t xml:space="preserve">El cliente otorgará oportunamente los accesos administrativos (Owner/Contributor y Global Admin o rol delegado) en ambos Tenants.</w:t>
      </w:r>
    </w:p>
    <w:p>
      <w:pPr>
        <w:pStyle w:val="ListParagraph"/>
        <w:numPr>
          <w:ilvl w:val="0"/>
          <w:numId w:val="2"/>
        </w:numPr>
        <w:spacing w:after="80"/>
      </w:pPr>
      <w:r>
        <w:rPr>
          <w:rFonts w:ascii="Calibri" w:cs="Calibri" w:eastAsia="Calibri" w:hAnsi="Calibri"/>
          <w:color w:val="262626"/>
          <w:sz w:val="21"/>
          <w:szCs w:val="21"/>
        </w:rPr>
        <w:t xml:space="preserve">Las aplicaciones (SAP ECC, GRP, DMS, Oracle DB) no requieren cambios de licenciamiento derivados únicamente del cambio de Tenant; cualquier trámite de licenciamiento ante el fabricante es responsabilidad del cliente.</w:t>
      </w:r>
    </w:p>
    <w:p>
      <w:pPr>
        <w:pStyle w:val="ListParagraph"/>
        <w:numPr>
          <w:ilvl w:val="0"/>
          <w:numId w:val="2"/>
        </w:numPr>
        <w:spacing w:after="80"/>
      </w:pPr>
      <w:r>
        <w:rPr>
          <w:rFonts w:ascii="Calibri" w:cs="Calibri" w:eastAsia="Calibri" w:hAnsi="Calibri"/>
          <w:color w:val="262626"/>
          <w:sz w:val="21"/>
          <w:szCs w:val="21"/>
        </w:rPr>
        <w:t xml:space="preserve">Las ventanas de mantenimiento y el corte productivo serán coordinadas, aprobadas y comunicadas por el cliente a sus usuarios finales.</w:t>
      </w:r>
    </w:p>
    <w:p>
      <w:pPr>
        <w:pStyle w:val="ListParagraph"/>
        <w:numPr>
          <w:ilvl w:val="0"/>
          <w:numId w:val="2"/>
        </w:numPr>
        <w:spacing w:after="80"/>
      </w:pPr>
      <w:r>
        <w:rPr>
          <w:rFonts w:ascii="Calibri" w:cs="Calibri" w:eastAsia="Calibri" w:hAnsi="Calibri"/>
          <w:color w:val="262626"/>
          <w:sz w:val="21"/>
          <w:szCs w:val="21"/>
        </w:rPr>
        <w:t xml:space="preserve">El ancho de banda de red disponible permite transferir los archivos de respaldo (VHD) entre Tenants en tiempos razonables dentro del cronograma propuesto.</w:t>
      </w:r>
    </w:p>
    <w:p>
      <w:pPr>
        <w:pStyle w:val="ListParagraph"/>
        <w:numPr>
          <w:ilvl w:val="0"/>
          <w:numId w:val="2"/>
        </w:numPr>
        <w:spacing w:after="80"/>
      </w:pPr>
      <w:r>
        <w:rPr>
          <w:rFonts w:ascii="Calibri" w:cs="Calibri" w:eastAsia="Calibri" w:hAnsi="Calibri"/>
          <w:color w:val="262626"/>
          <w:sz w:val="21"/>
          <w:szCs w:val="21"/>
        </w:rPr>
        <w:t xml:space="preserve">Salvo indicación contraria del cliente, los recursos del Tenant 2 se aprovisionarán en la misma región (South Central US) que el Tenant 1.</w:t>
      </w:r>
    </w:p>
    <w:p>
      <w:pPr>
        <w:pStyle w:val="ListParagraph"/>
        <w:numPr>
          <w:ilvl w:val="0"/>
          <w:numId w:val="2"/>
        </w:numPr>
        <w:spacing w:after="80"/>
      </w:pPr>
      <w:r>
        <w:rPr>
          <w:rFonts w:ascii="Calibri" w:cs="Calibri" w:eastAsia="Calibri" w:hAnsi="Calibri"/>
          <w:color w:val="262626"/>
          <w:sz w:val="21"/>
          <w:szCs w:val="21"/>
        </w:rPr>
        <w:t xml:space="preserve">No existen restricciones regulatorias o de cumplimiento que impidan el uso de herramientas como AzCopy para la transferencia de datos entre Tenants.</w:t>
      </w:r>
    </w:p>
    <w:p>
      <w:pPr>
        <w:pStyle w:val="ListParagraph"/>
        <w:numPr>
          <w:ilvl w:val="0"/>
          <w:numId w:val="2"/>
        </w:numPr>
        <w:spacing w:after="80"/>
      </w:pPr>
      <w:r>
        <w:rPr>
          <w:rFonts w:ascii="Calibri" w:cs="Calibri" w:eastAsia="Calibri" w:hAnsi="Calibri"/>
          <w:color w:val="262626"/>
          <w:sz w:val="21"/>
          <w:szCs w:val="21"/>
        </w:rPr>
        <w:t xml:space="preserve">El dimensionamiento (sizing) de VMs y discos se mantiene equivalente al inventario actual, salvo que el cliente solicite expresamente una optimización durante la Fase 1.</w:t>
      </w:r>
    </w:p>
    <w:p>
      <w:pPr>
        <w:pStyle w:val="ListParagraph"/>
        <w:numPr>
          <w:ilvl w:val="0"/>
          <w:numId w:val="2"/>
        </w:numPr>
        <w:spacing w:after="80"/>
      </w:pPr>
      <w:r>
        <w:rPr>
          <w:rFonts w:ascii="Calibri" w:cs="Calibri" w:eastAsia="Calibri" w:hAnsi="Calibri"/>
          <w:color w:val="262626"/>
          <w:sz w:val="21"/>
          <w:szCs w:val="21"/>
        </w:rPr>
        <w:t xml:space="preserve">Los aplicativos cuentan con documentación mínima de arquitectura y dependencias (bases de datos, interfaces, cuentas de servicio) o el cliente la pondrá a disposición del equipo de proyecto.</w:t>
      </w:r>
    </w:p>
    <w:p>
      <w:pPr>
        <w:pStyle w:val="Heading1"/>
        <w:pBdr>
          <w:bottom w:val="single" w:color="2E5395" w:sz="6" w:space="4"/>
        </w:pBdr>
        <w:spacing w:after="180" w:before="400"/>
      </w:pPr>
      <w:r>
        <w:rPr>
          <w:rFonts w:ascii="Calibri" w:cs="Calibri" w:eastAsia="Calibri" w:hAnsi="Calibri"/>
          <w:b/>
          <w:bCs/>
          <w:color w:val="1F3864"/>
          <w:sz w:val="30"/>
          <w:szCs w:val="30"/>
        </w:rPr>
        <w:t xml:space="preserve">12. Riesgos y Consideraciones de Seguridad</w:t>
      </w:r>
    </w:p>
    <w:p>
      <w:pPr>
        <w:spacing w:after="160" w:line="276"/>
      </w:pPr>
      <w:r>
        <w:rPr>
          <w:rFonts w:ascii="Calibri" w:cs="Calibri" w:eastAsia="Calibri" w:hAnsi="Calibri"/>
          <w:color w:val="262626"/>
          <w:sz w:val="21"/>
          <w:szCs w:val="21"/>
        </w:rPr>
        <w:t xml:space="preserve">La migración Tenant a Tenant implica, por su naturaleza, la recreación de controles de seguridad y red que hoy dependen del Tenant origen. Se identifican los siguientes riesgos y sus mitigaciones propuestas: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5400"/>
      </w:tblGrid>
      <w:tr>
        <w:trPr>
          <w:tblHeader/>
        </w:trPr>
        <w:tc>
          <w:tcPr>
            <w:tcW w:type="dxa" w:w="4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Riesgo / Consideración</w:t>
            </w:r>
          </w:p>
        </w:tc>
        <w:tc>
          <w:tcPr>
            <w:tcW w:type="dxa" w:w="5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Mitigación propuesta</w:t>
            </w:r>
          </w:p>
        </w:tc>
      </w:tr>
      <w:tr>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Cambio de direccionamiento IP puede afectar reglas de firewall, whitelists o cadenas de conexión de aplicativos</w:t>
            </w:r>
          </w:p>
        </w:tc>
        <w:tc>
          <w:tcPr>
            <w:tcW w:type="dxa" w:w="5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Inventariar todas las dependencias de IP antes del corte; mantener el mismo esquema de direccionamiento cuando sea posible</w:t>
            </w:r>
          </w:p>
        </w:tc>
      </w:tr>
      <w:tr>
        <w:tc>
          <w:tcPr>
            <w:tcW w:type="dxa" w:w="4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Reglas NSG mal replicadas pueden bloquear tráfico legítimo o dejar puertos expuestos</w:t>
            </w:r>
          </w:p>
        </w:tc>
        <w:tc>
          <w:tcPr>
            <w:tcW w:type="dxa" w:w="5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Documentar y validar cada regla NSG del Tenant 1 antes de recrearla en el Tenant 2; revisión de seguridad previa al cutover</w:t>
            </w:r>
          </w:p>
        </w:tc>
      </w:tr>
      <w:tr>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Cuentas de servicio o unión a dominio no sincronizadas correctamente en el nuevo Tenant</w:t>
            </w:r>
          </w:p>
        </w:tc>
        <w:tc>
          <w:tcPr>
            <w:tcW w:type="dxa" w:w="5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Plan específico de identidad (Azure AD) validado en Fase 1 y probado en Fase 5 antes del corte</w:t>
            </w:r>
          </w:p>
        </w:tc>
      </w:tr>
      <w:tr>
        <w:tc>
          <w:tcPr>
            <w:tcW w:type="dxa" w:w="4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Ventana de transferencia de datos mayor a la esperada por volumen o ancho de banda</w:t>
            </w:r>
          </w:p>
        </w:tc>
        <w:tc>
          <w:tcPr>
            <w:tcW w:type="dxa" w:w="5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Prueba piloto de transferencia con una VM no crítica antes de migrar el resto del ambiente</w:t>
            </w:r>
          </w:p>
        </w:tc>
      </w:tr>
      <w:tr>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Indisponibilidad de aplicativos críticos (SAP, Oracle) durante el corte</w:t>
            </w:r>
          </w:p>
        </w:tc>
        <w:tc>
          <w:tcPr>
            <w:tcW w:type="dxa" w:w="5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Ventanas de mantenimiento fuera de horario crítico, plan de rollback y Tenant 1 en stand-by durante hypercare</w:t>
            </w:r>
          </w:p>
        </w:tc>
      </w:tr>
      <w:tr>
        <w:tc>
          <w:tcPr>
            <w:tcW w:type="dxa" w:w="4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Exposición de datos durante la transferencia entre Tenants</w:t>
            </w:r>
          </w:p>
        </w:tc>
        <w:tc>
          <w:tcPr>
            <w:tcW w:type="dxa" w:w="54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Uso de SAS tokens de vida corta y alcance limitado; cifrado en tránsito; sin compartir credenciales administrativas entre Tenants</w:t>
            </w:r>
          </w:p>
        </w:tc>
      </w:tr>
      <w:tr>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Licenciamiento (SO, SQL/Oracle, SAP) inválido o no transferible al nuevo Tenant/suscripción</w:t>
            </w:r>
          </w:p>
        </w:tc>
        <w:tc>
          <w:tcPr>
            <w:tcW w:type="dxa" w:w="54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Validación temprana con el cliente y sus proveedores de licenciamiento antes de la Fase 3</w:t>
            </w:r>
          </w:p>
        </w:tc>
      </w:tr>
    </w:tbl>
    <w:p>
      <w:pPr>
        <w:spacing w:before="200"/>
      </w:pPr>
    </w:p>
    <w:p>
      <w:pPr>
        <w:pStyle w:val="Heading1"/>
        <w:pBdr>
          <w:bottom w:val="single" w:color="2E5395" w:sz="6" w:space="4"/>
        </w:pBdr>
        <w:spacing w:after="180" w:before="400"/>
      </w:pPr>
      <w:r>
        <w:rPr>
          <w:rFonts w:ascii="Calibri" w:cs="Calibri" w:eastAsia="Calibri" w:hAnsi="Calibri"/>
          <w:b/>
          <w:bCs/>
          <w:color w:val="1F3864"/>
          <w:sz w:val="30"/>
          <w:szCs w:val="30"/>
        </w:rPr>
        <w:t xml:space="preserve">13. Calculadora Azure (Dimensionamiento y Costos)</w:t>
      </w:r>
    </w:p>
    <w:p>
      <w:pPr>
        <w:spacing w:after="160" w:line="276"/>
      </w:pPr>
      <w:r>
        <w:rPr>
          <w:rFonts w:ascii="Calibri" w:cs="Calibri" w:eastAsia="Calibri" w:hAnsi="Calibri"/>
          <w:color w:val="262626"/>
          <w:sz w:val="21"/>
          <w:szCs w:val="21"/>
        </w:rPr>
        <w:t xml:space="preserve">El dimensionamiento y costos de referencia utilizados en esta propuesta provienen de la calculadora oficial de precios de Azure (“TotalTech_VM | PAYG”), bajo el modelo Pay-As-You-Go, región South Central US. A continuación se presenta el resumen de cómputo (VMs) y el detalle completo de todos los recursos incluidos.</w:t>
      </w:r>
    </w:p>
    <w:p>
      <w:pPr>
        <w:pStyle w:val="Heading2"/>
        <w:spacing w:after="120" w:before="260"/>
      </w:pPr>
      <w:r>
        <w:rPr>
          <w:rFonts w:ascii="Calibri" w:cs="Calibri" w:eastAsia="Calibri" w:hAnsi="Calibri"/>
          <w:b/>
          <w:bCs/>
          <w:color w:val="2E5395"/>
          <w:sz w:val="24"/>
          <w:szCs w:val="24"/>
        </w:rPr>
        <w:t xml:space="preserve">13.1 Resumen de máquinas virtuales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200"/>
      </w:tblGrid>
      <w:tr>
        <w:trPr>
          <w:tblHeader/>
        </w:trPr>
        <w:tc>
          <w:tcPr>
            <w:tcW w:type="dxa" w:w="24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VM</w:t>
            </w:r>
          </w:p>
        </w:tc>
        <w:tc>
          <w:tcPr>
            <w:tcW w:type="dxa" w:w="2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SKU</w:t>
            </w:r>
          </w:p>
        </w:tc>
        <w:tc>
          <w:tcPr>
            <w:tcW w:type="dxa" w:w="16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SO</w:t>
            </w:r>
          </w:p>
        </w:tc>
        <w:tc>
          <w:tcPr>
            <w:tcW w:type="dxa" w:w="22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Costo mensual VM (USD)</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OracleDBsrv</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Linux</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$141.83</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TTechDMS-PRD</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F4s (4 vCPUs, 8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$317.95</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TTechDMS-QAS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DS13 v2 (8 vCPUs, 56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TTechGRP-QAS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DS12 v2 (4 vCPUs, 28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$372.70</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TTechGRPPRD0922</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DS13 v2 (8 vCPUs, 56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TTechSAP-DMS</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24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2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B4ms (4 Cores, 16 GB RAM)</w:t>
            </w:r>
          </w:p>
        </w:tc>
        <w:tc>
          <w:tcPr>
            <w:tcW w:type="dxa" w:w="16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$175.60</w:t>
            </w:r>
          </w:p>
        </w:tc>
      </w:tr>
      <w:tr>
        <w:tc>
          <w:tcPr>
            <w:tcW w:type="dxa" w:w="24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A4 v2 (4 Cores, 8 GB RAM)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Windows</w:t>
            </w:r>
          </w:p>
        </w:tc>
        <w:tc>
          <w:tcPr>
            <w:tcW w:type="dxa" w:w="22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bl>
    <w:p>
      <w:pPr>
        <w:spacing w:after="160" w:before="240"/>
      </w:pPr>
    </w:p>
    <w:p>
      <w:pPr>
        <w:pStyle w:val="Heading2"/>
        <w:spacing w:after="120" w:before="260"/>
      </w:pPr>
      <w:r>
        <w:rPr>
          <w:rFonts w:ascii="Calibri" w:cs="Calibri" w:eastAsia="Calibri" w:hAnsi="Calibri"/>
          <w:b/>
          <w:bCs/>
          <w:color w:val="2E5395"/>
          <w:sz w:val="24"/>
          <w:szCs w:val="24"/>
        </w:rPr>
        <w:t xml:space="preserve">13.2 Detalle completo de recursos (Cómputo, Almacenamiento y Red)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00"/>
        <w:gridCol w:w="1400"/>
      </w:tblGrid>
      <w:tr>
        <w:trPr>
          <w:tblHeader/>
        </w:trPr>
        <w:tc>
          <w:tcPr>
            <w:tcW w:type="dxa" w:w="15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Categoría</w:t>
            </w:r>
          </w:p>
        </w:tc>
        <w:tc>
          <w:tcPr>
            <w:tcW w:type="dxa" w:w="22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Recurso</w:t>
            </w:r>
          </w:p>
        </w:tc>
        <w:tc>
          <w:tcPr>
            <w:tcW w:type="dxa" w:w="5300"/>
            <w:shd w:fill="1F3864"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Detalle / SKU</w:t>
            </w:r>
          </w:p>
        </w:tc>
        <w:tc>
          <w:tcPr>
            <w:tcW w:type="dxa" w:w="1400"/>
            <w:shd w:fill="1F3864"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Costo mensual (USD)</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OracleDBsrv</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Linux,  (Pay as you go); 1 managed disk – E4;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$141.83</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64</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TTechDMS-PRD</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F4s (4 vCPUs, 8 GB RAM) x 730 Horas (Pay as you go), Windows (Licencia incluida), OS Only; 1 managed disk – P10;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$317.95</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P15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$34.56</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TTechDMS-QAS</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E20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$38.60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DS13 v2 (8 vCPUs, 56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 1</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 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E20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$38.60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E4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E15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$19.40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TTechGRP-QAS</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DS12 v2 (4 vCPUs, 28 GB RAM) x 730 Horas (Pay as you go), Windows (Licencia incluida), OS Only; 1 managed disk – P10; Inter Region transfer type, 5 GB outbound data transfer from South Central US to East Asia</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$372.70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P20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$66.56</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P4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$4.80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P6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$9.28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TTechGRPPRD0922</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DS13 v2 (8 vCPUs, 56 GB RAM) x 730 Horas (Pay as you go), Windows (Licencia incluida), OS Only; 1 managed disk – E10; Inter Region transfer type, 5 GB outbound data transfer from South Central US to East Asia</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$719.16</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128-1</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128-2</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E10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$9.80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E20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$38.60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E4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E6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TTechSAP-DMS</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E15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$19.40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B4ms (4 Cores, 16 GB RAM) x 730 Horas (Pay as you go), Windows (Licencia incluida), OS Only; 1 managed disk – P10;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$175.60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512</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P20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$66.56</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128</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P4 Tipo de disco 1 Discos; Pago por uso</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$4.80</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120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Premium, LRS Redundancia, P10 Tipo de disco 1 Discos;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$17.92</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Compute</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TTechSAP-ECC</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1 A4 v2 (4 Cores, 8 GB RAM) x 730 Horas (Pay as you go), Windows (Licencia incluida), OS Only; 1 managed disk – E10; Inter Region transfer type, 5 GB outbound data transfer from South Central US to East Asia</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$218.38</w:t>
            </w:r>
          </w:p>
        </w:tc>
      </w:tr>
      <w:tr>
        <w:tc>
          <w:tcPr>
            <w:tcW w:type="dxa" w:w="15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Almacenamiento</w:t>
            </w:r>
          </w:p>
        </w:tc>
        <w:tc>
          <w:tcPr>
            <w:tcW w:type="dxa" w:w="2200"/>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DataDisksGB 30</w:t>
            </w:r>
          </w:p>
        </w:tc>
        <w:tc>
          <w:tcPr>
            <w:tcW w:type="dxa" w:w="5300"/>
            <w:shd w:fill="F2F2F2"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Managed Disks, SSD estándar, LRS Redundancia, E4 Tipo de disco 1 Discos, Transacciones de Storage: 100; Pago por uso</w:t>
            </w:r>
          </w:p>
        </w:tc>
        <w:tc>
          <w:tcPr>
            <w:tcW w:type="dxa" w:w="1400"/>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$2.60</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Redes</w:t>
            </w:r>
          </w:p>
        </w:tc>
        <w:tc>
          <w:tcPr>
            <w:tcW w:type="dxa" w:w="2200"/>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Private IP Addresses 10</w:t>
            </w:r>
          </w:p>
        </w:tc>
        <w:tc>
          <w:tcPr>
            <w:tcW w:type="dxa" w:w="5300"/>
            <w:tcMar>
              <w:top w:type="dxa" w:w="90"/>
              <w:left w:type="dxa" w:w="110"/>
              <w:bottom w:type="dxa" w:w="90"/>
              <w:right w:type="dxa" w:w="110"/>
            </w:tcMar>
            <w:vAlign w:val="center"/>
          </w:tcPr>
          <w:p>
            <w:pPr>
              <w:jc w:val="left"/>
            </w:pPr>
            <w:r>
              <w:rPr>
                <w:rFonts w:ascii="Calibri" w:cs="Calibri" w:eastAsia="Calibri" w:hAnsi="Calibri"/>
                <w:b w:val="false"/>
                <w:bCs w:val="false"/>
                <w:color w:val="262626"/>
                <w:sz w:val="17"/>
                <w:szCs w:val="17"/>
              </w:rPr>
              <w:t xml:space="preserve">Básico (ARM), 0 direcciones IP dinámicas X 730 Horas, 10 direcciones IP estáticas X 730 Horas</w:t>
            </w:r>
          </w:p>
        </w:tc>
        <w:tc>
          <w:tcPr>
            <w:tcW w:type="dxa" w:w="1400"/>
            <w:tcMar>
              <w:top w:type="dxa" w:w="90"/>
              <w:left w:type="dxa" w:w="110"/>
              <w:bottom w:type="dxa" w:w="90"/>
              <w:right w:type="dxa" w:w="110"/>
            </w:tcMar>
            <w:vAlign w:val="center"/>
          </w:tcPr>
          <w:p>
            <w:pPr>
              <w:jc w:val="center"/>
            </w:pPr>
            <w:r>
              <w:rPr>
                <w:rFonts w:ascii="Calibri" w:cs="Calibri" w:eastAsia="Calibri" w:hAnsi="Calibri"/>
                <w:b w:val="false"/>
                <w:bCs w:val="false"/>
                <w:color w:val="262626"/>
                <w:sz w:val="19"/>
                <w:szCs w:val="19"/>
              </w:rPr>
              <w:t xml:space="preserve">$26.28</w:t>
            </w:r>
          </w:p>
        </w:tc>
      </w:tr>
      <w:tr>
        <w:tc>
          <w:tcPr>
            <w:tcW w:type="dxa" w:w="1500"/>
            <w:shd w:fill="DCE9F5"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
            </w:r>
          </w:p>
        </w:tc>
        <w:tc>
          <w:tcPr>
            <w:tcW w:type="dxa" w:w="2200"/>
            <w:shd w:fill="DCE9F5"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262626"/>
                <w:sz w:val="19"/>
                <w:szCs w:val="19"/>
              </w:rPr>
              <w:t xml:space="preserve"/>
            </w:r>
          </w:p>
        </w:tc>
        <w:tc>
          <w:tcPr>
            <w:tcW w:type="dxa" w:w="5300"/>
            <w:shd w:fill="DCE9F5" w:color="auto" w:val="clear"/>
            <w:tcMar>
              <w:top w:type="dxa" w:w="90"/>
              <w:left w:type="dxa" w:w="110"/>
              <w:bottom w:type="dxa" w:w="90"/>
              <w:right w:type="dxa" w:w="110"/>
            </w:tcMar>
            <w:vAlign w:val="center"/>
          </w:tcPr>
          <w:p>
            <w:pPr>
              <w:jc w:val="left"/>
            </w:pPr>
            <w:r>
              <w:rPr>
                <w:rFonts w:ascii="Calibri" w:cs="Calibri" w:eastAsia="Calibri" w:hAnsi="Calibri"/>
                <w:b/>
                <w:bCs/>
                <w:color w:val="262626"/>
                <w:sz w:val="19"/>
                <w:szCs w:val="19"/>
              </w:rPr>
              <w:t xml:space="preserve">Total estimado mensual (PAYG)</w:t>
            </w:r>
          </w:p>
        </w:tc>
        <w:tc>
          <w:tcPr>
            <w:tcW w:type="dxa" w:w="1400"/>
            <w:shd w:fill="DCE9F5" w:color="auto" w:val="clear"/>
            <w:tcMar>
              <w:top w:type="dxa" w:w="90"/>
              <w:left w:type="dxa" w:w="110"/>
              <w:bottom w:type="dxa" w:w="90"/>
              <w:right w:type="dxa" w:w="110"/>
            </w:tcMar>
            <w:vAlign w:val="center"/>
          </w:tcPr>
          <w:p>
            <w:pPr>
              <w:jc w:val="center"/>
            </w:pPr>
            <w:r>
              <w:rPr>
                <w:rFonts w:ascii="Calibri" w:cs="Calibri" w:eastAsia="Calibri" w:hAnsi="Calibri"/>
                <w:b/>
                <w:bCs/>
                <w:color w:val="262626"/>
                <w:sz w:val="19"/>
                <w:szCs w:val="19"/>
              </w:rPr>
              <w:t xml:space="preserve">$3625.58</w:t>
            </w:r>
          </w:p>
        </w:tc>
      </w:tr>
    </w:tbl>
    <w:p>
      <w:pPr>
        <w:spacing w:after="100" w:before="200"/>
      </w:pPr>
      <w:r>
        <w:rPr>
          <w:rFonts w:ascii="Calibri" w:cs="Calibri" w:eastAsia="Calibri" w:hAnsi="Calibri"/>
          <w:b/>
          <w:bCs/>
          <w:color w:val="262626"/>
          <w:sz w:val="18"/>
          <w:szCs w:val="18"/>
        </w:rPr>
        <w:t xml:space="preserve">Nota: </w:t>
      </w:r>
      <w:r>
        <w:rPr>
          <w:rFonts w:ascii="Calibri" w:cs="Calibri" w:eastAsia="Calibri" w:hAnsi="Calibri"/>
          <w:i/>
          <w:iCs/>
          <w:color w:val="262626"/>
          <w:sz w:val="18"/>
          <w:szCs w:val="18"/>
        </w:rPr>
        <w:t xml:space="preserve">los precios mostrados son en USD y corresponden a una estimación, no a una cotización en firme. Los costos del Tenant 2 deberán validarse nuevamente al momento del aprovisionamiento, ya que pueden variar por región, tipo de contrato (MCA/EA/CSP) o descuentos vigentes.</w:t>
      </w:r>
    </w:p>
    <w:p>
      <w:pPr>
        <w:pStyle w:val="Heading1"/>
        <w:pBdr>
          <w:bottom w:val="single" w:color="2E5395" w:sz="6" w:space="4"/>
        </w:pBdr>
        <w:spacing w:after="180" w:before="400"/>
      </w:pPr>
      <w:r>
        <w:rPr>
          <w:rFonts w:ascii="Calibri" w:cs="Calibri" w:eastAsia="Calibri" w:hAnsi="Calibri"/>
          <w:b/>
          <w:bCs/>
          <w:color w:val="1F3864"/>
          <w:sz w:val="30"/>
          <w:szCs w:val="30"/>
        </w:rPr>
        <w:t xml:space="preserve">14. Consideraciones Adicionales para la Implementación</w:t>
      </w:r>
    </w:p>
    <w:p>
      <w:pPr>
        <w:pStyle w:val="ListParagraph"/>
        <w:numPr>
          <w:ilvl w:val="0"/>
          <w:numId w:val="2"/>
        </w:numPr>
        <w:spacing w:after="80"/>
      </w:pPr>
      <w:r>
        <w:rPr>
          <w:rFonts w:ascii="Calibri" w:cs="Calibri" w:eastAsia="Calibri" w:hAnsi="Calibri"/>
          <w:color w:val="262626"/>
          <w:sz w:val="21"/>
          <w:szCs w:val="21"/>
        </w:rPr>
        <w:t xml:space="preserve">Definir con el cliente el tipo de contrato/licenciamiento del Tenant 2 (MCA, EA o CSP) antes de iniciar el aprovisionamiento, ya que impacta el proceso de facturación y soporte.</w:t>
      </w:r>
    </w:p>
    <w:p>
      <w:pPr>
        <w:pStyle w:val="ListParagraph"/>
        <w:numPr>
          <w:ilvl w:val="0"/>
          <w:numId w:val="2"/>
        </w:numPr>
        <w:spacing w:after="80"/>
      </w:pPr>
      <w:r>
        <w:rPr>
          <w:rFonts w:ascii="Calibri" w:cs="Calibri" w:eastAsia="Calibri" w:hAnsi="Calibri"/>
          <w:color w:val="262626"/>
          <w:sz w:val="21"/>
          <w:szCs w:val="21"/>
        </w:rPr>
        <w:t xml:space="preserve">Acordar una prueba piloto de migración con una VM no crítica (por ejemplo, un ambiente de QAS) antes de migrar los ambientes productivos.</w:t>
      </w:r>
    </w:p>
    <w:p>
      <w:pPr>
        <w:pStyle w:val="ListParagraph"/>
        <w:numPr>
          <w:ilvl w:val="0"/>
          <w:numId w:val="2"/>
        </w:numPr>
        <w:spacing w:after="80"/>
      </w:pPr>
      <w:r>
        <w:rPr>
          <w:rFonts w:ascii="Calibri" w:cs="Calibri" w:eastAsia="Calibri" w:hAnsi="Calibri"/>
          <w:color w:val="262626"/>
          <w:sz w:val="21"/>
          <w:szCs w:val="21"/>
        </w:rPr>
        <w:t xml:space="preserve">Establecer un plan de comunicación a usuarios finales sobre la ventana de corte y posibles cambios (URLs, IPs, VPN).</w:t>
      </w:r>
    </w:p>
    <w:p>
      <w:pPr>
        <w:pStyle w:val="ListParagraph"/>
        <w:numPr>
          <w:ilvl w:val="0"/>
          <w:numId w:val="2"/>
        </w:numPr>
        <w:spacing w:after="80"/>
      </w:pPr>
      <w:r>
        <w:rPr>
          <w:rFonts w:ascii="Calibri" w:cs="Calibri" w:eastAsia="Calibri" w:hAnsi="Calibri"/>
          <w:color w:val="262626"/>
          <w:sz w:val="21"/>
          <w:szCs w:val="21"/>
        </w:rPr>
        <w:t xml:space="preserve">Definir el periodo de convivencia (stand-by) del Tenant 1 posterior al corte, antes de proceder con el descomisionamiento definitivo.</w:t>
      </w:r>
    </w:p>
    <w:p>
      <w:pPr>
        <w:pStyle w:val="ListParagraph"/>
        <w:numPr>
          <w:ilvl w:val="0"/>
          <w:numId w:val="2"/>
        </w:numPr>
        <w:spacing w:after="80"/>
      </w:pPr>
      <w:r>
        <w:rPr>
          <w:rFonts w:ascii="Calibri" w:cs="Calibri" w:eastAsia="Calibri" w:hAnsi="Calibri"/>
          <w:color w:val="262626"/>
          <w:sz w:val="21"/>
          <w:szCs w:val="21"/>
        </w:rPr>
        <w:t xml:space="preserve">Documentar el runbook detallado (paso a paso, responsables y tiempos) para la ejecución de la ventana de cutover.</w:t>
      </w:r>
    </w:p>
    <w:p>
      <w:pPr>
        <w:pStyle w:val="ListParagraph"/>
        <w:numPr>
          <w:ilvl w:val="0"/>
          <w:numId w:val="2"/>
        </w:numPr>
        <w:spacing w:after="80"/>
      </w:pPr>
      <w:r>
        <w:rPr>
          <w:rFonts w:ascii="Calibri" w:cs="Calibri" w:eastAsia="Calibri" w:hAnsi="Calibri"/>
          <w:color w:val="262626"/>
          <w:sz w:val="21"/>
          <w:szCs w:val="21"/>
        </w:rPr>
        <w:t xml:space="preserve">Considerar una revisión de oportunidades de optimización de costos (Reservas o Savings Plans) una vez estabilizado el ambiente en el Tenant 2.</w:t>
      </w:r>
    </w:p>
    <w:p>
      <w:pPr>
        <w:pStyle w:val="Heading1"/>
        <w:pBdr>
          <w:bottom w:val="single" w:color="2E5395" w:sz="6" w:space="4"/>
        </w:pBdr>
        <w:spacing w:after="180" w:before="400"/>
      </w:pPr>
      <w:r>
        <w:rPr>
          <w:rFonts w:ascii="Calibri" w:cs="Calibri" w:eastAsia="Calibri" w:hAnsi="Calibri"/>
          <w:b/>
          <w:bCs/>
          <w:color w:val="1F3864"/>
          <w:sz w:val="30"/>
          <w:szCs w:val="30"/>
        </w:rPr>
        <w:t xml:space="preserve">15. Entregables</w:t>
      </w:r>
    </w:p>
    <w:p>
      <w:pPr>
        <w:pStyle w:val="ListParagraph"/>
        <w:numPr>
          <w:ilvl w:val="0"/>
          <w:numId w:val="2"/>
        </w:numPr>
        <w:spacing w:after="80"/>
      </w:pPr>
      <w:r>
        <w:rPr>
          <w:rFonts w:ascii="Calibri" w:cs="Calibri" w:eastAsia="Calibri" w:hAnsi="Calibri"/>
          <w:color w:val="262626"/>
          <w:sz w:val="21"/>
          <w:szCs w:val="21"/>
        </w:rPr>
        <w:t xml:space="preserve">Documento de arquitectura destino (Tenant 2): red, seguridad, cómputo y almacenamiento.</w:t>
      </w:r>
    </w:p>
    <w:p>
      <w:pPr>
        <w:pStyle w:val="ListParagraph"/>
        <w:numPr>
          <w:ilvl w:val="0"/>
          <w:numId w:val="2"/>
        </w:numPr>
        <w:spacing w:after="80"/>
      </w:pPr>
      <w:r>
        <w:rPr>
          <w:rFonts w:ascii="Calibri" w:cs="Calibri" w:eastAsia="Calibri" w:hAnsi="Calibri"/>
          <w:color w:val="262626"/>
          <w:sz w:val="21"/>
          <w:szCs w:val="21"/>
        </w:rPr>
        <w:t xml:space="preserve">Runbook de migración (backup, transferencia, restauración) por cada VM.</w:t>
      </w:r>
    </w:p>
    <w:p>
      <w:pPr>
        <w:pStyle w:val="ListParagraph"/>
        <w:numPr>
          <w:ilvl w:val="0"/>
          <w:numId w:val="2"/>
        </w:numPr>
        <w:spacing w:after="80"/>
      </w:pPr>
      <w:r>
        <w:rPr>
          <w:rFonts w:ascii="Calibri" w:cs="Calibri" w:eastAsia="Calibri" w:hAnsi="Calibri"/>
          <w:color w:val="262626"/>
          <w:sz w:val="21"/>
          <w:szCs w:val="21"/>
        </w:rPr>
        <w:t xml:space="preserve">Plan de cutover y plan de rollback.</w:t>
      </w:r>
    </w:p>
    <w:p>
      <w:pPr>
        <w:pStyle w:val="ListParagraph"/>
        <w:numPr>
          <w:ilvl w:val="0"/>
          <w:numId w:val="2"/>
        </w:numPr>
        <w:spacing w:after="80"/>
      </w:pPr>
      <w:r>
        <w:rPr>
          <w:rFonts w:ascii="Calibri" w:cs="Calibri" w:eastAsia="Calibri" w:hAnsi="Calibri"/>
          <w:color w:val="262626"/>
          <w:sz w:val="21"/>
          <w:szCs w:val="21"/>
        </w:rPr>
        <w:t xml:space="preserve">Reporte de validación funcional (smoke tests) de los aplicativos migrados.</w:t>
      </w:r>
    </w:p>
    <w:p>
      <w:pPr>
        <w:pStyle w:val="ListParagraph"/>
        <w:numPr>
          <w:ilvl w:val="0"/>
          <w:numId w:val="2"/>
        </w:numPr>
        <w:spacing w:after="80"/>
      </w:pPr>
      <w:r>
        <w:rPr>
          <w:rFonts w:ascii="Calibri" w:cs="Calibri" w:eastAsia="Calibri" w:hAnsi="Calibri"/>
          <w:color w:val="262626"/>
          <w:sz w:val="21"/>
          <w:szCs w:val="21"/>
        </w:rPr>
        <w:t xml:space="preserve">Documentación as-built del ambiente final en el Tenant 2.</w:t>
      </w:r>
    </w:p>
    <w:p>
      <w:pPr>
        <w:pStyle w:val="ListParagraph"/>
        <w:numPr>
          <w:ilvl w:val="0"/>
          <w:numId w:val="2"/>
        </w:numPr>
        <w:spacing w:after="80"/>
      </w:pPr>
      <w:r>
        <w:rPr>
          <w:rFonts w:ascii="Calibri" w:cs="Calibri" w:eastAsia="Calibri" w:hAnsi="Calibri"/>
          <w:color w:val="262626"/>
          <w:sz w:val="21"/>
          <w:szCs w:val="21"/>
        </w:rPr>
        <w:t xml:space="preserve">Reporte de cierre de proyecto y lecciones aprendidas.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62626"/>
        <w:sz w:val="16"/>
        <w:szCs w:val="16"/>
      </w:rPr>
      <w:t xml:space="preserve">Página </w:t>
    </w:r>
    <w:r>
      <w:rPr>
        <w:rFonts w:ascii="Calibri" w:cs="Calibri" w:eastAsia="Calibri" w:hAnsi="Calibri"/>
        <w:color w:val="262626"/>
        <w:sz w:val="16"/>
        <w:szCs w:val="16"/>
      </w:rPr>
      <w:fldChar w:fldCharType="begin"/>
      <w:instrText xml:space="preserve">PAGE</w:instrText>
      <w:fldChar w:fldCharType="separate"/>
      <w:fldChar w:fldCharType="end"/>
    </w:r>
    <w:r>
      <w:rPr>
        <w:rFonts w:ascii="Calibri" w:cs="Calibri" w:eastAsia="Calibri" w:hAnsi="Calibri"/>
        <w:color w:val="262626"/>
        <w:sz w:val="16"/>
        <w:szCs w:val="16"/>
      </w:rPr>
      <w:t xml:space="preserve"> de </w:t>
    </w:r>
    <w:r>
      <w:rPr>
        <w:rFonts w:ascii="Calibri" w:cs="Calibri" w:eastAsia="Calibri" w:hAnsi="Calibri"/>
        <w:color w:val="26262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9F5" w:sz="4" w:space="4"/>
      </w:pBdr>
      <w:tabs>
        <w:tab w:val="right" w:pos="9026"/>
      </w:tabs>
    </w:pPr>
    <w:r>
      <w:rPr>
        <w:rFonts w:ascii="Calibri" w:cs="Calibri" w:eastAsia="Calibri" w:hAnsi="Calibri"/>
        <w:color w:val="2E5395"/>
        <w:sz w:val="16"/>
        <w:szCs w:val="16"/>
      </w:rPr>
      <w:t xml:space="preserve">TotalTech – Migración Tenant a Tenant Azure</w:t>
    </w:r>
    <w:r>
      <w:rPr>
        <w:rFonts w:ascii="Calibri" w:cs="Calibri" w:eastAsia="Calibri" w:hAnsi="Calibri"/>
        <w:color w:val="2E5395"/>
        <w:sz w:val="16"/>
        <w:szCs w:val="16"/>
      </w:rPr>
      <w:t xml:space="preserve">	Propuesta de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2026-07-10T05:19:40.994Z</dcterms:created>
  <dcterms:modified xsi:type="dcterms:W3CDTF">2026-07-10T05:19:41.006Z</dcterms:modified>
</cp:coreProperties>
</file>

<file path=docProps/custom.xml><?xml version="1.0" encoding="utf-8"?>
<Properties xmlns="http://schemas.openxmlformats.org/officeDocument/2006/custom-properties" xmlns:vt="http://schemas.openxmlformats.org/officeDocument/2006/docPropsVTypes"/>
</file>