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0078D4"/>
          <w:sz w:val="60"/>
          <w:szCs w:val="60"/>
        </w:rPr>
        <w:t xml:space="preserve">PLAN DE IMPLEMENTACION</w:t>
      </w:r>
    </w:p>
    <w:p>
      <w:pPr>
        <w:spacing w:after="80" w:before="0"/>
        <w:jc w:val="center"/>
      </w:pPr>
      <w:r>
        <w:rPr>
          <w:rFonts w:ascii="Arial" w:cs="Arial" w:eastAsia="Arial" w:hAnsi="Arial"/>
          <w:color w:val="1F3864"/>
          <w:sz w:val="28"/>
          <w:szCs w:val="28"/>
        </w:rPr>
        <w:t xml:space="preserve">Azure Advisor — Recomendaciones de Seguridad, Confiabilidad, Costo y Excelencia Operativa</w:t>
      </w:r>
    </w:p>
    <w:p>
      <w:pPr>
        <w:spacing w:after="60" w:before="0"/>
        <w:jc w:val="center"/>
      </w:pPr>
      <w:r>
        <w:rPr>
          <w:rFonts w:ascii="Arial" w:cs="Arial" w:eastAsia="Arial" w:hAnsi="Arial"/>
          <w:color w:val="595959"/>
          <w:sz w:val="22"/>
          <w:szCs w:val="22"/>
        </w:rPr>
        <w:t xml:space="preserve">Azure subscription 1  (9d81a980-2eb4-4d5b-907f-dc099e648f25)</w:t>
      </w:r>
    </w:p>
    <w:p>
      <w:pPr>
        <w:spacing w:after="120" w:before="0"/>
        <w:jc w:val="center"/>
      </w:pPr>
      <w:r>
        <w:rPr>
          <w:rFonts w:ascii="Arial" w:cs="Arial" w:eastAsia="Arial" w:hAnsi="Arial"/>
          <w:color w:val="595959"/>
          <w:sz w:val="22"/>
          <w:szCs w:val="22"/>
        </w:rPr>
        <w:t xml:space="preserve">Junio 2026</w:t>
      </w:r>
    </w:p>
    <w:p>
      <w:pPr>
        <w:spacing w:after="60" w:before="0"/>
        <w:jc w:val="center"/>
      </w:pPr>
      <w:r>
        <w:rPr>
          <w:rFonts w:ascii="Arial" w:cs="Arial" w:eastAsia="Arial" w:hAnsi="Arial"/>
          <w:color w:val="595959"/>
          <w:sz w:val="18"/>
          <w:szCs w:val="18"/>
        </w:rPr>
        <w:t xml:space="preserve">Version 1.0  |  Equipo: Mixto (Interno + Partner Externo)  |  Clasificacion: Uso Interno</w:t>
      </w:r>
    </w:p>
    <w:p>
      <w:pPr>
        <w:pBdr>
          <w:top w:val="single" w:color="0078D4" w:sz="12"/>
        </w:pBdr>
        <w:spacing w:after="0" w:before="100"/>
        <w:jc w:val="center"/>
      </w:pPr>
      <w:r>
        <w:t xml:space="preserve"/>
      </w:r>
    </w:p>
    <w:p>
      <w:r>
        <w:br w:type="page"/>
      </w:r>
    </w:p>
    <w:p>
      <w:pPr>
        <w:pStyle w:val="Heading1"/>
        <w:pBdr>
          <w:bottom w:val="single" w:color="0078D4" w:sz="8" w:space="4"/>
        </w:pBdr>
        <w:spacing w:after="120" w:before="400"/>
      </w:pPr>
      <w:r>
        <w:rPr>
          <w:rFonts w:ascii="Arial" w:cs="Arial" w:eastAsia="Arial" w:hAnsi="Arial"/>
          <w:b/>
          <w:bCs/>
          <w:color w:val="1F3864"/>
          <w:sz w:val="32"/>
          <w:szCs w:val="32"/>
        </w:rPr>
        <w:t xml:space="preserve">1. Introduccion y Alcance</w:t>
      </w:r>
    </w:p>
    <w:p>
      <w:pPr>
        <w:spacing w:after="60" w:before="60"/>
        <w:jc w:val="left"/>
      </w:pPr>
      <w:r>
        <w:rPr>
          <w:rFonts w:ascii="Arial" w:cs="Arial" w:eastAsia="Arial" w:hAnsi="Arial"/>
          <w:b w:val="false"/>
          <w:bCs w:val="false"/>
          <w:color w:val="000000"/>
          <w:sz w:val="20"/>
          <w:szCs w:val="20"/>
        </w:rPr>
        <w:t xml:space="preserve">El presente documento define el Plan de Implementacion para la resolucion de las 150 recomendaciones activas identificadas por Azure Advisor en la suscripcion Azure subscription 1. El plan esta organizado en cuatro fases cronologicas, con un nivel ejecutivo de seguimiento y un nivel tecnico detallado para la ejecucion operativa.</w:t>
      </w:r>
    </w:p>
    <w:p>
      <w:pPr>
        <w:spacing w:after="40" w:before="40"/>
      </w:pPr>
      <w:r>
        <w:t xml:space="preserve"/>
      </w:r>
    </w:p>
    <w:p>
      <w:pPr>
        <w:spacing w:after="60" w:before="60"/>
        <w:jc w:val="left"/>
      </w:pPr>
      <w:r>
        <w:rPr>
          <w:rFonts w:ascii="Arial" w:cs="Arial" w:eastAsia="Arial" w:hAnsi="Arial"/>
          <w:b w:val="false"/>
          <w:bCs w:val="false"/>
          <w:color w:val="000000"/>
          <w:sz w:val="20"/>
          <w:szCs w:val="20"/>
        </w:rPr>
        <w:t xml:space="preserve">El plan es ejecutado por un equipo mixto compuesto por personal de TI interno del tenant y un partner o consultor externo especializado en Azure, con responsabilidades claramente definidas mediante una matriz RACI.</w:t>
      </w:r>
    </w:p>
    <w:p>
      <w:pPr>
        <w:pStyle w:val="Heading2"/>
        <w:spacing w:after="100" w:before="280"/>
      </w:pPr>
      <w:r>
        <w:rPr>
          <w:rFonts w:ascii="Arial" w:cs="Arial" w:eastAsia="Arial" w:hAnsi="Arial"/>
          <w:b/>
          <w:bCs/>
          <w:color w:val="2E75B6"/>
          <w:sz w:val="26"/>
          <w:szCs w:val="26"/>
        </w:rPr>
        <w:t xml:space="preserve">1.1 Objetivos del Plan</w:t>
      </w:r>
    </w:p>
    <w:p>
      <w:pPr>
        <w:pStyle w:val="ListParagraph"/>
        <w:numPr>
          <w:ilvl w:val="0"/>
          <w:numId w:val="2"/>
        </w:numPr>
        <w:spacing w:after="40" w:before="40"/>
      </w:pPr>
      <w:r>
        <w:rPr>
          <w:rFonts w:ascii="Arial" w:cs="Arial" w:eastAsia="Arial" w:hAnsi="Arial"/>
          <w:sz w:val="20"/>
          <w:szCs w:val="20"/>
        </w:rPr>
        <w:t xml:space="preserve">Resolver el 100% de las recomendaciones de impacto Alto en un plazo maximo de 60 dias.</w:t>
      </w:r>
    </w:p>
    <w:p>
      <w:pPr>
        <w:pStyle w:val="ListParagraph"/>
        <w:numPr>
          <w:ilvl w:val="0"/>
          <w:numId w:val="2"/>
        </w:numPr>
        <w:spacing w:after="40" w:before="40"/>
      </w:pPr>
      <w:r>
        <w:rPr>
          <w:rFonts w:ascii="Arial" w:cs="Arial" w:eastAsia="Arial" w:hAnsi="Arial"/>
          <w:sz w:val="20"/>
          <w:szCs w:val="20"/>
        </w:rPr>
        <w:t xml:space="preserve">Reducir el costo de computo en al menos $15,000 USD anuales mediante compromisos de uso.</w:t>
      </w:r>
    </w:p>
    <w:p>
      <w:pPr>
        <w:pStyle w:val="ListParagraph"/>
        <w:numPr>
          <w:ilvl w:val="0"/>
          <w:numId w:val="2"/>
        </w:numPr>
        <w:spacing w:after="40" w:before="40"/>
      </w:pPr>
      <w:r>
        <w:rPr>
          <w:rFonts w:ascii="Arial" w:cs="Arial" w:eastAsia="Arial" w:hAnsi="Arial"/>
          <w:sz w:val="20"/>
          <w:szCs w:val="20"/>
        </w:rPr>
        <w:t xml:space="preserve">Eliminar los dos items con retiro programado (TLS 1.0/1.1 y VPN Gateway SKU no-AZ) antes de su fecha limite.</w:t>
      </w:r>
    </w:p>
    <w:p>
      <w:pPr>
        <w:pStyle w:val="ListParagraph"/>
        <w:numPr>
          <w:ilvl w:val="0"/>
          <w:numId w:val="2"/>
        </w:numPr>
        <w:spacing w:after="40" w:before="40"/>
      </w:pPr>
      <w:r>
        <w:rPr>
          <w:rFonts w:ascii="Arial" w:cs="Arial" w:eastAsia="Arial" w:hAnsi="Arial"/>
          <w:sz w:val="20"/>
          <w:szCs w:val="20"/>
        </w:rPr>
        <w:t xml:space="preserve">Mejorar el Advisor Score de Seguridad a un minimo del 80% y el de Confiabilidad al 70% en 60 dias.</w:t>
      </w:r>
    </w:p>
    <w:p>
      <w:pPr>
        <w:pStyle w:val="ListParagraph"/>
        <w:numPr>
          <w:ilvl w:val="0"/>
          <w:numId w:val="2"/>
        </w:numPr>
        <w:spacing w:after="40" w:before="40"/>
      </w:pPr>
      <w:r>
        <w:rPr>
          <w:rFonts w:ascii="Arial" w:cs="Arial" w:eastAsia="Arial" w:hAnsi="Arial"/>
          <w:sz w:val="20"/>
          <w:szCs w:val="20"/>
        </w:rPr>
        <w:t xml:space="preserve">Establecer practicas operativas de monitoreo proactivo y cumplimiento continuo.</w:t>
      </w:r>
    </w:p>
    <w:p>
      <w:pPr>
        <w:spacing w:after="40" w:before="40"/>
      </w:pPr>
      <w:r>
        <w:t xml:space="preserve"/>
      </w:r>
    </w:p>
    <w:p>
      <w:pPr>
        <w:pStyle w:val="Heading2"/>
        <w:spacing w:after="100" w:before="280"/>
      </w:pPr>
      <w:r>
        <w:rPr>
          <w:rFonts w:ascii="Arial" w:cs="Arial" w:eastAsia="Arial" w:hAnsi="Arial"/>
          <w:b/>
          <w:bCs/>
          <w:color w:val="2E75B6"/>
          <w:sz w:val="26"/>
          <w:szCs w:val="26"/>
        </w:rPr>
        <w:t xml:space="preserve">1.2 Supuestos y Restricciones</w:t>
      </w:r>
    </w:p>
    <w:p>
      <w:pPr>
        <w:pStyle w:val="ListParagraph"/>
        <w:numPr>
          <w:ilvl w:val="0"/>
          <w:numId w:val="2"/>
        </w:numPr>
        <w:spacing w:after="40" w:before="40"/>
      </w:pPr>
      <w:r>
        <w:rPr>
          <w:rFonts w:ascii="Arial" w:cs="Arial" w:eastAsia="Arial" w:hAnsi="Arial"/>
          <w:sz w:val="20"/>
          <w:szCs w:val="20"/>
        </w:rPr>
        <w:t xml:space="preserve">Las ventanas de mantenimiento deben coordinarse con los equipos propietarios de cada aplicacion con al menos 72 horas de anticipacion.</w:t>
      </w:r>
    </w:p>
    <w:p>
      <w:pPr>
        <w:pStyle w:val="ListParagraph"/>
        <w:numPr>
          <w:ilvl w:val="0"/>
          <w:numId w:val="2"/>
        </w:numPr>
        <w:spacing w:after="40" w:before="40"/>
      </w:pPr>
      <w:r>
        <w:rPr>
          <w:rFonts w:ascii="Arial" w:cs="Arial" w:eastAsia="Arial" w:hAnsi="Arial"/>
          <w:sz w:val="20"/>
          <w:szCs w:val="20"/>
        </w:rPr>
        <w:t xml:space="preserve">El equipo externo tiene acceso de Contributor a la suscripcion y acceso de Key Vault Crypto Officer al Key Vault de cifrado.</w:t>
      </w:r>
    </w:p>
    <w:p>
      <w:pPr>
        <w:pStyle w:val="ListParagraph"/>
        <w:numPr>
          <w:ilvl w:val="0"/>
          <w:numId w:val="2"/>
        </w:numPr>
        <w:spacing w:after="40" w:before="40"/>
      </w:pPr>
      <w:r>
        <w:rPr>
          <w:rFonts w:ascii="Arial" w:cs="Arial" w:eastAsia="Arial" w:hAnsi="Arial"/>
          <w:sz w:val="20"/>
          <w:szCs w:val="20"/>
        </w:rPr>
        <w:t xml:space="preserve">Las adquisiciones financieras (Savings Plan, Reserved Instances) requieren aprobacion del area de finanzas o direccion general.</w:t>
      </w:r>
    </w:p>
    <w:p>
      <w:pPr>
        <w:pStyle w:val="ListParagraph"/>
        <w:numPr>
          <w:ilvl w:val="0"/>
          <w:numId w:val="2"/>
        </w:numPr>
        <w:spacing w:after="40" w:before="40"/>
      </w:pPr>
      <w:r>
        <w:rPr>
          <w:rFonts w:ascii="Arial" w:cs="Arial" w:eastAsia="Arial" w:hAnsi="Arial"/>
          <w:sz w:val="20"/>
          <w:szCs w:val="20"/>
        </w:rPr>
        <w:t xml:space="preserve">Los cambios que implican reinicio de VM (cifrado de disco, alineacion de discos) se ejecutan en horario nocturno o fin de semana.</w:t>
      </w:r>
    </w:p>
    <w:p>
      <w:pPr>
        <w:pStyle w:val="ListParagraph"/>
        <w:numPr>
          <w:ilvl w:val="0"/>
          <w:numId w:val="2"/>
        </w:numPr>
        <w:spacing w:after="40" w:before="40"/>
      </w:pPr>
      <w:r>
        <w:rPr>
          <w:rFonts w:ascii="Arial" w:cs="Arial" w:eastAsia="Arial" w:hAnsi="Arial"/>
          <w:sz w:val="20"/>
          <w:szCs w:val="20"/>
        </w:rPr>
        <w:t xml:space="preserve">El equipo interno es responsable de la comunicacion con los usuarios afectados por ventanas de mantenimiento.</w:t>
      </w:r>
    </w:p>
    <w:p>
      <w:pPr>
        <w:spacing w:after="40" w:before="40"/>
      </w:pPr>
      <w:r>
        <w:t xml:space="preserve"/>
      </w:r>
    </w:p>
    <w:p>
      <w:r>
        <w:br w:type="page"/>
      </w:r>
    </w:p>
    <w:p>
      <w:pPr>
        <w:pStyle w:val="Heading1"/>
        <w:pBdr>
          <w:bottom w:val="single" w:color="0078D4" w:sz="8" w:space="4"/>
        </w:pBdr>
        <w:spacing w:after="120" w:before="400"/>
      </w:pPr>
      <w:r>
        <w:rPr>
          <w:rFonts w:ascii="Arial" w:cs="Arial" w:eastAsia="Arial" w:hAnsi="Arial"/>
          <w:b/>
          <w:bCs/>
          <w:color w:val="1F3864"/>
          <w:sz w:val="32"/>
          <w:szCs w:val="32"/>
        </w:rPr>
        <w:t xml:space="preserve">2. Plan Ejecutivo por Fases</w:t>
      </w:r>
    </w:p>
    <w:p>
      <w:pPr>
        <w:spacing w:after="60" w:before="60"/>
        <w:jc w:val="left"/>
      </w:pPr>
      <w:r>
        <w:rPr>
          <w:rFonts w:ascii="Arial" w:cs="Arial" w:eastAsia="Arial" w:hAnsi="Arial"/>
          <w:b w:val="false"/>
          <w:bCs w:val="false"/>
          <w:color w:val="000000"/>
          <w:sz w:val="20"/>
          <w:szCs w:val="20"/>
        </w:rPr>
        <w:t xml:space="preserve">La siguiente tabla resume todas las actividades del plan, organizadas por fase temporal. Cada actividad incluye la categoria de Azure Advisor afectada, el responsable principal (Interno, Externo o Mixto), la duracion estimada y la prioridad de ejecucion.</w:t>
      </w:r>
    </w:p>
    <w:p>
      <w:pPr>
        <w:spacing w:after="40" w:before="40"/>
      </w:pPr>
      <w:r>
        <w:t xml:space="preserve"/>
      </w:r>
    </w:p>
    <w:p>
      <w:pPr>
        <w:pStyle w:val="Heading2"/>
        <w:spacing w:after="100" w:before="280"/>
      </w:pPr>
      <w:r>
        <w:rPr>
          <w:rFonts w:ascii="Arial" w:cs="Arial" w:eastAsia="Arial" w:hAnsi="Arial"/>
          <w:b/>
          <w:bCs/>
          <w:color w:val="2E75B6"/>
          <w:sz w:val="26"/>
          <w:szCs w:val="26"/>
        </w:rPr>
        <w:t xml:space="preserve">Fase 1 — Acciones Inmediatas (Semana 1-2)</w:t>
      </w:r>
    </w:p>
    <w:p>
      <w:pPr>
        <w:spacing w:after="60" w:before="60"/>
        <w:jc w:val="left"/>
      </w:pPr>
      <w:r>
        <w:rPr>
          <w:rFonts w:ascii="Arial" w:cs="Arial" w:eastAsia="Arial" w:hAnsi="Arial"/>
          <w:b w:val="false"/>
          <w:bCs w:val="false"/>
          <w:color w:val="595959"/>
          <w:sz w:val="20"/>
          <w:szCs w:val="20"/>
        </w:rPr>
        <w:t xml:space="preserve">Estas actividades tienen el mayor impacto en la postura de seguridad y confiabilidad del tenant. Incluyen dos items con retiro programado por Microsoft que requieren atencion urgente.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100"/>
        <w:gridCol w:w="1600"/>
        <w:gridCol w:w="1200"/>
        <w:gridCol w:w="1260"/>
        <w:gridCol w:w="1800"/>
      </w:tblGrid>
      <w:tr>
        <w:tc>
          <w:tcPr>
            <w:tcW w:type="dxa" w:w="4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9"/>
                <w:szCs w:val="19"/>
              </w:rPr>
              <w:t xml:space="preserve">#</w:t>
            </w:r>
          </w:p>
        </w:tc>
        <w:tc>
          <w:tcPr>
            <w:tcW w:type="dxa" w:w="31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9"/>
                <w:szCs w:val="19"/>
              </w:rPr>
              <w:t xml:space="preserve">Tarea / Actividad</w:t>
            </w:r>
          </w:p>
        </w:tc>
        <w:tc>
          <w:tcPr>
            <w:tcW w:type="dxa" w:w="16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9"/>
                <w:szCs w:val="19"/>
              </w:rPr>
              <w:t xml:space="preserve">Categoria</w:t>
            </w:r>
          </w:p>
        </w:tc>
        <w:tc>
          <w:tcPr>
            <w:tcW w:type="dxa" w:w="12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9"/>
                <w:szCs w:val="19"/>
              </w:rPr>
              <w:t xml:space="preserve">Responsable</w:t>
            </w:r>
          </w:p>
        </w:tc>
        <w:tc>
          <w:tcPr>
            <w:tcW w:type="dxa" w:w="126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9"/>
                <w:szCs w:val="19"/>
              </w:rPr>
              <w:t xml:space="preserve">Duracion est.</w:t>
            </w:r>
          </w:p>
        </w:tc>
        <w:tc>
          <w:tcPr>
            <w:tcW w:type="dxa" w:w="18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9"/>
                <w:szCs w:val="19"/>
              </w:rPr>
              <w:t xml:space="preserve">Prioridad</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1.1</w:t>
            </w:r>
          </w:p>
        </w:tc>
        <w:tc>
          <w:tcPr>
            <w:tcW w:type="dxa" w:w="3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Habilitar Azure Disk Encryption (ADE) o EncryptionAtHost en todas las VMs Windows y Linux</w:t>
            </w:r>
          </w:p>
        </w:tc>
        <w:tc>
          <w:tcPr>
            <w:tcW w:type="dxa" w:w="1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Seguridad</w:t>
            </w:r>
          </w:p>
        </w:tc>
        <w:tc>
          <w:tcPr>
            <w:tcW w:type="dxa" w:w="1200"/>
            <w:tcBorders>
              <w:top w:val="single" w:color="BFBFBF" w:sz="4"/>
              <w:left w:val="single" w:color="BFBFBF" w:sz="4"/>
              <w:bottom w:val="single" w:color="BFBFBF" w:sz="4"/>
              <w:right w:val="single" w:color="BFBFBF" w:sz="4"/>
            </w:tcBorders>
            <w:shd w:fill="EAE0F0" w:val="clear"/>
            <w:tcMar>
              <w:top w:type="dxa" w:w="80"/>
              <w:left w:type="dxa" w:w="130"/>
              <w:bottom w:type="dxa" w:w="80"/>
              <w:right w:type="dxa" w:w="130"/>
            </w:tcMar>
          </w:tcPr>
          <w:p>
            <w:pPr>
              <w:spacing w:after="60" w:before="60"/>
              <w:jc w:val="center"/>
            </w:pPr>
            <w:r>
              <w:rPr>
                <w:rFonts w:ascii="Arial" w:cs="Arial" w:eastAsia="Arial" w:hAnsi="Arial"/>
                <w:b/>
                <w:bCs/>
                <w:color w:val="5C3D7A"/>
                <w:sz w:val="18"/>
                <w:szCs w:val="18"/>
              </w:rPr>
              <w:t xml:space="preserve">Mixto</w:t>
            </w:r>
          </w:p>
        </w:tc>
        <w:tc>
          <w:tcPr>
            <w:tcW w:type="dxa" w:w="12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2-3 dias</w:t>
            </w:r>
          </w:p>
        </w:tc>
        <w:tc>
          <w:tcPr>
            <w:tcW w:type="dxa" w:w="18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center"/>
            </w:pPr>
            <w:r>
              <w:rPr>
                <w:rFonts w:ascii="Arial" w:cs="Arial" w:eastAsia="Arial" w:hAnsi="Arial"/>
                <w:b/>
                <w:bCs/>
                <w:color w:val="C00000"/>
                <w:sz w:val="18"/>
                <w:szCs w:val="18"/>
              </w:rPr>
              <w:t xml:space="preserve">INMEDIATO</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1.2</w:t>
            </w:r>
          </w:p>
        </w:tc>
        <w:tc>
          <w:tcPr>
            <w:tcW w:type="dxa" w:w="3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Configurar acceso Just-In-Time (JIT) en puertos RDP/SSH de VMs expuestas</w:t>
            </w:r>
          </w:p>
        </w:tc>
        <w:tc>
          <w:tcPr>
            <w:tcW w:type="dxa" w:w="1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Seguridad</w:t>
            </w:r>
          </w:p>
        </w:tc>
        <w:tc>
          <w:tcPr>
            <w:tcW w:type="dxa" w:w="12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Interno</w:t>
            </w:r>
          </w:p>
        </w:tc>
        <w:tc>
          <w:tcPr>
            <w:tcW w:type="dxa" w:w="12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1 dia</w:t>
            </w:r>
          </w:p>
        </w:tc>
        <w:tc>
          <w:tcPr>
            <w:tcW w:type="dxa" w:w="18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center"/>
            </w:pPr>
            <w:r>
              <w:rPr>
                <w:rFonts w:ascii="Arial" w:cs="Arial" w:eastAsia="Arial" w:hAnsi="Arial"/>
                <w:b/>
                <w:bCs/>
                <w:color w:val="C00000"/>
                <w:sz w:val="18"/>
                <w:szCs w:val="18"/>
              </w:rPr>
              <w:t xml:space="preserve">INMEDIATO</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1.3</w:t>
            </w:r>
          </w:p>
        </w:tc>
        <w:tc>
          <w:tcPr>
            <w:tcW w:type="dxa" w:w="3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Restringir reglas de NSG al minimo necesario por servicio (principio de minimo privilegio)</w:t>
            </w:r>
          </w:p>
        </w:tc>
        <w:tc>
          <w:tcPr>
            <w:tcW w:type="dxa" w:w="1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Seguridad</w:t>
            </w:r>
          </w:p>
        </w:tc>
        <w:tc>
          <w:tcPr>
            <w:tcW w:type="dxa" w:w="12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Interno</w:t>
            </w:r>
          </w:p>
        </w:tc>
        <w:tc>
          <w:tcPr>
            <w:tcW w:type="dxa" w:w="12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1-2 dias</w:t>
            </w:r>
          </w:p>
        </w:tc>
        <w:tc>
          <w:tcPr>
            <w:tcW w:type="dxa" w:w="18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center"/>
            </w:pPr>
            <w:r>
              <w:rPr>
                <w:rFonts w:ascii="Arial" w:cs="Arial" w:eastAsia="Arial" w:hAnsi="Arial"/>
                <w:b/>
                <w:bCs/>
                <w:color w:val="C00000"/>
                <w:sz w:val="18"/>
                <w:szCs w:val="18"/>
              </w:rPr>
              <w:t xml:space="preserve">INMEDIATO</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1.4</w:t>
            </w:r>
          </w:p>
        </w:tc>
        <w:tc>
          <w:tcPr>
            <w:tcW w:type="dxa" w:w="3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Migrar TLS 1.0/1.1 a TLS 1.2 en cuentas de almacenamiento (retiro programado)</w:t>
            </w:r>
          </w:p>
        </w:tc>
        <w:tc>
          <w:tcPr>
            <w:tcW w:type="dxa" w:w="1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Confiabilidad</w:t>
            </w:r>
          </w:p>
        </w:tc>
        <w:tc>
          <w:tcPr>
            <w:tcW w:type="dxa" w:w="12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Interno</w:t>
            </w:r>
          </w:p>
        </w:tc>
        <w:tc>
          <w:tcPr>
            <w:tcW w:type="dxa" w:w="12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2 horas</w:t>
            </w:r>
          </w:p>
        </w:tc>
        <w:tc>
          <w:tcPr>
            <w:tcW w:type="dxa" w:w="18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center"/>
            </w:pPr>
            <w:r>
              <w:rPr>
                <w:rFonts w:ascii="Arial" w:cs="Arial" w:eastAsia="Arial" w:hAnsi="Arial"/>
                <w:b/>
                <w:bCs/>
                <w:color w:val="C00000"/>
                <w:sz w:val="18"/>
                <w:szCs w:val="18"/>
              </w:rPr>
              <w:t xml:space="preserve">INMEDIATO</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1.5</w:t>
            </w:r>
          </w:p>
        </w:tc>
        <w:tc>
          <w:tcPr>
            <w:tcW w:type="dxa" w:w="3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Habilitar Microsoft Defender CSPM, Defender for Storage y Defender for Resource Manager</w:t>
            </w:r>
          </w:p>
        </w:tc>
        <w:tc>
          <w:tcPr>
            <w:tcW w:type="dxa" w:w="1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Seguridad</w:t>
            </w:r>
          </w:p>
        </w:tc>
        <w:tc>
          <w:tcPr>
            <w:tcW w:type="dxa" w:w="1200"/>
            <w:tcBorders>
              <w:top w:val="single" w:color="BFBFBF" w:sz="4"/>
              <w:left w:val="single" w:color="BFBFBF" w:sz="4"/>
              <w:bottom w:val="single" w:color="BFBFBF" w:sz="4"/>
              <w:right w:val="single" w:color="BFBFBF" w:sz="4"/>
            </w:tcBorders>
            <w:shd w:fill="D9EEF1" w:val="clear"/>
            <w:tcMar>
              <w:top w:type="dxa" w:w="80"/>
              <w:left w:type="dxa" w:w="130"/>
              <w:bottom w:type="dxa" w:w="80"/>
              <w:right w:type="dxa" w:w="130"/>
            </w:tcMar>
          </w:tcPr>
          <w:p>
            <w:pPr>
              <w:spacing w:after="60" w:before="60"/>
              <w:jc w:val="center"/>
            </w:pPr>
            <w:r>
              <w:rPr>
                <w:rFonts w:ascii="Arial" w:cs="Arial" w:eastAsia="Arial" w:hAnsi="Arial"/>
                <w:b/>
                <w:bCs/>
                <w:color w:val="1F6B75"/>
                <w:sz w:val="18"/>
                <w:szCs w:val="18"/>
              </w:rPr>
              <w:t xml:space="preserve">Externo</w:t>
            </w:r>
          </w:p>
        </w:tc>
        <w:tc>
          <w:tcPr>
            <w:tcW w:type="dxa" w:w="12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4 horas</w:t>
            </w:r>
          </w:p>
        </w:tc>
        <w:tc>
          <w:tcPr>
            <w:tcW w:type="dxa" w:w="18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center"/>
            </w:pPr>
            <w:r>
              <w:rPr>
                <w:rFonts w:ascii="Arial" w:cs="Arial" w:eastAsia="Arial" w:hAnsi="Arial"/>
                <w:b/>
                <w:bCs/>
                <w:color w:val="C00000"/>
                <w:sz w:val="18"/>
                <w:szCs w:val="18"/>
              </w:rPr>
              <w:t xml:space="preserve">INMEDIATO</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1.6</w:t>
            </w:r>
          </w:p>
        </w:tc>
        <w:tc>
          <w:tcPr>
            <w:tcW w:type="dxa" w:w="3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Crear alerta de Azure Service Health a nivel de suscripcion</w:t>
            </w:r>
          </w:p>
        </w:tc>
        <w:tc>
          <w:tcPr>
            <w:tcW w:type="dxa" w:w="1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Confiabilidad</w:t>
            </w:r>
          </w:p>
        </w:tc>
        <w:tc>
          <w:tcPr>
            <w:tcW w:type="dxa" w:w="12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Interno</w:t>
            </w:r>
          </w:p>
        </w:tc>
        <w:tc>
          <w:tcPr>
            <w:tcW w:type="dxa" w:w="12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1 hora</w:t>
            </w:r>
          </w:p>
        </w:tc>
        <w:tc>
          <w:tcPr>
            <w:tcW w:type="dxa" w:w="18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center"/>
            </w:pPr>
            <w:r>
              <w:rPr>
                <w:rFonts w:ascii="Arial" w:cs="Arial" w:eastAsia="Arial" w:hAnsi="Arial"/>
                <w:b/>
                <w:bCs/>
                <w:color w:val="C00000"/>
                <w:sz w:val="18"/>
                <w:szCs w:val="18"/>
              </w:rPr>
              <w:t xml:space="preserve">INMEDIATO</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1.7</w:t>
            </w:r>
          </w:p>
        </w:tc>
        <w:tc>
          <w:tcPr>
            <w:tcW w:type="dxa" w:w="3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Configurar contacto de correo electronico de seguridad en la suscripcion</w:t>
            </w:r>
          </w:p>
        </w:tc>
        <w:tc>
          <w:tcPr>
            <w:tcW w:type="dxa" w:w="1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Seguridad</w:t>
            </w:r>
          </w:p>
        </w:tc>
        <w:tc>
          <w:tcPr>
            <w:tcW w:type="dxa" w:w="12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Interno</w:t>
            </w:r>
          </w:p>
        </w:tc>
        <w:tc>
          <w:tcPr>
            <w:tcW w:type="dxa" w:w="12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30 min</w:t>
            </w:r>
          </w:p>
        </w:tc>
        <w:tc>
          <w:tcPr>
            <w:tcW w:type="dxa" w:w="180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center"/>
            </w:pPr>
            <w:r>
              <w:rPr>
                <w:rFonts w:ascii="Arial" w:cs="Arial" w:eastAsia="Arial" w:hAnsi="Arial"/>
                <w:b/>
                <w:bCs/>
                <w:color w:val="C00000"/>
                <w:sz w:val="18"/>
                <w:szCs w:val="18"/>
              </w:rPr>
              <w:t xml:space="preserve">INMEDIATO</w:t>
            </w:r>
          </w:p>
        </w:tc>
      </w:tr>
    </w:tbl>
    <w:p>
      <w:pPr>
        <w:spacing w:after="40" w:before="40"/>
      </w:pPr>
      <w:r>
        <w:t xml:space="preserve"/>
      </w:r>
    </w:p>
    <w:p>
      <w:pPr>
        <w:spacing w:after="40" w:before="40"/>
      </w:pPr>
      <w:r>
        <w:t xml:space="preserve"/>
      </w:r>
    </w:p>
    <w:p>
      <w:pPr>
        <w:pStyle w:val="Heading2"/>
        <w:spacing w:after="100" w:before="280"/>
      </w:pPr>
      <w:r>
        <w:rPr>
          <w:rFonts w:ascii="Arial" w:cs="Arial" w:eastAsia="Arial" w:hAnsi="Arial"/>
          <w:b/>
          <w:bCs/>
          <w:color w:val="2E75B6"/>
          <w:sz w:val="26"/>
          <w:szCs w:val="26"/>
        </w:rPr>
        <w:t xml:space="preserve">Fase 2 — Corto Plazo (Semanas 3-6, primer mes)</w:t>
      </w:r>
    </w:p>
    <w:p>
      <w:pPr>
        <w:spacing w:after="60" w:before="60"/>
        <w:jc w:val="left"/>
      </w:pPr>
      <w:r>
        <w:rPr>
          <w:rFonts w:ascii="Arial" w:cs="Arial" w:eastAsia="Arial" w:hAnsi="Arial"/>
          <w:b w:val="false"/>
          <w:bCs w:val="false"/>
          <w:color w:val="595959"/>
          <w:sz w:val="20"/>
          <w:szCs w:val="20"/>
        </w:rPr>
        <w:t xml:space="preserve">Acciones de alto impacto operativo y financiero que requieren coordinacion de ventanas de mantenimiento para las migraciones de discos.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100"/>
        <w:gridCol w:w="1600"/>
        <w:gridCol w:w="1200"/>
        <w:gridCol w:w="1260"/>
        <w:gridCol w:w="1800"/>
      </w:tblGrid>
      <w:tr>
        <w:tc>
          <w:tcPr>
            <w:tcW w:type="dxa" w:w="4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9"/>
                <w:szCs w:val="19"/>
              </w:rPr>
              <w:t xml:space="preserve">#</w:t>
            </w:r>
          </w:p>
        </w:tc>
        <w:tc>
          <w:tcPr>
            <w:tcW w:type="dxa" w:w="31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9"/>
                <w:szCs w:val="19"/>
              </w:rPr>
              <w:t xml:space="preserve">Tarea / Actividad</w:t>
            </w:r>
          </w:p>
        </w:tc>
        <w:tc>
          <w:tcPr>
            <w:tcW w:type="dxa" w:w="16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9"/>
                <w:szCs w:val="19"/>
              </w:rPr>
              <w:t xml:space="preserve">Categoria</w:t>
            </w:r>
          </w:p>
        </w:tc>
        <w:tc>
          <w:tcPr>
            <w:tcW w:type="dxa" w:w="12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9"/>
                <w:szCs w:val="19"/>
              </w:rPr>
              <w:t xml:space="preserve">Responsable</w:t>
            </w:r>
          </w:p>
        </w:tc>
        <w:tc>
          <w:tcPr>
            <w:tcW w:type="dxa" w:w="126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9"/>
                <w:szCs w:val="19"/>
              </w:rPr>
              <w:t xml:space="preserve">Duracion est.</w:t>
            </w:r>
          </w:p>
        </w:tc>
        <w:tc>
          <w:tcPr>
            <w:tcW w:type="dxa" w:w="18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9"/>
                <w:szCs w:val="19"/>
              </w:rPr>
              <w:t xml:space="preserve">Prioridad</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2.1</w:t>
            </w:r>
          </w:p>
        </w:tc>
        <w:tc>
          <w:tcPr>
            <w:tcW w:type="dxa" w:w="3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Habilitar VM Insights en las 9 VMs afectadas (instalar agente Azure Monitor)</w:t>
            </w:r>
          </w:p>
        </w:tc>
        <w:tc>
          <w:tcPr>
            <w:tcW w:type="dxa" w:w="1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Excelencia Operativa</w:t>
            </w:r>
          </w:p>
        </w:tc>
        <w:tc>
          <w:tcPr>
            <w:tcW w:type="dxa" w:w="1200"/>
            <w:tcBorders>
              <w:top w:val="single" w:color="BFBFBF" w:sz="4"/>
              <w:left w:val="single" w:color="BFBFBF" w:sz="4"/>
              <w:bottom w:val="single" w:color="BFBFBF" w:sz="4"/>
              <w:right w:val="single" w:color="BFBFBF" w:sz="4"/>
            </w:tcBorders>
            <w:shd w:fill="EAE0F0" w:val="clear"/>
            <w:tcMar>
              <w:top w:type="dxa" w:w="80"/>
              <w:left w:type="dxa" w:w="130"/>
              <w:bottom w:type="dxa" w:w="80"/>
              <w:right w:type="dxa" w:w="130"/>
            </w:tcMar>
          </w:tcPr>
          <w:p>
            <w:pPr>
              <w:spacing w:after="60" w:before="60"/>
              <w:jc w:val="center"/>
            </w:pPr>
            <w:r>
              <w:rPr>
                <w:rFonts w:ascii="Arial" w:cs="Arial" w:eastAsia="Arial" w:hAnsi="Arial"/>
                <w:b/>
                <w:bCs/>
                <w:color w:val="5C3D7A"/>
                <w:sz w:val="18"/>
                <w:szCs w:val="18"/>
              </w:rPr>
              <w:t xml:space="preserve">Mixto</w:t>
            </w:r>
          </w:p>
        </w:tc>
        <w:tc>
          <w:tcPr>
            <w:tcW w:type="dxa" w:w="12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1-2 dias</w:t>
            </w:r>
          </w:p>
        </w:tc>
        <w:tc>
          <w:tcPr>
            <w:tcW w:type="dxa" w:w="18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tcPr>
          <w:p>
            <w:pPr>
              <w:spacing w:after="60" w:before="60"/>
              <w:jc w:val="center"/>
            </w:pPr>
            <w:r>
              <w:rPr>
                <w:rFonts w:ascii="Arial" w:cs="Arial" w:eastAsia="Arial" w:hAnsi="Arial"/>
                <w:b/>
                <w:bCs/>
                <w:color w:val="C55A11"/>
                <w:sz w:val="18"/>
                <w:szCs w:val="18"/>
              </w:rPr>
              <w:t xml:space="preserve">CORTO PLAZO</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2.2</w:t>
            </w:r>
          </w:p>
        </w:tc>
        <w:tc>
          <w:tcPr>
            <w:tcW w:type="dxa" w:w="3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Configurar Azure Update Manager para evaluacion periodica de parches en todas las VMs</w:t>
            </w:r>
          </w:p>
        </w:tc>
        <w:tc>
          <w:tcPr>
            <w:tcW w:type="dxa" w:w="1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Seguridad</w:t>
            </w:r>
          </w:p>
        </w:tc>
        <w:tc>
          <w:tcPr>
            <w:tcW w:type="dxa" w:w="1200"/>
            <w:tcBorders>
              <w:top w:val="single" w:color="BFBFBF" w:sz="4"/>
              <w:left w:val="single" w:color="BFBFBF" w:sz="4"/>
              <w:bottom w:val="single" w:color="BFBFBF" w:sz="4"/>
              <w:right w:val="single" w:color="BFBFBF" w:sz="4"/>
            </w:tcBorders>
            <w:shd w:fill="EAE0F0" w:val="clear"/>
            <w:tcMar>
              <w:top w:type="dxa" w:w="80"/>
              <w:left w:type="dxa" w:w="130"/>
              <w:bottom w:type="dxa" w:w="80"/>
              <w:right w:type="dxa" w:w="130"/>
            </w:tcMar>
          </w:tcPr>
          <w:p>
            <w:pPr>
              <w:spacing w:after="60" w:before="60"/>
              <w:jc w:val="center"/>
            </w:pPr>
            <w:r>
              <w:rPr>
                <w:rFonts w:ascii="Arial" w:cs="Arial" w:eastAsia="Arial" w:hAnsi="Arial"/>
                <w:b/>
                <w:bCs/>
                <w:color w:val="5C3D7A"/>
                <w:sz w:val="18"/>
                <w:szCs w:val="18"/>
              </w:rPr>
              <w:t xml:space="preserve">Mixto</w:t>
            </w:r>
          </w:p>
        </w:tc>
        <w:tc>
          <w:tcPr>
            <w:tcW w:type="dxa" w:w="12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1 dia</w:t>
            </w:r>
          </w:p>
        </w:tc>
        <w:tc>
          <w:tcPr>
            <w:tcW w:type="dxa" w:w="18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tcPr>
          <w:p>
            <w:pPr>
              <w:spacing w:after="60" w:before="60"/>
              <w:jc w:val="center"/>
            </w:pPr>
            <w:r>
              <w:rPr>
                <w:rFonts w:ascii="Arial" w:cs="Arial" w:eastAsia="Arial" w:hAnsi="Arial"/>
                <w:b/>
                <w:bCs/>
                <w:color w:val="C55A11"/>
                <w:sz w:val="18"/>
                <w:szCs w:val="18"/>
              </w:rPr>
              <w:t xml:space="preserve">CORTO PLAZO</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2.3</w:t>
            </w:r>
          </w:p>
        </w:tc>
        <w:tc>
          <w:tcPr>
            <w:tcW w:type="dxa" w:w="3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Adquirir Azure Savings Plan de 1 año para reducir costos de computo</w:t>
            </w:r>
          </w:p>
        </w:tc>
        <w:tc>
          <w:tcPr>
            <w:tcW w:type="dxa" w:w="1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Costo</w:t>
            </w:r>
          </w:p>
        </w:tc>
        <w:tc>
          <w:tcPr>
            <w:tcW w:type="dxa" w:w="12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Interno</w:t>
            </w:r>
          </w:p>
        </w:tc>
        <w:tc>
          <w:tcPr>
            <w:tcW w:type="dxa" w:w="12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1 hora</w:t>
            </w:r>
          </w:p>
        </w:tc>
        <w:tc>
          <w:tcPr>
            <w:tcW w:type="dxa" w:w="18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tcPr>
          <w:p>
            <w:pPr>
              <w:spacing w:after="60" w:before="60"/>
              <w:jc w:val="center"/>
            </w:pPr>
            <w:r>
              <w:rPr>
                <w:rFonts w:ascii="Arial" w:cs="Arial" w:eastAsia="Arial" w:hAnsi="Arial"/>
                <w:b/>
                <w:bCs/>
                <w:color w:val="C55A11"/>
                <w:sz w:val="18"/>
                <w:szCs w:val="18"/>
              </w:rPr>
              <w:t xml:space="preserve">CORTO PLAZO</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2.4</w:t>
            </w:r>
          </w:p>
        </w:tc>
        <w:tc>
          <w:tcPr>
            <w:tcW w:type="dxa" w:w="3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Contratar Reserved Instances para VMs SQL y de produccion de uso continuo 24/7</w:t>
            </w:r>
          </w:p>
        </w:tc>
        <w:tc>
          <w:tcPr>
            <w:tcW w:type="dxa" w:w="1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Costo</w:t>
            </w:r>
          </w:p>
        </w:tc>
        <w:tc>
          <w:tcPr>
            <w:tcW w:type="dxa" w:w="12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Interno</w:t>
            </w:r>
          </w:p>
        </w:tc>
        <w:tc>
          <w:tcPr>
            <w:tcW w:type="dxa" w:w="12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1 hora</w:t>
            </w:r>
          </w:p>
        </w:tc>
        <w:tc>
          <w:tcPr>
            <w:tcW w:type="dxa" w:w="18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tcPr>
          <w:p>
            <w:pPr>
              <w:spacing w:after="60" w:before="60"/>
              <w:jc w:val="center"/>
            </w:pPr>
            <w:r>
              <w:rPr>
                <w:rFonts w:ascii="Arial" w:cs="Arial" w:eastAsia="Arial" w:hAnsi="Arial"/>
                <w:b/>
                <w:bCs/>
                <w:color w:val="C55A11"/>
                <w:sz w:val="18"/>
                <w:szCs w:val="18"/>
              </w:rPr>
              <w:t xml:space="preserve">CORTO PLAZO</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2.5</w:t>
            </w:r>
          </w:p>
        </w:tc>
        <w:tc>
          <w:tcPr>
            <w:tcW w:type="dxa" w:w="3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Alinear discos de datos y OS con la zona de disponibilidad de cada VM</w:t>
            </w:r>
          </w:p>
        </w:tc>
        <w:tc>
          <w:tcPr>
            <w:tcW w:type="dxa" w:w="1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Confiabilidad</w:t>
            </w:r>
          </w:p>
        </w:tc>
        <w:tc>
          <w:tcPr>
            <w:tcW w:type="dxa" w:w="1200"/>
            <w:tcBorders>
              <w:top w:val="single" w:color="BFBFBF" w:sz="4"/>
              <w:left w:val="single" w:color="BFBFBF" w:sz="4"/>
              <w:bottom w:val="single" w:color="BFBFBF" w:sz="4"/>
              <w:right w:val="single" w:color="BFBFBF" w:sz="4"/>
            </w:tcBorders>
            <w:shd w:fill="D9EEF1" w:val="clear"/>
            <w:tcMar>
              <w:top w:type="dxa" w:w="80"/>
              <w:left w:type="dxa" w:w="130"/>
              <w:bottom w:type="dxa" w:w="80"/>
              <w:right w:type="dxa" w:w="130"/>
            </w:tcMar>
          </w:tcPr>
          <w:p>
            <w:pPr>
              <w:spacing w:after="60" w:before="60"/>
              <w:jc w:val="center"/>
            </w:pPr>
            <w:r>
              <w:rPr>
                <w:rFonts w:ascii="Arial" w:cs="Arial" w:eastAsia="Arial" w:hAnsi="Arial"/>
                <w:b/>
                <w:bCs/>
                <w:color w:val="1F6B75"/>
                <w:sz w:val="18"/>
                <w:szCs w:val="18"/>
              </w:rPr>
              <w:t xml:space="preserve">Externo</w:t>
            </w:r>
          </w:p>
        </w:tc>
        <w:tc>
          <w:tcPr>
            <w:tcW w:type="dxa" w:w="12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3-5 dias</w:t>
            </w:r>
          </w:p>
        </w:tc>
        <w:tc>
          <w:tcPr>
            <w:tcW w:type="dxa" w:w="18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tcPr>
          <w:p>
            <w:pPr>
              <w:spacing w:after="60" w:before="60"/>
              <w:jc w:val="center"/>
            </w:pPr>
            <w:r>
              <w:rPr>
                <w:rFonts w:ascii="Arial" w:cs="Arial" w:eastAsia="Arial" w:hAnsi="Arial"/>
                <w:b/>
                <w:bCs/>
                <w:color w:val="C55A11"/>
                <w:sz w:val="18"/>
                <w:szCs w:val="18"/>
              </w:rPr>
              <w:t xml:space="preserve">CORTO PLAZO</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2.6</w:t>
            </w:r>
          </w:p>
        </w:tc>
        <w:tc>
          <w:tcPr>
            <w:tcW w:type="dxa" w:w="3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Revisar, validar y eliminar discos huerfanos no adjuntos a ninguna VM</w:t>
            </w:r>
          </w:p>
        </w:tc>
        <w:tc>
          <w:tcPr>
            <w:tcW w:type="dxa" w:w="1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Costo</w:t>
            </w:r>
          </w:p>
        </w:tc>
        <w:tc>
          <w:tcPr>
            <w:tcW w:type="dxa" w:w="12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Interno</w:t>
            </w:r>
          </w:p>
        </w:tc>
        <w:tc>
          <w:tcPr>
            <w:tcW w:type="dxa" w:w="12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1 dia</w:t>
            </w:r>
          </w:p>
        </w:tc>
        <w:tc>
          <w:tcPr>
            <w:tcW w:type="dxa" w:w="18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tcPr>
          <w:p>
            <w:pPr>
              <w:spacing w:after="60" w:before="60"/>
              <w:jc w:val="center"/>
            </w:pPr>
            <w:r>
              <w:rPr>
                <w:rFonts w:ascii="Arial" w:cs="Arial" w:eastAsia="Arial" w:hAnsi="Arial"/>
                <w:b/>
                <w:bCs/>
                <w:color w:val="C55A11"/>
                <w:sz w:val="18"/>
                <w:szCs w:val="18"/>
              </w:rPr>
              <w:t xml:space="preserve">CORTO PLAZO</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2.7</w:t>
            </w:r>
          </w:p>
        </w:tc>
        <w:tc>
          <w:tcPr>
            <w:tcW w:type="dxa" w:w="3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Configurar metodo de salida explicito (NAT Gateway) en las 6 NICs afectadas</w:t>
            </w:r>
          </w:p>
        </w:tc>
        <w:tc>
          <w:tcPr>
            <w:tcW w:type="dxa" w:w="1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Excelencia Operativa</w:t>
            </w:r>
          </w:p>
        </w:tc>
        <w:tc>
          <w:tcPr>
            <w:tcW w:type="dxa" w:w="1200"/>
            <w:tcBorders>
              <w:top w:val="single" w:color="BFBFBF" w:sz="4"/>
              <w:left w:val="single" w:color="BFBFBF" w:sz="4"/>
              <w:bottom w:val="single" w:color="BFBFBF" w:sz="4"/>
              <w:right w:val="single" w:color="BFBFBF" w:sz="4"/>
            </w:tcBorders>
            <w:shd w:fill="EAE0F0" w:val="clear"/>
            <w:tcMar>
              <w:top w:type="dxa" w:w="80"/>
              <w:left w:type="dxa" w:w="130"/>
              <w:bottom w:type="dxa" w:w="80"/>
              <w:right w:type="dxa" w:w="130"/>
            </w:tcMar>
          </w:tcPr>
          <w:p>
            <w:pPr>
              <w:spacing w:after="60" w:before="60"/>
              <w:jc w:val="center"/>
            </w:pPr>
            <w:r>
              <w:rPr>
                <w:rFonts w:ascii="Arial" w:cs="Arial" w:eastAsia="Arial" w:hAnsi="Arial"/>
                <w:b/>
                <w:bCs/>
                <w:color w:val="5C3D7A"/>
                <w:sz w:val="18"/>
                <w:szCs w:val="18"/>
              </w:rPr>
              <w:t xml:space="preserve">Mixto</w:t>
            </w:r>
          </w:p>
        </w:tc>
        <w:tc>
          <w:tcPr>
            <w:tcW w:type="dxa" w:w="12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1-2 dias</w:t>
            </w:r>
          </w:p>
        </w:tc>
        <w:tc>
          <w:tcPr>
            <w:tcW w:type="dxa" w:w="18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tcPr>
          <w:p>
            <w:pPr>
              <w:spacing w:after="60" w:before="60"/>
              <w:jc w:val="center"/>
            </w:pPr>
            <w:r>
              <w:rPr>
                <w:rFonts w:ascii="Arial" w:cs="Arial" w:eastAsia="Arial" w:hAnsi="Arial"/>
                <w:b/>
                <w:bCs/>
                <w:color w:val="C55A11"/>
                <w:sz w:val="18"/>
                <w:szCs w:val="18"/>
              </w:rPr>
              <w:t xml:space="preserve">CORTO PLAZO</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2.8</w:t>
            </w:r>
          </w:p>
        </w:tc>
        <w:tc>
          <w:tcPr>
            <w:tcW w:type="dxa" w:w="3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Deshabilitar IP forwarding en NICs donde no sea requerido</w:t>
            </w:r>
          </w:p>
        </w:tc>
        <w:tc>
          <w:tcPr>
            <w:tcW w:type="dxa" w:w="1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Seguridad</w:t>
            </w:r>
          </w:p>
        </w:tc>
        <w:tc>
          <w:tcPr>
            <w:tcW w:type="dxa" w:w="12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Interno</w:t>
            </w:r>
          </w:p>
        </w:tc>
        <w:tc>
          <w:tcPr>
            <w:tcW w:type="dxa" w:w="12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2 horas</w:t>
            </w:r>
          </w:p>
        </w:tc>
        <w:tc>
          <w:tcPr>
            <w:tcW w:type="dxa" w:w="18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tcPr>
          <w:p>
            <w:pPr>
              <w:spacing w:after="60" w:before="60"/>
              <w:jc w:val="center"/>
            </w:pPr>
            <w:r>
              <w:rPr>
                <w:rFonts w:ascii="Arial" w:cs="Arial" w:eastAsia="Arial" w:hAnsi="Arial"/>
                <w:b/>
                <w:bCs/>
                <w:color w:val="C55A11"/>
                <w:sz w:val="18"/>
                <w:szCs w:val="18"/>
              </w:rPr>
              <w:t xml:space="preserve">CORTO PLAZO</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2.9</w:t>
            </w:r>
          </w:p>
        </w:tc>
        <w:tc>
          <w:tcPr>
            <w:tcW w:type="dxa" w:w="3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Migrar alertas del almacen de Recovery Services a Azure Monitor</w:t>
            </w:r>
          </w:p>
        </w:tc>
        <w:tc>
          <w:tcPr>
            <w:tcW w:type="dxa" w:w="1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Excelencia Operativa</w:t>
            </w:r>
          </w:p>
        </w:tc>
        <w:tc>
          <w:tcPr>
            <w:tcW w:type="dxa" w:w="12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Interno</w:t>
            </w:r>
          </w:p>
        </w:tc>
        <w:tc>
          <w:tcPr>
            <w:tcW w:type="dxa" w:w="12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4 horas</w:t>
            </w:r>
          </w:p>
        </w:tc>
        <w:tc>
          <w:tcPr>
            <w:tcW w:type="dxa" w:w="18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tcPr>
          <w:p>
            <w:pPr>
              <w:spacing w:after="60" w:before="60"/>
              <w:jc w:val="center"/>
            </w:pPr>
            <w:r>
              <w:rPr>
                <w:rFonts w:ascii="Arial" w:cs="Arial" w:eastAsia="Arial" w:hAnsi="Arial"/>
                <w:b/>
                <w:bCs/>
                <w:color w:val="C55A11"/>
                <w:sz w:val="18"/>
                <w:szCs w:val="18"/>
              </w:rPr>
              <w:t xml:space="preserve">CORTO PLAZO</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2.10</w:t>
            </w:r>
          </w:p>
        </w:tc>
        <w:tc>
          <w:tcPr>
            <w:tcW w:type="dxa" w:w="3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Deshabilitar acceso publico y claves compartidas en Storage Accounts</w:t>
            </w:r>
          </w:p>
        </w:tc>
        <w:tc>
          <w:tcPr>
            <w:tcW w:type="dxa" w:w="1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Seguridad</w:t>
            </w:r>
          </w:p>
        </w:tc>
        <w:tc>
          <w:tcPr>
            <w:tcW w:type="dxa" w:w="1200"/>
            <w:tcBorders>
              <w:top w:val="single" w:color="BFBFBF" w:sz="4"/>
              <w:left w:val="single" w:color="BFBFBF" w:sz="4"/>
              <w:bottom w:val="single" w:color="BFBFBF" w:sz="4"/>
              <w:right w:val="single" w:color="BFBFBF" w:sz="4"/>
            </w:tcBorders>
            <w:shd w:fill="EAE0F0" w:val="clear"/>
            <w:tcMar>
              <w:top w:type="dxa" w:w="80"/>
              <w:left w:type="dxa" w:w="130"/>
              <w:bottom w:type="dxa" w:w="80"/>
              <w:right w:type="dxa" w:w="130"/>
            </w:tcMar>
          </w:tcPr>
          <w:p>
            <w:pPr>
              <w:spacing w:after="60" w:before="60"/>
              <w:jc w:val="center"/>
            </w:pPr>
            <w:r>
              <w:rPr>
                <w:rFonts w:ascii="Arial" w:cs="Arial" w:eastAsia="Arial" w:hAnsi="Arial"/>
                <w:b/>
                <w:bCs/>
                <w:color w:val="5C3D7A"/>
                <w:sz w:val="18"/>
                <w:szCs w:val="18"/>
              </w:rPr>
              <w:t xml:space="preserve">Mixto</w:t>
            </w:r>
          </w:p>
        </w:tc>
        <w:tc>
          <w:tcPr>
            <w:tcW w:type="dxa" w:w="12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1 dia</w:t>
            </w:r>
          </w:p>
        </w:tc>
        <w:tc>
          <w:tcPr>
            <w:tcW w:type="dxa" w:w="180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tcPr>
          <w:p>
            <w:pPr>
              <w:spacing w:after="60" w:before="60"/>
              <w:jc w:val="center"/>
            </w:pPr>
            <w:r>
              <w:rPr>
                <w:rFonts w:ascii="Arial" w:cs="Arial" w:eastAsia="Arial" w:hAnsi="Arial"/>
                <w:b/>
                <w:bCs/>
                <w:color w:val="C55A11"/>
                <w:sz w:val="18"/>
                <w:szCs w:val="18"/>
              </w:rPr>
              <w:t xml:space="preserve">CORTO PLAZO</w:t>
            </w:r>
          </w:p>
        </w:tc>
      </w:tr>
    </w:tbl>
    <w:p>
      <w:pPr>
        <w:spacing w:after="40" w:before="40"/>
      </w:pPr>
      <w:r>
        <w:t xml:space="preserve"/>
      </w:r>
    </w:p>
    <w:p>
      <w:pPr>
        <w:spacing w:after="40" w:before="40"/>
      </w:pPr>
      <w:r>
        <w:t xml:space="preserve"/>
      </w:r>
    </w:p>
    <w:p>
      <w:r>
        <w:br w:type="page"/>
      </w:r>
    </w:p>
    <w:p>
      <w:pPr>
        <w:pStyle w:val="Heading2"/>
        <w:spacing w:after="100" w:before="280"/>
      </w:pPr>
      <w:r>
        <w:rPr>
          <w:rFonts w:ascii="Arial" w:cs="Arial" w:eastAsia="Arial" w:hAnsi="Arial"/>
          <w:b/>
          <w:bCs/>
          <w:color w:val="2E75B6"/>
          <w:sz w:val="26"/>
          <w:szCs w:val="26"/>
        </w:rPr>
        <w:t xml:space="preserve">Fase 3 — Mediano Plazo (Mes 2-3)</w:t>
      </w:r>
    </w:p>
    <w:p>
      <w:pPr>
        <w:spacing w:after="60" w:before="60"/>
        <w:jc w:val="left"/>
      </w:pPr>
      <w:r>
        <w:rPr>
          <w:rFonts w:ascii="Arial" w:cs="Arial" w:eastAsia="Arial" w:hAnsi="Arial"/>
          <w:b w:val="false"/>
          <w:bCs w:val="false"/>
          <w:color w:val="595959"/>
          <w:sz w:val="20"/>
          <w:szCs w:val="20"/>
        </w:rPr>
        <w:t xml:space="preserve">Actividades que requieren mayor planificacion arquitectonica, incluyendo la migracion del VPN Gateway (con ventana de interrupcion) y la distribucion de SQL VMs en zonas de disponibilidad.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100"/>
        <w:gridCol w:w="1600"/>
        <w:gridCol w:w="1200"/>
        <w:gridCol w:w="1260"/>
        <w:gridCol w:w="1800"/>
      </w:tblGrid>
      <w:tr>
        <w:tc>
          <w:tcPr>
            <w:tcW w:type="dxa" w:w="4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9"/>
                <w:szCs w:val="19"/>
              </w:rPr>
              <w:t xml:space="preserve">#</w:t>
            </w:r>
          </w:p>
        </w:tc>
        <w:tc>
          <w:tcPr>
            <w:tcW w:type="dxa" w:w="31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9"/>
                <w:szCs w:val="19"/>
              </w:rPr>
              <w:t xml:space="preserve">Tarea / Actividad</w:t>
            </w:r>
          </w:p>
        </w:tc>
        <w:tc>
          <w:tcPr>
            <w:tcW w:type="dxa" w:w="16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9"/>
                <w:szCs w:val="19"/>
              </w:rPr>
              <w:t xml:space="preserve">Categoria</w:t>
            </w:r>
          </w:p>
        </w:tc>
        <w:tc>
          <w:tcPr>
            <w:tcW w:type="dxa" w:w="12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9"/>
                <w:szCs w:val="19"/>
              </w:rPr>
              <w:t xml:space="preserve">Responsable</w:t>
            </w:r>
          </w:p>
        </w:tc>
        <w:tc>
          <w:tcPr>
            <w:tcW w:type="dxa" w:w="126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9"/>
                <w:szCs w:val="19"/>
              </w:rPr>
              <w:t xml:space="preserve">Duracion est.</w:t>
            </w:r>
          </w:p>
        </w:tc>
        <w:tc>
          <w:tcPr>
            <w:tcW w:type="dxa" w:w="18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9"/>
                <w:szCs w:val="19"/>
              </w:rPr>
              <w:t xml:space="preserve">Prioridad</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3.1</w:t>
            </w:r>
          </w:p>
        </w:tc>
        <w:tc>
          <w:tcPr>
            <w:tcW w:type="dxa" w:w="3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Migrar VPN Gateway a SKU con soporte de zonas de disponibilidad (VpnGwXAZ)</w:t>
            </w:r>
          </w:p>
        </w:tc>
        <w:tc>
          <w:tcPr>
            <w:tcW w:type="dxa" w:w="1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Confiabilidad</w:t>
            </w:r>
          </w:p>
        </w:tc>
        <w:tc>
          <w:tcPr>
            <w:tcW w:type="dxa" w:w="1200"/>
            <w:tcBorders>
              <w:top w:val="single" w:color="BFBFBF" w:sz="4"/>
              <w:left w:val="single" w:color="BFBFBF" w:sz="4"/>
              <w:bottom w:val="single" w:color="BFBFBF" w:sz="4"/>
              <w:right w:val="single" w:color="BFBFBF" w:sz="4"/>
            </w:tcBorders>
            <w:shd w:fill="D9EEF1" w:val="clear"/>
            <w:tcMar>
              <w:top w:type="dxa" w:w="80"/>
              <w:left w:type="dxa" w:w="130"/>
              <w:bottom w:type="dxa" w:w="80"/>
              <w:right w:type="dxa" w:w="130"/>
            </w:tcMar>
          </w:tcPr>
          <w:p>
            <w:pPr>
              <w:spacing w:after="60" w:before="60"/>
              <w:jc w:val="center"/>
            </w:pPr>
            <w:r>
              <w:rPr>
                <w:rFonts w:ascii="Arial" w:cs="Arial" w:eastAsia="Arial" w:hAnsi="Arial"/>
                <w:b/>
                <w:bCs/>
                <w:color w:val="1F6B75"/>
                <w:sz w:val="18"/>
                <w:szCs w:val="18"/>
              </w:rPr>
              <w:t xml:space="preserve">Externo</w:t>
            </w:r>
          </w:p>
        </w:tc>
        <w:tc>
          <w:tcPr>
            <w:tcW w:type="dxa" w:w="12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1 dia</w:t>
            </w:r>
          </w:p>
        </w:tc>
        <w:tc>
          <w:tcPr>
            <w:tcW w:type="dxa" w:w="1800"/>
            <w:tcBorders>
              <w:top w:val="single" w:color="BFBFBF" w:sz="4"/>
              <w:left w:val="single" w:color="BFBFBF" w:sz="4"/>
              <w:bottom w:val="single" w:color="BFBFBF" w:sz="4"/>
              <w:right w:val="single" w:color="BFBFBF" w:sz="4"/>
            </w:tcBorders>
            <w:shd w:fill="DEEAF1" w:val="clear"/>
            <w:tcMar>
              <w:top w:type="dxa" w:w="80"/>
              <w:left w:type="dxa" w:w="130"/>
              <w:bottom w:type="dxa" w:w="80"/>
              <w:right w:type="dxa" w:w="130"/>
            </w:tcMar>
          </w:tcPr>
          <w:p>
            <w:pPr>
              <w:spacing w:after="60" w:before="60"/>
              <w:jc w:val="center"/>
            </w:pPr>
            <w:r>
              <w:rPr>
                <w:rFonts w:ascii="Arial" w:cs="Arial" w:eastAsia="Arial" w:hAnsi="Arial"/>
                <w:b/>
                <w:bCs/>
                <w:color w:val="4472C4"/>
                <w:sz w:val="18"/>
                <w:szCs w:val="18"/>
              </w:rPr>
              <w:t xml:space="preserve">MEDIANO PLAZO</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3.2</w:t>
            </w:r>
          </w:p>
        </w:tc>
        <w:tc>
          <w:tcPr>
            <w:tcW w:type="dxa" w:w="3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Implementar VMs SQL entre zonas de disponibilidad con Always On AG</w:t>
            </w:r>
          </w:p>
        </w:tc>
        <w:tc>
          <w:tcPr>
            <w:tcW w:type="dxa" w:w="1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Confiabilidad</w:t>
            </w:r>
          </w:p>
        </w:tc>
        <w:tc>
          <w:tcPr>
            <w:tcW w:type="dxa" w:w="1200"/>
            <w:tcBorders>
              <w:top w:val="single" w:color="BFBFBF" w:sz="4"/>
              <w:left w:val="single" w:color="BFBFBF" w:sz="4"/>
              <w:bottom w:val="single" w:color="BFBFBF" w:sz="4"/>
              <w:right w:val="single" w:color="BFBFBF" w:sz="4"/>
            </w:tcBorders>
            <w:shd w:fill="D9EEF1" w:val="clear"/>
            <w:tcMar>
              <w:top w:type="dxa" w:w="80"/>
              <w:left w:type="dxa" w:w="130"/>
              <w:bottom w:type="dxa" w:w="80"/>
              <w:right w:type="dxa" w:w="130"/>
            </w:tcMar>
          </w:tcPr>
          <w:p>
            <w:pPr>
              <w:spacing w:after="60" w:before="60"/>
              <w:jc w:val="center"/>
            </w:pPr>
            <w:r>
              <w:rPr>
                <w:rFonts w:ascii="Arial" w:cs="Arial" w:eastAsia="Arial" w:hAnsi="Arial"/>
                <w:b/>
                <w:bCs/>
                <w:color w:val="1F6B75"/>
                <w:sz w:val="18"/>
                <w:szCs w:val="18"/>
              </w:rPr>
              <w:t xml:space="preserve">Externo</w:t>
            </w:r>
          </w:p>
        </w:tc>
        <w:tc>
          <w:tcPr>
            <w:tcW w:type="dxa" w:w="12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3-5 dias</w:t>
            </w:r>
          </w:p>
        </w:tc>
        <w:tc>
          <w:tcPr>
            <w:tcW w:type="dxa" w:w="1800"/>
            <w:tcBorders>
              <w:top w:val="single" w:color="BFBFBF" w:sz="4"/>
              <w:left w:val="single" w:color="BFBFBF" w:sz="4"/>
              <w:bottom w:val="single" w:color="BFBFBF" w:sz="4"/>
              <w:right w:val="single" w:color="BFBFBF" w:sz="4"/>
            </w:tcBorders>
            <w:shd w:fill="DEEAF1" w:val="clear"/>
            <w:tcMar>
              <w:top w:type="dxa" w:w="80"/>
              <w:left w:type="dxa" w:w="130"/>
              <w:bottom w:type="dxa" w:w="80"/>
              <w:right w:type="dxa" w:w="130"/>
            </w:tcMar>
          </w:tcPr>
          <w:p>
            <w:pPr>
              <w:spacing w:after="60" w:before="60"/>
              <w:jc w:val="center"/>
            </w:pPr>
            <w:r>
              <w:rPr>
                <w:rFonts w:ascii="Arial" w:cs="Arial" w:eastAsia="Arial" w:hAnsi="Arial"/>
                <w:b/>
                <w:bCs/>
                <w:color w:val="4472C4"/>
                <w:sz w:val="18"/>
                <w:szCs w:val="18"/>
              </w:rPr>
              <w:t xml:space="preserve">MEDIANO PLAZO</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3.3</w:t>
            </w:r>
          </w:p>
        </w:tc>
        <w:tc>
          <w:tcPr>
            <w:tcW w:type="dxa" w:w="3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Habilitar redundancia ZRS en Storage Accounts criticos</w:t>
            </w:r>
          </w:p>
        </w:tc>
        <w:tc>
          <w:tcPr>
            <w:tcW w:type="dxa" w:w="1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Confiabilidad</w:t>
            </w:r>
          </w:p>
        </w:tc>
        <w:tc>
          <w:tcPr>
            <w:tcW w:type="dxa" w:w="12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Interno</w:t>
            </w:r>
          </w:p>
        </w:tc>
        <w:tc>
          <w:tcPr>
            <w:tcW w:type="dxa" w:w="12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1-2 dias</w:t>
            </w:r>
          </w:p>
        </w:tc>
        <w:tc>
          <w:tcPr>
            <w:tcW w:type="dxa" w:w="1800"/>
            <w:tcBorders>
              <w:top w:val="single" w:color="BFBFBF" w:sz="4"/>
              <w:left w:val="single" w:color="BFBFBF" w:sz="4"/>
              <w:bottom w:val="single" w:color="BFBFBF" w:sz="4"/>
              <w:right w:val="single" w:color="BFBFBF" w:sz="4"/>
            </w:tcBorders>
            <w:shd w:fill="DEEAF1" w:val="clear"/>
            <w:tcMar>
              <w:top w:type="dxa" w:w="80"/>
              <w:left w:type="dxa" w:w="130"/>
              <w:bottom w:type="dxa" w:w="80"/>
              <w:right w:type="dxa" w:w="130"/>
            </w:tcMar>
          </w:tcPr>
          <w:p>
            <w:pPr>
              <w:spacing w:after="60" w:before="60"/>
              <w:jc w:val="center"/>
            </w:pPr>
            <w:r>
              <w:rPr>
                <w:rFonts w:ascii="Arial" w:cs="Arial" w:eastAsia="Arial" w:hAnsi="Arial"/>
                <w:b/>
                <w:bCs/>
                <w:color w:val="4472C4"/>
                <w:sz w:val="18"/>
                <w:szCs w:val="18"/>
              </w:rPr>
              <w:t xml:space="preserve">MEDIANO PLAZO</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3.4</w:t>
            </w:r>
          </w:p>
        </w:tc>
        <w:tc>
          <w:tcPr>
            <w:tcW w:type="dxa" w:w="3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Configurar gateway activo/activo en VPN Gateway para eliminacion de SPOF</w:t>
            </w:r>
          </w:p>
        </w:tc>
        <w:tc>
          <w:tcPr>
            <w:tcW w:type="dxa" w:w="1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Confiabilidad</w:t>
            </w:r>
          </w:p>
        </w:tc>
        <w:tc>
          <w:tcPr>
            <w:tcW w:type="dxa" w:w="1200"/>
            <w:tcBorders>
              <w:top w:val="single" w:color="BFBFBF" w:sz="4"/>
              <w:left w:val="single" w:color="BFBFBF" w:sz="4"/>
              <w:bottom w:val="single" w:color="BFBFBF" w:sz="4"/>
              <w:right w:val="single" w:color="BFBFBF" w:sz="4"/>
            </w:tcBorders>
            <w:shd w:fill="D9EEF1" w:val="clear"/>
            <w:tcMar>
              <w:top w:type="dxa" w:w="80"/>
              <w:left w:type="dxa" w:w="130"/>
              <w:bottom w:type="dxa" w:w="80"/>
              <w:right w:type="dxa" w:w="130"/>
            </w:tcMar>
          </w:tcPr>
          <w:p>
            <w:pPr>
              <w:spacing w:after="60" w:before="60"/>
              <w:jc w:val="center"/>
            </w:pPr>
            <w:r>
              <w:rPr>
                <w:rFonts w:ascii="Arial" w:cs="Arial" w:eastAsia="Arial" w:hAnsi="Arial"/>
                <w:b/>
                <w:bCs/>
                <w:color w:val="1F6B75"/>
                <w:sz w:val="18"/>
                <w:szCs w:val="18"/>
              </w:rPr>
              <w:t xml:space="preserve">Externo</w:t>
            </w:r>
          </w:p>
        </w:tc>
        <w:tc>
          <w:tcPr>
            <w:tcW w:type="dxa" w:w="12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4-8 horas</w:t>
            </w:r>
          </w:p>
        </w:tc>
        <w:tc>
          <w:tcPr>
            <w:tcW w:type="dxa" w:w="1800"/>
            <w:tcBorders>
              <w:top w:val="single" w:color="BFBFBF" w:sz="4"/>
              <w:left w:val="single" w:color="BFBFBF" w:sz="4"/>
              <w:bottom w:val="single" w:color="BFBFBF" w:sz="4"/>
              <w:right w:val="single" w:color="BFBFBF" w:sz="4"/>
            </w:tcBorders>
            <w:shd w:fill="DEEAF1" w:val="clear"/>
            <w:tcMar>
              <w:top w:type="dxa" w:w="80"/>
              <w:left w:type="dxa" w:w="130"/>
              <w:bottom w:type="dxa" w:w="80"/>
              <w:right w:type="dxa" w:w="130"/>
            </w:tcMar>
          </w:tcPr>
          <w:p>
            <w:pPr>
              <w:spacing w:after="60" w:before="60"/>
              <w:jc w:val="center"/>
            </w:pPr>
            <w:r>
              <w:rPr>
                <w:rFonts w:ascii="Arial" w:cs="Arial" w:eastAsia="Arial" w:hAnsi="Arial"/>
                <w:b/>
                <w:bCs/>
                <w:color w:val="4472C4"/>
                <w:sz w:val="18"/>
                <w:szCs w:val="18"/>
              </w:rPr>
              <w:t xml:space="preserve">MEDIANO PLAZO</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3.5</w:t>
            </w:r>
          </w:p>
        </w:tc>
        <w:tc>
          <w:tcPr>
            <w:tcW w:type="dxa" w:w="3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Agregar solucion de evaluacion de vulnerabilidades en VMs (Defender Vulnerability Mgmt)</w:t>
            </w:r>
          </w:p>
        </w:tc>
        <w:tc>
          <w:tcPr>
            <w:tcW w:type="dxa" w:w="1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Seguridad</w:t>
            </w:r>
          </w:p>
        </w:tc>
        <w:tc>
          <w:tcPr>
            <w:tcW w:type="dxa" w:w="1200"/>
            <w:tcBorders>
              <w:top w:val="single" w:color="BFBFBF" w:sz="4"/>
              <w:left w:val="single" w:color="BFBFBF" w:sz="4"/>
              <w:bottom w:val="single" w:color="BFBFBF" w:sz="4"/>
              <w:right w:val="single" w:color="BFBFBF" w:sz="4"/>
            </w:tcBorders>
            <w:shd w:fill="EAE0F0" w:val="clear"/>
            <w:tcMar>
              <w:top w:type="dxa" w:w="80"/>
              <w:left w:type="dxa" w:w="130"/>
              <w:bottom w:type="dxa" w:w="80"/>
              <w:right w:type="dxa" w:w="130"/>
            </w:tcMar>
          </w:tcPr>
          <w:p>
            <w:pPr>
              <w:spacing w:after="60" w:before="60"/>
              <w:jc w:val="center"/>
            </w:pPr>
            <w:r>
              <w:rPr>
                <w:rFonts w:ascii="Arial" w:cs="Arial" w:eastAsia="Arial" w:hAnsi="Arial"/>
                <w:b/>
                <w:bCs/>
                <w:color w:val="5C3D7A"/>
                <w:sz w:val="18"/>
                <w:szCs w:val="18"/>
              </w:rPr>
              <w:t xml:space="preserve">Mixto</w:t>
            </w:r>
          </w:p>
        </w:tc>
        <w:tc>
          <w:tcPr>
            <w:tcW w:type="dxa" w:w="12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1 dia</w:t>
            </w:r>
          </w:p>
        </w:tc>
        <w:tc>
          <w:tcPr>
            <w:tcW w:type="dxa" w:w="1800"/>
            <w:tcBorders>
              <w:top w:val="single" w:color="BFBFBF" w:sz="4"/>
              <w:left w:val="single" w:color="BFBFBF" w:sz="4"/>
              <w:bottom w:val="single" w:color="BFBFBF" w:sz="4"/>
              <w:right w:val="single" w:color="BFBFBF" w:sz="4"/>
            </w:tcBorders>
            <w:shd w:fill="DEEAF1" w:val="clear"/>
            <w:tcMar>
              <w:top w:type="dxa" w:w="80"/>
              <w:left w:type="dxa" w:w="130"/>
              <w:bottom w:type="dxa" w:w="80"/>
              <w:right w:type="dxa" w:w="130"/>
            </w:tcMar>
          </w:tcPr>
          <w:p>
            <w:pPr>
              <w:spacing w:after="60" w:before="60"/>
              <w:jc w:val="center"/>
            </w:pPr>
            <w:r>
              <w:rPr>
                <w:rFonts w:ascii="Arial" w:cs="Arial" w:eastAsia="Arial" w:hAnsi="Arial"/>
                <w:b/>
                <w:bCs/>
                <w:color w:val="4472C4"/>
                <w:sz w:val="18"/>
                <w:szCs w:val="18"/>
              </w:rPr>
              <w:t xml:space="preserve">MEDIANO PLAZO</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3.6</w:t>
            </w:r>
          </w:p>
        </w:tc>
        <w:tc>
          <w:tcPr>
            <w:tcW w:type="dxa" w:w="3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Ejecutar SQL Best Practices Assessment en glm-supercep</w:t>
            </w:r>
          </w:p>
        </w:tc>
        <w:tc>
          <w:tcPr>
            <w:tcW w:type="dxa" w:w="1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Excelencia Operativa</w:t>
            </w:r>
          </w:p>
        </w:tc>
        <w:tc>
          <w:tcPr>
            <w:tcW w:type="dxa" w:w="1200"/>
            <w:tcBorders>
              <w:top w:val="single" w:color="BFBFBF" w:sz="4"/>
              <w:left w:val="single" w:color="BFBFBF" w:sz="4"/>
              <w:bottom w:val="single" w:color="BFBFBF" w:sz="4"/>
              <w:right w:val="single" w:color="BFBFBF" w:sz="4"/>
            </w:tcBorders>
            <w:shd w:fill="EAE0F0" w:val="clear"/>
            <w:tcMar>
              <w:top w:type="dxa" w:w="80"/>
              <w:left w:type="dxa" w:w="130"/>
              <w:bottom w:type="dxa" w:w="80"/>
              <w:right w:type="dxa" w:w="130"/>
            </w:tcMar>
          </w:tcPr>
          <w:p>
            <w:pPr>
              <w:spacing w:after="60" w:before="60"/>
              <w:jc w:val="center"/>
            </w:pPr>
            <w:r>
              <w:rPr>
                <w:rFonts w:ascii="Arial" w:cs="Arial" w:eastAsia="Arial" w:hAnsi="Arial"/>
                <w:b/>
                <w:bCs/>
                <w:color w:val="5C3D7A"/>
                <w:sz w:val="18"/>
                <w:szCs w:val="18"/>
              </w:rPr>
              <w:t xml:space="preserve">Mixto</w:t>
            </w:r>
          </w:p>
        </w:tc>
        <w:tc>
          <w:tcPr>
            <w:tcW w:type="dxa" w:w="12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4 horas</w:t>
            </w:r>
          </w:p>
        </w:tc>
        <w:tc>
          <w:tcPr>
            <w:tcW w:type="dxa" w:w="1800"/>
            <w:tcBorders>
              <w:top w:val="single" w:color="BFBFBF" w:sz="4"/>
              <w:left w:val="single" w:color="BFBFBF" w:sz="4"/>
              <w:bottom w:val="single" w:color="BFBFBF" w:sz="4"/>
              <w:right w:val="single" w:color="BFBFBF" w:sz="4"/>
            </w:tcBorders>
            <w:shd w:fill="DEEAF1" w:val="clear"/>
            <w:tcMar>
              <w:top w:type="dxa" w:w="80"/>
              <w:left w:type="dxa" w:w="130"/>
              <w:bottom w:type="dxa" w:w="80"/>
              <w:right w:type="dxa" w:w="130"/>
            </w:tcMar>
          </w:tcPr>
          <w:p>
            <w:pPr>
              <w:spacing w:after="60" w:before="60"/>
              <w:jc w:val="center"/>
            </w:pPr>
            <w:r>
              <w:rPr>
                <w:rFonts w:ascii="Arial" w:cs="Arial" w:eastAsia="Arial" w:hAnsi="Arial"/>
                <w:b/>
                <w:bCs/>
                <w:color w:val="4472C4"/>
                <w:sz w:val="18"/>
                <w:szCs w:val="18"/>
              </w:rPr>
              <w:t xml:space="preserve">MEDIANO PLAZO</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3.7</w:t>
            </w:r>
          </w:p>
        </w:tc>
        <w:tc>
          <w:tcPr>
            <w:tcW w:type="dxa" w:w="3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Habilitar cifrado en host en VMs y VMSS restantes</w:t>
            </w:r>
          </w:p>
        </w:tc>
        <w:tc>
          <w:tcPr>
            <w:tcW w:type="dxa" w:w="1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Seguridad</w:t>
            </w:r>
          </w:p>
        </w:tc>
        <w:tc>
          <w:tcPr>
            <w:tcW w:type="dxa" w:w="1200"/>
            <w:tcBorders>
              <w:top w:val="single" w:color="BFBFBF" w:sz="4"/>
              <w:left w:val="single" w:color="BFBFBF" w:sz="4"/>
              <w:bottom w:val="single" w:color="BFBFBF" w:sz="4"/>
              <w:right w:val="single" w:color="BFBFBF" w:sz="4"/>
            </w:tcBorders>
            <w:shd w:fill="D9EEF1" w:val="clear"/>
            <w:tcMar>
              <w:top w:type="dxa" w:w="80"/>
              <w:left w:type="dxa" w:w="130"/>
              <w:bottom w:type="dxa" w:w="80"/>
              <w:right w:type="dxa" w:w="130"/>
            </w:tcMar>
          </w:tcPr>
          <w:p>
            <w:pPr>
              <w:spacing w:after="60" w:before="60"/>
              <w:jc w:val="center"/>
            </w:pPr>
            <w:r>
              <w:rPr>
                <w:rFonts w:ascii="Arial" w:cs="Arial" w:eastAsia="Arial" w:hAnsi="Arial"/>
                <w:b/>
                <w:bCs/>
                <w:color w:val="1F6B75"/>
                <w:sz w:val="18"/>
                <w:szCs w:val="18"/>
              </w:rPr>
              <w:t xml:space="preserve">Externo</w:t>
            </w:r>
          </w:p>
        </w:tc>
        <w:tc>
          <w:tcPr>
            <w:tcW w:type="dxa" w:w="12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1-2 dias</w:t>
            </w:r>
          </w:p>
        </w:tc>
        <w:tc>
          <w:tcPr>
            <w:tcW w:type="dxa" w:w="1800"/>
            <w:tcBorders>
              <w:top w:val="single" w:color="BFBFBF" w:sz="4"/>
              <w:left w:val="single" w:color="BFBFBF" w:sz="4"/>
              <w:bottom w:val="single" w:color="BFBFBF" w:sz="4"/>
              <w:right w:val="single" w:color="BFBFBF" w:sz="4"/>
            </w:tcBorders>
            <w:shd w:fill="DEEAF1" w:val="clear"/>
            <w:tcMar>
              <w:top w:type="dxa" w:w="80"/>
              <w:left w:type="dxa" w:w="130"/>
              <w:bottom w:type="dxa" w:w="80"/>
              <w:right w:type="dxa" w:w="130"/>
            </w:tcMar>
          </w:tcPr>
          <w:p>
            <w:pPr>
              <w:spacing w:after="60" w:before="60"/>
              <w:jc w:val="center"/>
            </w:pPr>
            <w:r>
              <w:rPr>
                <w:rFonts w:ascii="Arial" w:cs="Arial" w:eastAsia="Arial" w:hAnsi="Arial"/>
                <w:b/>
                <w:bCs/>
                <w:color w:val="4472C4"/>
                <w:sz w:val="18"/>
                <w:szCs w:val="18"/>
              </w:rPr>
              <w:t xml:space="preserve">MEDIANO PLAZO</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3.8</w:t>
            </w:r>
          </w:p>
        </w:tc>
        <w:tc>
          <w:tcPr>
            <w:tcW w:type="dxa" w:w="3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Configurar eliminacion temporal (Soft Delete) en Storage Accounts y Recovery Vault</w:t>
            </w:r>
          </w:p>
        </w:tc>
        <w:tc>
          <w:tcPr>
            <w:tcW w:type="dxa" w:w="1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Confiabilidad</w:t>
            </w:r>
          </w:p>
        </w:tc>
        <w:tc>
          <w:tcPr>
            <w:tcW w:type="dxa" w:w="12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Interno</w:t>
            </w:r>
          </w:p>
        </w:tc>
        <w:tc>
          <w:tcPr>
            <w:tcW w:type="dxa" w:w="12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2 horas</w:t>
            </w:r>
          </w:p>
        </w:tc>
        <w:tc>
          <w:tcPr>
            <w:tcW w:type="dxa" w:w="1800"/>
            <w:tcBorders>
              <w:top w:val="single" w:color="BFBFBF" w:sz="4"/>
              <w:left w:val="single" w:color="BFBFBF" w:sz="4"/>
              <w:bottom w:val="single" w:color="BFBFBF" w:sz="4"/>
              <w:right w:val="single" w:color="BFBFBF" w:sz="4"/>
            </w:tcBorders>
            <w:shd w:fill="DEEAF1" w:val="clear"/>
            <w:tcMar>
              <w:top w:type="dxa" w:w="80"/>
              <w:left w:type="dxa" w:w="130"/>
              <w:bottom w:type="dxa" w:w="80"/>
              <w:right w:type="dxa" w:w="130"/>
            </w:tcMar>
          </w:tcPr>
          <w:p>
            <w:pPr>
              <w:spacing w:after="60" w:before="60"/>
              <w:jc w:val="center"/>
            </w:pPr>
            <w:r>
              <w:rPr>
                <w:rFonts w:ascii="Arial" w:cs="Arial" w:eastAsia="Arial" w:hAnsi="Arial"/>
                <w:b/>
                <w:bCs/>
                <w:color w:val="4472C4"/>
                <w:sz w:val="18"/>
                <w:szCs w:val="18"/>
              </w:rPr>
              <w:t xml:space="preserve">MEDIANO PLAZO</w:t>
            </w:r>
          </w:p>
        </w:tc>
      </w:tr>
    </w:tbl>
    <w:p>
      <w:pPr>
        <w:spacing w:after="40" w:before="40"/>
      </w:pPr>
      <w:r>
        <w:t xml:space="preserve"/>
      </w:r>
    </w:p>
    <w:p>
      <w:pPr>
        <w:spacing w:after="40" w:before="40"/>
      </w:pPr>
      <w:r>
        <w:t xml:space="preserve"/>
      </w:r>
    </w:p>
    <w:p>
      <w:pPr>
        <w:pStyle w:val="Heading2"/>
        <w:spacing w:after="100" w:before="280"/>
      </w:pPr>
      <w:r>
        <w:rPr>
          <w:rFonts w:ascii="Arial" w:cs="Arial" w:eastAsia="Arial" w:hAnsi="Arial"/>
          <w:b/>
          <w:bCs/>
          <w:color w:val="2E75B6"/>
          <w:sz w:val="26"/>
          <w:szCs w:val="26"/>
        </w:rPr>
        <w:t xml:space="preserve">Fase 4 — Largo Plazo (Mes 4 en adelante)</w:t>
      </w:r>
    </w:p>
    <w:p>
      <w:pPr>
        <w:spacing w:after="60" w:before="60"/>
        <w:jc w:val="left"/>
      </w:pPr>
      <w:r>
        <w:rPr>
          <w:rFonts w:ascii="Arial" w:cs="Arial" w:eastAsia="Arial" w:hAnsi="Arial"/>
          <w:b w:val="false"/>
          <w:bCs w:val="false"/>
          <w:color w:val="595959"/>
          <w:sz w:val="20"/>
          <w:szCs w:val="20"/>
        </w:rPr>
        <w:t xml:space="preserve">Iniciativas de madurez cloud que establecen bases duraderas para la operacion, gobernanza y optimizacion continua del entorno Azure.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100"/>
        <w:gridCol w:w="1600"/>
        <w:gridCol w:w="1200"/>
        <w:gridCol w:w="1260"/>
        <w:gridCol w:w="1800"/>
      </w:tblGrid>
      <w:tr>
        <w:tc>
          <w:tcPr>
            <w:tcW w:type="dxa" w:w="4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9"/>
                <w:szCs w:val="19"/>
              </w:rPr>
              <w:t xml:space="preserve">#</w:t>
            </w:r>
          </w:p>
        </w:tc>
        <w:tc>
          <w:tcPr>
            <w:tcW w:type="dxa" w:w="31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9"/>
                <w:szCs w:val="19"/>
              </w:rPr>
              <w:t xml:space="preserve">Tarea / Actividad</w:t>
            </w:r>
          </w:p>
        </w:tc>
        <w:tc>
          <w:tcPr>
            <w:tcW w:type="dxa" w:w="16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9"/>
                <w:szCs w:val="19"/>
              </w:rPr>
              <w:t xml:space="preserve">Categoria</w:t>
            </w:r>
          </w:p>
        </w:tc>
        <w:tc>
          <w:tcPr>
            <w:tcW w:type="dxa" w:w="12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9"/>
                <w:szCs w:val="19"/>
              </w:rPr>
              <w:t xml:space="preserve">Responsable</w:t>
            </w:r>
          </w:p>
        </w:tc>
        <w:tc>
          <w:tcPr>
            <w:tcW w:type="dxa" w:w="126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9"/>
                <w:szCs w:val="19"/>
              </w:rPr>
              <w:t xml:space="preserve">Duracion est.</w:t>
            </w:r>
          </w:p>
        </w:tc>
        <w:tc>
          <w:tcPr>
            <w:tcW w:type="dxa" w:w="18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9"/>
                <w:szCs w:val="19"/>
              </w:rPr>
              <w:t xml:space="preserve">Prioridad</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4.1</w:t>
            </w:r>
          </w:p>
        </w:tc>
        <w:tc>
          <w:tcPr>
            <w:tcW w:type="dxa" w:w="3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Evaluar y migrar VMs candidatas a Virtual Machine Scale Sets Flex</w:t>
            </w:r>
          </w:p>
        </w:tc>
        <w:tc>
          <w:tcPr>
            <w:tcW w:type="dxa" w:w="1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Confiabilidad</w:t>
            </w:r>
          </w:p>
        </w:tc>
        <w:tc>
          <w:tcPr>
            <w:tcW w:type="dxa" w:w="1200"/>
            <w:tcBorders>
              <w:top w:val="single" w:color="BFBFBF" w:sz="4"/>
              <w:left w:val="single" w:color="BFBFBF" w:sz="4"/>
              <w:bottom w:val="single" w:color="BFBFBF" w:sz="4"/>
              <w:right w:val="single" w:color="BFBFBF" w:sz="4"/>
            </w:tcBorders>
            <w:shd w:fill="D9EEF1" w:val="clear"/>
            <w:tcMar>
              <w:top w:type="dxa" w:w="80"/>
              <w:left w:type="dxa" w:w="130"/>
              <w:bottom w:type="dxa" w:w="80"/>
              <w:right w:type="dxa" w:w="130"/>
            </w:tcMar>
          </w:tcPr>
          <w:p>
            <w:pPr>
              <w:spacing w:after="60" w:before="60"/>
              <w:jc w:val="center"/>
            </w:pPr>
            <w:r>
              <w:rPr>
                <w:rFonts w:ascii="Arial" w:cs="Arial" w:eastAsia="Arial" w:hAnsi="Arial"/>
                <w:b/>
                <w:bCs/>
                <w:color w:val="1F6B75"/>
                <w:sz w:val="18"/>
                <w:szCs w:val="18"/>
              </w:rPr>
              <w:t xml:space="preserve">Externo</w:t>
            </w:r>
          </w:p>
        </w:tc>
        <w:tc>
          <w:tcPr>
            <w:tcW w:type="dxa" w:w="12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5-10 dias</w:t>
            </w:r>
          </w:p>
        </w:tc>
        <w:tc>
          <w:tcPr>
            <w:tcW w:type="dxa" w:w="18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LARGO PLAZO</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4.2</w:t>
            </w:r>
          </w:p>
        </w:tc>
        <w:tc>
          <w:tcPr>
            <w:tcW w:type="dxa" w:w="3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Implementar Azure Policy para cumplimiento continuo (iniciativa CIS o NIST)</w:t>
            </w:r>
          </w:p>
        </w:tc>
        <w:tc>
          <w:tcPr>
            <w:tcW w:type="dxa" w:w="1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Seguridad</w:t>
            </w:r>
          </w:p>
        </w:tc>
        <w:tc>
          <w:tcPr>
            <w:tcW w:type="dxa" w:w="1200"/>
            <w:tcBorders>
              <w:top w:val="single" w:color="BFBFBF" w:sz="4"/>
              <w:left w:val="single" w:color="BFBFBF" w:sz="4"/>
              <w:bottom w:val="single" w:color="BFBFBF" w:sz="4"/>
              <w:right w:val="single" w:color="BFBFBF" w:sz="4"/>
            </w:tcBorders>
            <w:shd w:fill="D9EEF1" w:val="clear"/>
            <w:tcMar>
              <w:top w:type="dxa" w:w="80"/>
              <w:left w:type="dxa" w:w="130"/>
              <w:bottom w:type="dxa" w:w="80"/>
              <w:right w:type="dxa" w:w="130"/>
            </w:tcMar>
          </w:tcPr>
          <w:p>
            <w:pPr>
              <w:spacing w:after="60" w:before="60"/>
              <w:jc w:val="center"/>
            </w:pPr>
            <w:r>
              <w:rPr>
                <w:rFonts w:ascii="Arial" w:cs="Arial" w:eastAsia="Arial" w:hAnsi="Arial"/>
                <w:b/>
                <w:bCs/>
                <w:color w:val="1F6B75"/>
                <w:sz w:val="18"/>
                <w:szCs w:val="18"/>
              </w:rPr>
              <w:t xml:space="preserve">Externo</w:t>
            </w:r>
          </w:p>
        </w:tc>
        <w:tc>
          <w:tcPr>
            <w:tcW w:type="dxa" w:w="12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3-5 dias</w:t>
            </w:r>
          </w:p>
        </w:tc>
        <w:tc>
          <w:tcPr>
            <w:tcW w:type="dxa" w:w="18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LARGO PLAZO</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4.3</w:t>
            </w:r>
          </w:p>
        </w:tc>
        <w:tc>
          <w:tcPr>
            <w:tcW w:type="dxa" w:w="3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Configurar Microsoft Sentinel como SIEM/SOAR sobre Log Analytics Workspace</w:t>
            </w:r>
          </w:p>
        </w:tc>
        <w:tc>
          <w:tcPr>
            <w:tcW w:type="dxa" w:w="1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Seguridad</w:t>
            </w:r>
          </w:p>
        </w:tc>
        <w:tc>
          <w:tcPr>
            <w:tcW w:type="dxa" w:w="1200"/>
            <w:tcBorders>
              <w:top w:val="single" w:color="BFBFBF" w:sz="4"/>
              <w:left w:val="single" w:color="BFBFBF" w:sz="4"/>
              <w:bottom w:val="single" w:color="BFBFBF" w:sz="4"/>
              <w:right w:val="single" w:color="BFBFBF" w:sz="4"/>
            </w:tcBorders>
            <w:shd w:fill="D9EEF1" w:val="clear"/>
            <w:tcMar>
              <w:top w:type="dxa" w:w="80"/>
              <w:left w:type="dxa" w:w="130"/>
              <w:bottom w:type="dxa" w:w="80"/>
              <w:right w:type="dxa" w:w="130"/>
            </w:tcMar>
          </w:tcPr>
          <w:p>
            <w:pPr>
              <w:spacing w:after="60" w:before="60"/>
              <w:jc w:val="center"/>
            </w:pPr>
            <w:r>
              <w:rPr>
                <w:rFonts w:ascii="Arial" w:cs="Arial" w:eastAsia="Arial" w:hAnsi="Arial"/>
                <w:b/>
                <w:bCs/>
                <w:color w:val="1F6B75"/>
                <w:sz w:val="18"/>
                <w:szCs w:val="18"/>
              </w:rPr>
              <w:t xml:space="preserve">Externo</w:t>
            </w:r>
          </w:p>
        </w:tc>
        <w:tc>
          <w:tcPr>
            <w:tcW w:type="dxa" w:w="12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3-5 dias</w:t>
            </w:r>
          </w:p>
        </w:tc>
        <w:tc>
          <w:tcPr>
            <w:tcW w:type="dxa" w:w="18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LARGO PLAZO</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4.4</w:t>
            </w:r>
          </w:p>
        </w:tc>
        <w:tc>
          <w:tcPr>
            <w:tcW w:type="dxa" w:w="3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Implementar Azure Hybrid Benefit para licencias Windows/SQL Server en VMs</w:t>
            </w:r>
          </w:p>
        </w:tc>
        <w:tc>
          <w:tcPr>
            <w:tcW w:type="dxa" w:w="1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Costo</w:t>
            </w:r>
          </w:p>
        </w:tc>
        <w:tc>
          <w:tcPr>
            <w:tcW w:type="dxa" w:w="12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Interno</w:t>
            </w:r>
          </w:p>
        </w:tc>
        <w:tc>
          <w:tcPr>
            <w:tcW w:type="dxa" w:w="12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1-2 dias</w:t>
            </w:r>
          </w:p>
        </w:tc>
        <w:tc>
          <w:tcPr>
            <w:tcW w:type="dxa" w:w="18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LARGO PLAZO</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4.5</w:t>
            </w:r>
          </w:p>
        </w:tc>
        <w:tc>
          <w:tcPr>
            <w:tcW w:type="dxa" w:w="3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Configurar Storage Lifecycle Policies para datos frios (Cool/Archive)</w:t>
            </w:r>
          </w:p>
        </w:tc>
        <w:tc>
          <w:tcPr>
            <w:tcW w:type="dxa" w:w="1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Costo</w:t>
            </w:r>
          </w:p>
        </w:tc>
        <w:tc>
          <w:tcPr>
            <w:tcW w:type="dxa" w:w="12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Interno</w:t>
            </w:r>
          </w:p>
        </w:tc>
        <w:tc>
          <w:tcPr>
            <w:tcW w:type="dxa" w:w="12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1 dia</w:t>
            </w:r>
          </w:p>
        </w:tc>
        <w:tc>
          <w:tcPr>
            <w:tcW w:type="dxa" w:w="18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LARGO PLAZO</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4.6</w:t>
            </w:r>
          </w:p>
        </w:tc>
        <w:tc>
          <w:tcPr>
            <w:tcW w:type="dxa" w:w="3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Migrar cuentas de almacenamiento General Purpose v1 a v2</w:t>
            </w:r>
          </w:p>
        </w:tc>
        <w:tc>
          <w:tcPr>
            <w:tcW w:type="dxa" w:w="1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Confiabilidad</w:t>
            </w:r>
          </w:p>
        </w:tc>
        <w:tc>
          <w:tcPr>
            <w:tcW w:type="dxa" w:w="1200"/>
            <w:tcBorders>
              <w:top w:val="single" w:color="BFBFBF" w:sz="4"/>
              <w:left w:val="single" w:color="BFBFBF" w:sz="4"/>
              <w:bottom w:val="single" w:color="BFBFBF" w:sz="4"/>
              <w:right w:val="single" w:color="BFBFBF" w:sz="4"/>
            </w:tcBorders>
            <w:shd w:fill="EAE0F0" w:val="clear"/>
            <w:tcMar>
              <w:top w:type="dxa" w:w="80"/>
              <w:left w:type="dxa" w:w="130"/>
              <w:bottom w:type="dxa" w:w="80"/>
              <w:right w:type="dxa" w:w="130"/>
            </w:tcMar>
          </w:tcPr>
          <w:p>
            <w:pPr>
              <w:spacing w:after="60" w:before="60"/>
              <w:jc w:val="center"/>
            </w:pPr>
            <w:r>
              <w:rPr>
                <w:rFonts w:ascii="Arial" w:cs="Arial" w:eastAsia="Arial" w:hAnsi="Arial"/>
                <w:b/>
                <w:bCs/>
                <w:color w:val="5C3D7A"/>
                <w:sz w:val="18"/>
                <w:szCs w:val="18"/>
              </w:rPr>
              <w:t xml:space="preserve">Mixto</w:t>
            </w:r>
          </w:p>
        </w:tc>
        <w:tc>
          <w:tcPr>
            <w:tcW w:type="dxa" w:w="12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1-2 dias</w:t>
            </w:r>
          </w:p>
        </w:tc>
        <w:tc>
          <w:tcPr>
            <w:tcW w:type="dxa" w:w="18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LARGO PLAZO</w:t>
            </w:r>
          </w:p>
        </w:tc>
      </w:tr>
      <w:tr>
        <w:tc>
          <w:tcPr>
            <w:tcW w:type="dxa" w:w="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4.7</w:t>
            </w:r>
          </w:p>
        </w:tc>
        <w:tc>
          <w:tcPr>
            <w:tcW w:type="dxa" w:w="31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Estandarizar naming conventions y alineacion de resource groups segun CAF</w:t>
            </w:r>
          </w:p>
        </w:tc>
        <w:tc>
          <w:tcPr>
            <w:tcW w:type="dxa" w:w="16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Excelencia Operativa</w:t>
            </w:r>
          </w:p>
        </w:tc>
        <w:tc>
          <w:tcPr>
            <w:tcW w:type="dxa" w:w="12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Interno</w:t>
            </w:r>
          </w:p>
        </w:tc>
        <w:tc>
          <w:tcPr>
            <w:tcW w:type="dxa" w:w="12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2-3 dias</w:t>
            </w:r>
          </w:p>
        </w:tc>
        <w:tc>
          <w:tcPr>
            <w:tcW w:type="dxa" w:w="18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LARGO PLAZO</w:t>
            </w:r>
          </w:p>
        </w:tc>
      </w:tr>
      <w:tr>
        <w:tc>
          <w:tcPr>
            <w:tcW w:type="dxa" w:w="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bCs/>
                <w:color w:val="1F3864"/>
                <w:sz w:val="20"/>
                <w:szCs w:val="20"/>
              </w:rPr>
              <w:t xml:space="preserve">4.8</w:t>
            </w:r>
          </w:p>
        </w:tc>
        <w:tc>
          <w:tcPr>
            <w:tcW w:type="dxa" w:w="31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bCs/>
                <w:color w:val="000000"/>
                <w:sz w:val="20"/>
                <w:szCs w:val="20"/>
              </w:rPr>
              <w:t xml:space="preserve">Configurar Infrastructure as Code (Bicep/Terraform) para nuevos despliegues</w:t>
            </w:r>
          </w:p>
        </w:tc>
        <w:tc>
          <w:tcPr>
            <w:tcW w:type="dxa" w:w="16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595959"/>
                <w:sz w:val="20"/>
                <w:szCs w:val="20"/>
              </w:rPr>
              <w:t xml:space="preserve">Excelencia Operativa</w:t>
            </w:r>
          </w:p>
        </w:tc>
        <w:tc>
          <w:tcPr>
            <w:tcW w:type="dxa" w:w="1200"/>
            <w:tcBorders>
              <w:top w:val="single" w:color="BFBFBF" w:sz="4"/>
              <w:left w:val="single" w:color="BFBFBF" w:sz="4"/>
              <w:bottom w:val="single" w:color="BFBFBF" w:sz="4"/>
              <w:right w:val="single" w:color="BFBFBF" w:sz="4"/>
            </w:tcBorders>
            <w:shd w:fill="D9EEF1" w:val="clear"/>
            <w:tcMar>
              <w:top w:type="dxa" w:w="80"/>
              <w:left w:type="dxa" w:w="130"/>
              <w:bottom w:type="dxa" w:w="80"/>
              <w:right w:type="dxa" w:w="130"/>
            </w:tcMar>
          </w:tcPr>
          <w:p>
            <w:pPr>
              <w:spacing w:after="60" w:before="60"/>
              <w:jc w:val="center"/>
            </w:pPr>
            <w:r>
              <w:rPr>
                <w:rFonts w:ascii="Arial" w:cs="Arial" w:eastAsia="Arial" w:hAnsi="Arial"/>
                <w:b/>
                <w:bCs/>
                <w:color w:val="1F6B75"/>
                <w:sz w:val="18"/>
                <w:szCs w:val="18"/>
              </w:rPr>
              <w:t xml:space="preserve">Externo</w:t>
            </w:r>
          </w:p>
        </w:tc>
        <w:tc>
          <w:tcPr>
            <w:tcW w:type="dxa" w:w="12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595959"/>
                <w:sz w:val="20"/>
                <w:szCs w:val="20"/>
              </w:rPr>
              <w:t xml:space="preserve">5-10 dias</w:t>
            </w:r>
          </w:p>
        </w:tc>
        <w:tc>
          <w:tcPr>
            <w:tcW w:type="dxa" w:w="180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18"/>
                <w:szCs w:val="18"/>
              </w:rPr>
              <w:t xml:space="preserve">LARGO PLAZO</w:t>
            </w:r>
          </w:p>
        </w:tc>
      </w:tr>
    </w:tbl>
    <w:p>
      <w:pPr>
        <w:spacing w:after="40" w:before="40"/>
      </w:pPr>
      <w:r>
        <w:t xml:space="preserve"/>
      </w:r>
    </w:p>
    <w:p>
      <w:r>
        <w:br w:type="page"/>
      </w:r>
    </w:p>
    <w:p>
      <w:pPr>
        <w:pStyle w:val="Heading1"/>
        <w:pBdr>
          <w:bottom w:val="single" w:color="0078D4" w:sz="8" w:space="4"/>
        </w:pBdr>
        <w:spacing w:after="120" w:before="400"/>
      </w:pPr>
      <w:r>
        <w:rPr>
          <w:rFonts w:ascii="Arial" w:cs="Arial" w:eastAsia="Arial" w:hAnsi="Arial"/>
          <w:b/>
          <w:bCs/>
          <w:color w:val="1F3864"/>
          <w:sz w:val="32"/>
          <w:szCs w:val="32"/>
        </w:rPr>
        <w:t xml:space="preserve">3. Fichas Tecnicas de Implementacion</w:t>
      </w:r>
    </w:p>
    <w:p>
      <w:pPr>
        <w:spacing w:after="60" w:before="60"/>
        <w:jc w:val="left"/>
      </w:pPr>
      <w:r>
        <w:rPr>
          <w:rFonts w:ascii="Arial" w:cs="Arial" w:eastAsia="Arial" w:hAnsi="Arial"/>
          <w:b w:val="false"/>
          <w:bCs w:val="false"/>
          <w:color w:val="000000"/>
          <w:sz w:val="20"/>
          <w:szCs w:val="20"/>
        </w:rPr>
        <w:t xml:space="preserve">A continuacion se presentan las fichas tecnicas detalladas para las actividades mas criticas del plan. Cada ficha incluye prerrequisitos, pasos paso a paso, criterios de validacion y plan de rollback.</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r>
              <w:rPr>
                <w:rFonts w:ascii="Arial" w:cs="Arial" w:eastAsia="Arial" w:hAnsi="Arial"/>
                <w:b/>
                <w:bCs/>
                <w:color w:val="FFFFFF"/>
                <w:sz w:val="23"/>
                <w:szCs w:val="23"/>
              </w:rPr>
              <w:t xml:space="preserve">1.1. Habilitar Azure Disk Encryption o EncryptionAtHost en VMs</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Categoria</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595959"/>
                <w:sz w:val="20"/>
                <w:szCs w:val="20"/>
              </w:rPr>
              <w:t xml:space="preserve">Seguridad — Impacto Alto</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Prioridad</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bCs/>
                <w:color w:val="C00000"/>
                <w:sz w:val="20"/>
                <w:szCs w:val="20"/>
              </w:rPr>
              <w:t xml:space="preserve">Inmediato</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Responsable</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000000"/>
                <w:sz w:val="20"/>
                <w:szCs w:val="20"/>
              </w:rPr>
              <w:t xml:space="preserve">Externo (con supervision interna)</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Duracion</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000000"/>
                <w:sz w:val="20"/>
                <w:szCs w:val="20"/>
              </w:rPr>
              <w:t xml:space="preserve">2-3 dias (incluye pruebas y validacion por VM)</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Recursos Azure</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595959"/>
                <w:sz w:val="20"/>
                <w:szCs w:val="20"/>
              </w:rPr>
              <w:t xml:space="preserve">glm-comer, glm-huam, glm-intel, glm-lara, glm-prov, bi-glm, glm-supercep, fgt (Windows y Linux)</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Objetivo</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000000"/>
                <w:sz w:val="20"/>
                <w:szCs w:val="20"/>
              </w:rPr>
              <w:t xml:space="preserve">Cifrar todos los discos de sistema operativo y datos en reposo para proteger informacion sensible ante acceso fisico no autorizado al hardware subyacente en los datacenters de Azure.</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Prerrequisitos</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pStyle w:val="ListParagraph"/>
              <w:numPr>
                <w:ilvl w:val="0"/>
                <w:numId w:val="2"/>
              </w:numPr>
              <w:spacing w:after="30" w:before="30"/>
            </w:pPr>
            <w:r>
              <w:rPr>
                <w:rFonts w:ascii="Arial" w:cs="Arial" w:eastAsia="Arial" w:hAnsi="Arial"/>
                <w:sz w:val="19"/>
                <w:szCs w:val="19"/>
              </w:rPr>
              <w:t xml:space="preserve">Verificar que el SKU de VM soporta EncryptionAtHost (no disponible en serie Av1, B1ls, algunos SKU basicos)</w:t>
            </w:r>
          </w:p>
          <w:p>
            <w:pPr>
              <w:pStyle w:val="ListParagraph"/>
              <w:numPr>
                <w:ilvl w:val="0"/>
                <w:numId w:val="2"/>
              </w:numPr>
              <w:spacing w:after="30" w:before="30"/>
            </w:pPr>
            <w:r>
              <w:rPr>
                <w:rFonts w:ascii="Arial" w:cs="Arial" w:eastAsia="Arial" w:hAnsi="Arial"/>
                <w:sz w:val="19"/>
                <w:szCs w:val="19"/>
              </w:rPr>
              <w:t xml:space="preserve">Crear o validar Azure Key Vault existente en la misma region de las VMs (westus)</w:t>
            </w:r>
          </w:p>
          <w:p>
            <w:pPr>
              <w:pStyle w:val="ListParagraph"/>
              <w:numPr>
                <w:ilvl w:val="0"/>
                <w:numId w:val="2"/>
              </w:numPr>
              <w:spacing w:after="30" w:before="30"/>
            </w:pPr>
            <w:r>
              <w:rPr>
                <w:rFonts w:ascii="Arial" w:cs="Arial" w:eastAsia="Arial" w:hAnsi="Arial"/>
                <w:sz w:val="19"/>
                <w:szCs w:val="19"/>
              </w:rPr>
              <w:t xml:space="preserve">Tener permisos de Contributor sobre las VMs y Key Vault Administrator o Key Vault Crypto Officer en el Key Vault</w:t>
            </w:r>
          </w:p>
          <w:p>
            <w:pPr>
              <w:pStyle w:val="ListParagraph"/>
              <w:numPr>
                <w:ilvl w:val="0"/>
                <w:numId w:val="2"/>
              </w:numPr>
              <w:spacing w:after="30" w:before="30"/>
            </w:pPr>
            <w:r>
              <w:rPr>
                <w:rFonts w:ascii="Arial" w:cs="Arial" w:eastAsia="Arial" w:hAnsi="Arial"/>
                <w:sz w:val="19"/>
                <w:szCs w:val="19"/>
              </w:rPr>
              <w:t xml:space="preserve">Realizar snapshot de los discos OS de cada VM antes de iniciar (ventana de mantenimiento recomendada)</w:t>
            </w:r>
          </w:p>
          <w:p>
            <w:pPr>
              <w:pStyle w:val="ListParagraph"/>
              <w:numPr>
                <w:ilvl w:val="0"/>
                <w:numId w:val="2"/>
              </w:numPr>
              <w:spacing w:after="30" w:before="30"/>
            </w:pPr>
            <w:r>
              <w:rPr>
                <w:rFonts w:ascii="Arial" w:cs="Arial" w:eastAsia="Arial" w:hAnsi="Arial"/>
                <w:sz w:val="19"/>
                <w:szCs w:val="19"/>
              </w:rPr>
              <w:t xml:space="preserve">Coordinar ventana de mantenimiento con los equipos propietarios de cada VM (la habilitacion requiere reinicio de la VM)</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Pasos de
implementacion</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pStyle w:val="ListParagraph"/>
              <w:numPr>
                <w:ilvl w:val="0"/>
                <w:numId w:val="3"/>
              </w:numPr>
              <w:spacing w:after="30" w:before="30"/>
            </w:pPr>
            <w:r>
              <w:rPr>
                <w:rFonts w:ascii="Arial" w:cs="Arial" w:eastAsia="Arial" w:hAnsi="Arial"/>
                <w:sz w:val="19"/>
                <w:szCs w:val="19"/>
              </w:rPr>
              <w:t xml:space="preserve">Registrar el proveedor de recurso en la suscripcion: az provider register --namespace Microsoft.Compute</w:t>
            </w:r>
          </w:p>
          <w:p>
            <w:pPr>
              <w:pStyle w:val="ListParagraph"/>
              <w:numPr>
                <w:ilvl w:val="0"/>
                <w:numId w:val="3"/>
              </w:numPr>
              <w:spacing w:after="30" w:before="30"/>
            </w:pPr>
            <w:r>
              <w:rPr>
                <w:rFonts w:ascii="Arial" w:cs="Arial" w:eastAsia="Arial" w:hAnsi="Arial"/>
                <w:sz w:val="19"/>
                <w:szCs w:val="19"/>
              </w:rPr>
              <w:t xml:space="preserve">Crear o validar Key Vault: az keyvault create --name &lt;nombre&gt; --resource-group &lt;rg&gt; --location westus --enable-purge-protection true --sku standard</w:t>
            </w:r>
          </w:p>
          <w:p>
            <w:pPr>
              <w:pStyle w:val="ListParagraph"/>
              <w:numPr>
                <w:ilvl w:val="0"/>
                <w:numId w:val="3"/>
              </w:numPr>
              <w:spacing w:after="30" w:before="30"/>
            </w:pPr>
            <w:r>
              <w:rPr>
                <w:rFonts w:ascii="Arial" w:cs="Arial" w:eastAsia="Arial" w:hAnsi="Arial"/>
                <w:sz w:val="19"/>
                <w:szCs w:val="19"/>
              </w:rPr>
              <w:t xml:space="preserve">OPCION A — EncryptionAtHost (recomendada, sin agente): az vm update --resource-group &lt;rg&gt; --name &lt;vm&gt; --set securityProfile.encryptionAtHost=true (requiere reinicio)</w:t>
            </w:r>
          </w:p>
          <w:p>
            <w:pPr>
              <w:pStyle w:val="ListParagraph"/>
              <w:numPr>
                <w:ilvl w:val="0"/>
                <w:numId w:val="3"/>
              </w:numPr>
              <w:spacing w:after="30" w:before="30"/>
            </w:pPr>
            <w:r>
              <w:rPr>
                <w:rFonts w:ascii="Arial" w:cs="Arial" w:eastAsia="Arial" w:hAnsi="Arial"/>
                <w:sz w:val="19"/>
                <w:szCs w:val="19"/>
              </w:rPr>
              <w:t xml:space="preserve">OPCION B — Azure Disk Encryption (ADE): az vm encryption enable --resource-group &lt;rg&gt; --name &lt;vm&gt; --disk-encryption-keyvault &lt;kvId&gt; --volume-type All</w:t>
            </w:r>
          </w:p>
          <w:p>
            <w:pPr>
              <w:pStyle w:val="ListParagraph"/>
              <w:numPr>
                <w:ilvl w:val="0"/>
                <w:numId w:val="3"/>
              </w:numPr>
              <w:spacing w:after="30" w:before="30"/>
            </w:pPr>
            <w:r>
              <w:rPr>
                <w:rFonts w:ascii="Arial" w:cs="Arial" w:eastAsia="Arial" w:hAnsi="Arial"/>
                <w:sz w:val="19"/>
                <w:szCs w:val="19"/>
              </w:rPr>
              <w:t xml:space="preserve">Para VMs Linux con ADE, asegurar que la extension AzureDiskEncryptionForLinux este disponible en la region</w:t>
            </w:r>
          </w:p>
          <w:p>
            <w:pPr>
              <w:pStyle w:val="ListParagraph"/>
              <w:numPr>
                <w:ilvl w:val="0"/>
                <w:numId w:val="3"/>
              </w:numPr>
              <w:spacing w:after="30" w:before="30"/>
            </w:pPr>
            <w:r>
              <w:rPr>
                <w:rFonts w:ascii="Arial" w:cs="Arial" w:eastAsia="Arial" w:hAnsi="Arial"/>
                <w:sz w:val="19"/>
                <w:szCs w:val="19"/>
              </w:rPr>
              <w:t xml:space="preserve">Aplicar por lotes de 2-3 VMs para minimizar riesgo operativo; iniciar por VMs de menor criticidad (glm-comer, glm-huam)</w:t>
            </w:r>
          </w:p>
          <w:p>
            <w:pPr>
              <w:pStyle w:val="ListParagraph"/>
              <w:numPr>
                <w:ilvl w:val="0"/>
                <w:numId w:val="3"/>
              </w:numPr>
              <w:spacing w:after="30" w:before="30"/>
            </w:pPr>
            <w:r>
              <w:rPr>
                <w:rFonts w:ascii="Arial" w:cs="Arial" w:eastAsia="Arial" w:hAnsi="Arial"/>
                <w:sz w:val="19"/>
                <w:szCs w:val="19"/>
              </w:rPr>
              <w:t xml:space="preserve">Verificar estado despues de cada VM antes de continuar con la siguiente</w:t>
            </w:r>
          </w:p>
          <w:p>
            <w:pPr>
              <w:pStyle w:val="ListParagraph"/>
              <w:numPr>
                <w:ilvl w:val="0"/>
                <w:numId w:val="3"/>
              </w:numPr>
              <w:spacing w:after="30" w:before="30"/>
            </w:pPr>
            <w:r>
              <w:rPr>
                <w:rFonts w:ascii="Arial" w:cs="Arial" w:eastAsia="Arial" w:hAnsi="Arial"/>
                <w:sz w:val="19"/>
                <w:szCs w:val="19"/>
              </w:rPr>
              <w:t xml:space="preserve">Documentar el Key Vault y sus claves en el CMDB del equipo</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Validacion</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pStyle w:val="ListParagraph"/>
              <w:numPr>
                <w:ilvl w:val="0"/>
                <w:numId w:val="2"/>
              </w:numPr>
              <w:spacing w:after="30" w:before="30"/>
            </w:pPr>
            <w:r>
              <w:rPr>
                <w:rFonts w:ascii="Arial" w:cs="Arial" w:eastAsia="Arial" w:hAnsi="Arial"/>
                <w:sz w:val="19"/>
                <w:szCs w:val="19"/>
              </w:rPr>
              <w:t xml:space="preserve">Ejecutar: az vm show --resource-group &lt;rg&gt; --name &lt;vm&gt; --query securityProfile (debe mostrar encryptionAtHost: true)</w:t>
            </w:r>
          </w:p>
          <w:p>
            <w:pPr>
              <w:pStyle w:val="ListParagraph"/>
              <w:numPr>
                <w:ilvl w:val="0"/>
                <w:numId w:val="2"/>
              </w:numPr>
              <w:spacing w:after="30" w:before="30"/>
            </w:pPr>
            <w:r>
              <w:rPr>
                <w:rFonts w:ascii="Arial" w:cs="Arial" w:eastAsia="Arial" w:hAnsi="Arial"/>
                <w:sz w:val="19"/>
                <w:szCs w:val="19"/>
              </w:rPr>
              <w:t xml:space="preserve">Para ADE: az vm encryption show --resource-group &lt;rg&gt; --name &lt;vm&gt; (osDisk y dataDisk deben mostrar 'Encrypted')</w:t>
            </w:r>
          </w:p>
          <w:p>
            <w:pPr>
              <w:pStyle w:val="ListParagraph"/>
              <w:numPr>
                <w:ilvl w:val="0"/>
                <w:numId w:val="2"/>
              </w:numPr>
              <w:spacing w:after="30" w:before="30"/>
            </w:pPr>
            <w:r>
              <w:rPr>
                <w:rFonts w:ascii="Arial" w:cs="Arial" w:eastAsia="Arial" w:hAnsi="Arial"/>
                <w:sz w:val="19"/>
                <w:szCs w:val="19"/>
              </w:rPr>
              <w:t xml:space="preserve">Validar en Defender for Cloud que la recomendacion desaparece del listado de la VM</w:t>
            </w:r>
          </w:p>
          <w:p>
            <w:pPr>
              <w:pStyle w:val="ListParagraph"/>
              <w:numPr>
                <w:ilvl w:val="0"/>
                <w:numId w:val="2"/>
              </w:numPr>
              <w:spacing w:after="30" w:before="30"/>
            </w:pPr>
            <w:r>
              <w:rPr>
                <w:rFonts w:ascii="Arial" w:cs="Arial" w:eastAsia="Arial" w:hAnsi="Arial"/>
                <w:sz w:val="19"/>
                <w:szCs w:val="19"/>
              </w:rPr>
              <w:t xml:space="preserve">Confirmar que la VM arranca correctamente y los servicios responden tras el reinicio</w:t>
            </w:r>
          </w:p>
          <w:p>
            <w:pPr>
              <w:pStyle w:val="ListParagraph"/>
              <w:numPr>
                <w:ilvl w:val="0"/>
                <w:numId w:val="2"/>
              </w:numPr>
              <w:spacing w:after="30" w:before="30"/>
            </w:pPr>
            <w:r>
              <w:rPr>
                <w:rFonts w:ascii="Arial" w:cs="Arial" w:eastAsia="Arial" w:hAnsi="Arial"/>
                <w:sz w:val="19"/>
                <w:szCs w:val="19"/>
              </w:rPr>
              <w:t xml:space="preserve">Revisar en Azure Monitor que no existen alertas de error post-habilitacion</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Plan de rollback</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000000"/>
                <w:sz w:val="20"/>
                <w:szCs w:val="20"/>
              </w:rPr>
              <w:t xml:space="preserve">Si una VM no arranca tras habilitar ADE, utilizar el snapshot tomado previamente para restaurar el disco OS. Para EncryptionAtHost, deshabilitar con az vm update --set securityProfile.encryptionAtHost=false y reiniciar.</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Notas / Riesgos</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595959"/>
                <w:sz w:val="20"/>
                <w:szCs w:val="20"/>
              </w:rPr>
              <w:t xml:space="preserve">La habilitacion de EncryptionAtHost no requiere agente adicional y tiene menor impacto en rendimiento que ADE. Se recomienda para nuevas VMs. ADE es preferible para cumplimiento normativo que requiera BitLocker explicito. No combinar ambas opciones en la misma VM.</w:t>
            </w:r>
          </w:p>
        </w:tc>
      </w:tr>
    </w:tbl>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r>
              <w:rPr>
                <w:rFonts w:ascii="Arial" w:cs="Arial" w:eastAsia="Arial" w:hAnsi="Arial"/>
                <w:b/>
                <w:bCs/>
                <w:color w:val="FFFFFF"/>
                <w:sz w:val="23"/>
                <w:szCs w:val="23"/>
              </w:rPr>
              <w:t xml:space="preserve">1.2. Configurar acceso Just-In-Time (JIT) en puertos de administracion</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Categoria</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595959"/>
                <w:sz w:val="20"/>
                <w:szCs w:val="20"/>
              </w:rPr>
              <w:t xml:space="preserve">Seguridad — Impacto Alto</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Prioridad</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bCs/>
                <w:color w:val="C00000"/>
                <w:sz w:val="20"/>
                <w:szCs w:val="20"/>
              </w:rPr>
              <w:t xml:space="preserve">Inmediato</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Responsable</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000000"/>
                <w:sz w:val="20"/>
                <w:szCs w:val="20"/>
              </w:rPr>
              <w:t xml:space="preserve">Interno</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Duracion</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000000"/>
                <w:sz w:val="20"/>
                <w:szCs w:val="20"/>
              </w:rPr>
              <w:t xml:space="preserve">1 dia (configuracion + pruebas + capacitacion del equipo)</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Recursos Azure</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595959"/>
                <w:sz w:val="20"/>
                <w:szCs w:val="20"/>
              </w:rPr>
              <w:t xml:space="preserve">Todas las VMs con puertos 3389 (RDP) y 22 (SSH) expuestos: fgt, bi-glm y otras VMs de produccion</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Objetivo</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000000"/>
                <w:sz w:val="20"/>
                <w:szCs w:val="20"/>
              </w:rPr>
              <w:t xml:space="preserve">Eliminar la exposicion permanente de puertos de administracion remota a Internet, reduciendo la superficie de ataque y registrando cada solicitud de acceso para auditoria.</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Prerrequisitos</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pStyle w:val="ListParagraph"/>
              <w:numPr>
                <w:ilvl w:val="0"/>
                <w:numId w:val="2"/>
              </w:numPr>
              <w:spacing w:after="30" w:before="30"/>
            </w:pPr>
            <w:r>
              <w:rPr>
                <w:rFonts w:ascii="Arial" w:cs="Arial" w:eastAsia="Arial" w:hAnsi="Arial"/>
                <w:sz w:val="19"/>
                <w:szCs w:val="19"/>
              </w:rPr>
              <w:t xml:space="preserve">Microsoft Defender for Servers Plan 1 o Plan 2 debe estar habilitado en la suscripcion (prerequisito de JIT)</w:t>
            </w:r>
          </w:p>
          <w:p>
            <w:pPr>
              <w:pStyle w:val="ListParagraph"/>
              <w:numPr>
                <w:ilvl w:val="0"/>
                <w:numId w:val="2"/>
              </w:numPr>
              <w:spacing w:after="30" w:before="30"/>
            </w:pPr>
            <w:r>
              <w:rPr>
                <w:rFonts w:ascii="Arial" w:cs="Arial" w:eastAsia="Arial" w:hAnsi="Arial"/>
                <w:sz w:val="19"/>
                <w:szCs w:val="19"/>
              </w:rPr>
              <w:t xml:space="preserve">Las VMs deben tener NSG asociado (no usar Azure Firewall como unico control de red)</w:t>
            </w:r>
          </w:p>
          <w:p>
            <w:pPr>
              <w:pStyle w:val="ListParagraph"/>
              <w:numPr>
                <w:ilvl w:val="0"/>
                <w:numId w:val="2"/>
              </w:numPr>
              <w:spacing w:after="30" w:before="30"/>
            </w:pPr>
            <w:r>
              <w:rPr>
                <w:rFonts w:ascii="Arial" w:cs="Arial" w:eastAsia="Arial" w:hAnsi="Arial"/>
                <w:sz w:val="19"/>
                <w:szCs w:val="19"/>
              </w:rPr>
              <w:t xml:space="preserve">Identificar las IPs de origen autorizadas (rangos de la red corporativa, VPN del equipo externo)</w:t>
            </w:r>
          </w:p>
          <w:p>
            <w:pPr>
              <w:pStyle w:val="ListParagraph"/>
              <w:numPr>
                <w:ilvl w:val="0"/>
                <w:numId w:val="2"/>
              </w:numPr>
              <w:spacing w:after="30" w:before="30"/>
            </w:pPr>
            <w:r>
              <w:rPr>
                <w:rFonts w:ascii="Arial" w:cs="Arial" w:eastAsia="Arial" w:hAnsi="Arial"/>
                <w:sz w:val="19"/>
                <w:szCs w:val="19"/>
              </w:rPr>
              <w:t xml:space="preserve">Definir tiempos maximos de acceso por rol (recomendado: 1-3 horas para administradores, 8 horas para consultores)</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Pasos de
implementacion</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pStyle w:val="ListParagraph"/>
              <w:numPr>
                <w:ilvl w:val="0"/>
                <w:numId w:val="3"/>
              </w:numPr>
              <w:spacing w:after="30" w:before="30"/>
            </w:pPr>
            <w:r>
              <w:rPr>
                <w:rFonts w:ascii="Arial" w:cs="Arial" w:eastAsia="Arial" w:hAnsi="Arial"/>
                <w:sz w:val="19"/>
                <w:szCs w:val="19"/>
              </w:rPr>
              <w:t xml:space="preserve">En Azure Portal: Microsoft Defender for Cloud &gt; Protecciones de cargas de trabajo &gt; Acceso a VM Just-In-Time</w:t>
            </w:r>
          </w:p>
          <w:p>
            <w:pPr>
              <w:pStyle w:val="ListParagraph"/>
              <w:numPr>
                <w:ilvl w:val="0"/>
                <w:numId w:val="3"/>
              </w:numPr>
              <w:spacing w:after="30" w:before="30"/>
            </w:pPr>
            <w:r>
              <w:rPr>
                <w:rFonts w:ascii="Arial" w:cs="Arial" w:eastAsia="Arial" w:hAnsi="Arial"/>
                <w:sz w:val="19"/>
                <w:szCs w:val="19"/>
              </w:rPr>
              <w:t xml:space="preserve">Seleccionar las VMs a proteger y hacer clic en 'Habilitar JIT en X VM'</w:t>
            </w:r>
          </w:p>
          <w:p>
            <w:pPr>
              <w:pStyle w:val="ListParagraph"/>
              <w:numPr>
                <w:ilvl w:val="0"/>
                <w:numId w:val="3"/>
              </w:numPr>
              <w:spacing w:after="30" w:before="30"/>
            </w:pPr>
            <w:r>
              <w:rPr>
                <w:rFonts w:ascii="Arial" w:cs="Arial" w:eastAsia="Arial" w:hAnsi="Arial"/>
                <w:sz w:val="19"/>
                <w:szCs w:val="19"/>
              </w:rPr>
              <w:t xml:space="preserve">Configurar politica por VM: puerto 22/3389, protocolo TCP, tiempo maximo de solicitud (3h recomendado), IPs de origen permitidas (CIDR de red corporativa)</w:t>
            </w:r>
          </w:p>
          <w:p>
            <w:pPr>
              <w:pStyle w:val="ListParagraph"/>
              <w:numPr>
                <w:ilvl w:val="0"/>
                <w:numId w:val="3"/>
              </w:numPr>
              <w:spacing w:after="30" w:before="30"/>
            </w:pPr>
            <w:r>
              <w:rPr>
                <w:rFonts w:ascii="Arial" w:cs="Arial" w:eastAsia="Arial" w:hAnsi="Arial"/>
                <w:sz w:val="19"/>
                <w:szCs w:val="19"/>
              </w:rPr>
              <w:t xml:space="preserve">Opcional via CLI: az security jit-policy create --resource-group &lt;rg&gt; --virtual-machine-name &lt;vm&gt; --ports '[{"number":3389,"protocol":"TCP","allowedSourceAddressPrefix":"&lt;CIDR&gt;","maxRequestAccessDuration":"PT3H"}]'</w:t>
            </w:r>
          </w:p>
          <w:p>
            <w:pPr>
              <w:pStyle w:val="ListParagraph"/>
              <w:numPr>
                <w:ilvl w:val="0"/>
                <w:numId w:val="3"/>
              </w:numPr>
              <w:spacing w:after="30" w:before="30"/>
            </w:pPr>
            <w:r>
              <w:rPr>
                <w:rFonts w:ascii="Arial" w:cs="Arial" w:eastAsia="Arial" w:hAnsi="Arial"/>
                <w:sz w:val="19"/>
                <w:szCs w:val="19"/>
              </w:rPr>
              <w:t xml:space="preserve">Crear grupo de accion en Azure Monitor para notificar al equipo de seguridad cuando se aprueba una solicitud JIT</w:t>
            </w:r>
          </w:p>
          <w:p>
            <w:pPr>
              <w:pStyle w:val="ListParagraph"/>
              <w:numPr>
                <w:ilvl w:val="0"/>
                <w:numId w:val="3"/>
              </w:numPr>
              <w:spacing w:after="30" w:before="30"/>
            </w:pPr>
            <w:r>
              <w:rPr>
                <w:rFonts w:ascii="Arial" w:cs="Arial" w:eastAsia="Arial" w:hAnsi="Arial"/>
                <w:sz w:val="19"/>
                <w:szCs w:val="19"/>
              </w:rPr>
              <w:t xml:space="preserve">Documentar el proceso de solicitud de acceso para el equipo interno y el partner externo</w:t>
            </w:r>
          </w:p>
          <w:p>
            <w:pPr>
              <w:pStyle w:val="ListParagraph"/>
              <w:numPr>
                <w:ilvl w:val="0"/>
                <w:numId w:val="3"/>
              </w:numPr>
              <w:spacing w:after="30" w:before="30"/>
            </w:pPr>
            <w:r>
              <w:rPr>
                <w:rFonts w:ascii="Arial" w:cs="Arial" w:eastAsia="Arial" w:hAnsi="Arial"/>
                <w:sz w:val="19"/>
                <w:szCs w:val="19"/>
              </w:rPr>
              <w:t xml:space="preserve">Capacitar a los usuarios en como solicitar acceso: Portal &gt; VM &gt; Conectar &gt; Solicitar acceso</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Validacion</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pStyle w:val="ListParagraph"/>
              <w:numPr>
                <w:ilvl w:val="0"/>
                <w:numId w:val="2"/>
              </w:numPr>
              <w:spacing w:after="30" w:before="30"/>
            </w:pPr>
            <w:r>
              <w:rPr>
                <w:rFonts w:ascii="Arial" w:cs="Arial" w:eastAsia="Arial" w:hAnsi="Arial"/>
                <w:sz w:val="19"/>
                <w:szCs w:val="19"/>
              </w:rPr>
              <w:t xml:space="preserve">Intentar conectarse directamente a RDP/SSH sin solicitud JIT: la conexion debe ser rechazada</w:t>
            </w:r>
          </w:p>
          <w:p>
            <w:pPr>
              <w:pStyle w:val="ListParagraph"/>
              <w:numPr>
                <w:ilvl w:val="0"/>
                <w:numId w:val="2"/>
              </w:numPr>
              <w:spacing w:after="30" w:before="30"/>
            </w:pPr>
            <w:r>
              <w:rPr>
                <w:rFonts w:ascii="Arial" w:cs="Arial" w:eastAsia="Arial" w:hAnsi="Arial"/>
                <w:sz w:val="19"/>
                <w:szCs w:val="19"/>
              </w:rPr>
              <w:t xml:space="preserve">Solicitar acceso via portal y verificar que el NSG se actualiza temporalmente con la regla de acceso</w:t>
            </w:r>
          </w:p>
          <w:p>
            <w:pPr>
              <w:pStyle w:val="ListParagraph"/>
              <w:numPr>
                <w:ilvl w:val="0"/>
                <w:numId w:val="2"/>
              </w:numPr>
              <w:spacing w:after="30" w:before="30"/>
            </w:pPr>
            <w:r>
              <w:rPr>
                <w:rFonts w:ascii="Arial" w:cs="Arial" w:eastAsia="Arial" w:hAnsi="Arial"/>
                <w:sz w:val="19"/>
                <w:szCs w:val="19"/>
              </w:rPr>
              <w:t xml:space="preserve">Transcurrido el tiempo configurado, verificar que la regla se elimina automaticamente del NSG</w:t>
            </w:r>
          </w:p>
          <w:p>
            <w:pPr>
              <w:pStyle w:val="ListParagraph"/>
              <w:numPr>
                <w:ilvl w:val="0"/>
                <w:numId w:val="2"/>
              </w:numPr>
              <w:spacing w:after="30" w:before="30"/>
            </w:pPr>
            <w:r>
              <w:rPr>
                <w:rFonts w:ascii="Arial" w:cs="Arial" w:eastAsia="Arial" w:hAnsi="Arial"/>
                <w:sz w:val="19"/>
                <w:szCs w:val="19"/>
              </w:rPr>
              <w:t xml:space="preserve">Revisar el log de auditoria en Defender for Cloud &gt; Registro de actividad para confirmar el registro de solicitudes</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Plan de rollback</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000000"/>
                <w:sz w:val="20"/>
                <w:szCs w:val="20"/>
              </w:rPr>
              <w:t xml:space="preserve">Deshabilitar JIT en la VM desde Defender for Cloud y restaurar las reglas de NSG originales. Documentar las reglas previas antes de habilitar JIT.</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Notas / Riesgos</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595959"/>
                <w:sz w:val="20"/>
                <w:szCs w:val="20"/>
              </w:rPr>
              <w:t xml:space="preserve">JIT requiere Defender for Servers. Si no esta habilitado, el costo aproximado es de $0.02/hora por VM protegida (Plan 1). El beneficio en reduccion de riesgo justifica ampliamente el costo. Considerar tambien Azure Bastion como alternativa sin exposicion de puertos.</w:t>
            </w:r>
          </w:p>
        </w:tc>
      </w:tr>
    </w:tbl>
    <w:p>
      <w:pPr>
        <w:spacing w:after="40" w:before="40"/>
      </w:pPr>
      <w:r>
        <w:t xml:space="preserve"/>
      </w:r>
    </w:p>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r>
              <w:rPr>
                <w:rFonts w:ascii="Arial" w:cs="Arial" w:eastAsia="Arial" w:hAnsi="Arial"/>
                <w:b/>
                <w:bCs/>
                <w:color w:val="FFFFFF"/>
                <w:sz w:val="23"/>
                <w:szCs w:val="23"/>
              </w:rPr>
              <w:t xml:space="preserve">1.4. Migrar TLS 1.0/1.1 a TLS 1.2 en Storage Accounts (Retiro Programado)</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Categoria</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595959"/>
                <w:sz w:val="20"/>
                <w:szCs w:val="20"/>
              </w:rPr>
              <w:t xml:space="preserve">Confiabilidad — Impacto Alto — RETIRO PROGRAMADO</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Prioridad</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bCs/>
                <w:color w:val="C00000"/>
                <w:sz w:val="20"/>
                <w:szCs w:val="20"/>
              </w:rPr>
              <w:t xml:space="preserve">Inmediato</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Responsable</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000000"/>
                <w:sz w:val="20"/>
                <w:szCs w:val="20"/>
              </w:rPr>
              <w:t xml:space="preserve">Interno</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Duracion</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000000"/>
                <w:sz w:val="20"/>
                <w:szCs w:val="20"/>
              </w:rPr>
              <w:t xml:space="preserve">2-4 horas (incluyendo validacion de aplicaciones dependientes)</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Recursos Azure</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595959"/>
                <w:sz w:val="20"/>
                <w:szCs w:val="20"/>
              </w:rPr>
              <w:t xml:space="preserve">azurebackuprgwestus1d115 (azurebackuprg_westus_1), morenafs (fileserver)</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Objetivo</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000000"/>
                <w:sz w:val="20"/>
                <w:szCs w:val="20"/>
              </w:rPr>
              <w:t xml:space="preserve">Asegurar la continuidad del servicio de almacenamiento antes de que Microsoft elimine el soporte de TLS 1.0 y 1.1, evitando interrupciones en aplicaciones que usen estas cuentas.</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Prerrequisitos</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pStyle w:val="ListParagraph"/>
              <w:numPr>
                <w:ilvl w:val="0"/>
                <w:numId w:val="2"/>
              </w:numPr>
              <w:spacing w:after="30" w:before="30"/>
            </w:pPr>
            <w:r>
              <w:rPr>
                <w:rFonts w:ascii="Arial" w:cs="Arial" w:eastAsia="Arial" w:hAnsi="Arial"/>
                <w:sz w:val="19"/>
                <w:szCs w:val="19"/>
              </w:rPr>
              <w:t xml:space="preserve">Identificar todas las aplicaciones, servicios y scripts que se conectan a cada Storage Account (revisar connection strings en VMs y codigo)</w:t>
            </w:r>
          </w:p>
          <w:p>
            <w:pPr>
              <w:pStyle w:val="ListParagraph"/>
              <w:numPr>
                <w:ilvl w:val="0"/>
                <w:numId w:val="2"/>
              </w:numPr>
              <w:spacing w:after="30" w:before="30"/>
            </w:pPr>
            <w:r>
              <w:rPr>
                <w:rFonts w:ascii="Arial" w:cs="Arial" w:eastAsia="Arial" w:hAnsi="Arial"/>
                <w:sz w:val="19"/>
                <w:szCs w:val="19"/>
              </w:rPr>
              <w:t xml:space="preserve">Verificar que las aplicaciones cliente soporten TLS 1.2 (Windows Server 2008 R2 y anteriores requieren configuracion adicional del registro)</w:t>
            </w:r>
          </w:p>
          <w:p>
            <w:pPr>
              <w:pStyle w:val="ListParagraph"/>
              <w:numPr>
                <w:ilvl w:val="0"/>
                <w:numId w:val="2"/>
              </w:numPr>
              <w:spacing w:after="30" w:before="30"/>
            </w:pPr>
            <w:r>
              <w:rPr>
                <w:rFonts w:ascii="Arial" w:cs="Arial" w:eastAsia="Arial" w:hAnsi="Arial"/>
                <w:sz w:val="19"/>
                <w:szCs w:val="19"/>
              </w:rPr>
              <w:t xml:space="preserve">Tener permiso de Storage Account Contributor o superior</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Pasos de
implementacion</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pStyle w:val="ListParagraph"/>
              <w:numPr>
                <w:ilvl w:val="0"/>
                <w:numId w:val="3"/>
              </w:numPr>
              <w:spacing w:after="30" w:before="30"/>
            </w:pPr>
            <w:r>
              <w:rPr>
                <w:rFonts w:ascii="Arial" w:cs="Arial" w:eastAsia="Arial" w:hAnsi="Arial"/>
                <w:sz w:val="19"/>
                <w:szCs w:val="19"/>
              </w:rPr>
              <w:t xml:space="preserve">Identificar aplicaciones dependientes: en Azure Monitor &gt; Logs, ejecutar query sobre StorageBlobLogs para identificar clientes con TLS 1.0/1.1</w:t>
            </w:r>
          </w:p>
          <w:p>
            <w:pPr>
              <w:pStyle w:val="ListParagraph"/>
              <w:numPr>
                <w:ilvl w:val="0"/>
                <w:numId w:val="3"/>
              </w:numPr>
              <w:spacing w:after="30" w:before="30"/>
            </w:pPr>
            <w:r>
              <w:rPr>
                <w:rFonts w:ascii="Arial" w:cs="Arial" w:eastAsia="Arial" w:hAnsi="Arial"/>
                <w:sz w:val="19"/>
                <w:szCs w:val="19"/>
              </w:rPr>
              <w:t xml:space="preserve">Para la cuenta azurebackuprgwestus1d115: Portal &gt; Storage Account &gt; Configuracion &gt; Version minima de TLS &gt; seleccionar TLS 1.2 &gt; Guardar</w:t>
            </w:r>
          </w:p>
          <w:p>
            <w:pPr>
              <w:pStyle w:val="ListParagraph"/>
              <w:numPr>
                <w:ilvl w:val="0"/>
                <w:numId w:val="3"/>
              </w:numPr>
              <w:spacing w:after="30" w:before="30"/>
            </w:pPr>
            <w:r>
              <w:rPr>
                <w:rFonts w:ascii="Arial" w:cs="Arial" w:eastAsia="Arial" w:hAnsi="Arial"/>
                <w:sz w:val="19"/>
                <w:szCs w:val="19"/>
              </w:rPr>
              <w:t xml:space="preserve">Para la cuenta morenafs: repetir el mismo proceso</w:t>
            </w:r>
          </w:p>
          <w:p>
            <w:pPr>
              <w:pStyle w:val="ListParagraph"/>
              <w:numPr>
                <w:ilvl w:val="0"/>
                <w:numId w:val="3"/>
              </w:numPr>
              <w:spacing w:after="30" w:before="30"/>
            </w:pPr>
            <w:r>
              <w:rPr>
                <w:rFonts w:ascii="Arial" w:cs="Arial" w:eastAsia="Arial" w:hAnsi="Arial"/>
                <w:sz w:val="19"/>
                <w:szCs w:val="19"/>
              </w:rPr>
              <w:t xml:space="preserve">Via CLI: az storage account update --name &lt;storage&gt; --resource-group &lt;rg&gt; --min-tls-version TLS1_2</w:t>
            </w:r>
          </w:p>
          <w:p>
            <w:pPr>
              <w:pStyle w:val="ListParagraph"/>
              <w:numPr>
                <w:ilvl w:val="0"/>
                <w:numId w:val="3"/>
              </w:numPr>
              <w:spacing w:after="30" w:before="30"/>
            </w:pPr>
            <w:r>
              <w:rPr>
                <w:rFonts w:ascii="Arial" w:cs="Arial" w:eastAsia="Arial" w:hAnsi="Arial"/>
                <w:sz w:val="19"/>
                <w:szCs w:val="19"/>
              </w:rPr>
              <w:t xml:space="preserve">Actualizar cualquier cliente Windows que use TLS 1.0/1.1: habilitar TLS 1.2 en el registro (HKEY_LOCAL_MACHINE\SYSTEM\CurrentControlSet\Control\SecurityProviders\SCHANNEL\Protocols)</w:t>
            </w:r>
          </w:p>
          <w:p>
            <w:pPr>
              <w:pStyle w:val="ListParagraph"/>
              <w:numPr>
                <w:ilvl w:val="0"/>
                <w:numId w:val="3"/>
              </w:numPr>
              <w:spacing w:after="30" w:before="30"/>
            </w:pPr>
            <w:r>
              <w:rPr>
                <w:rFonts w:ascii="Arial" w:cs="Arial" w:eastAsia="Arial" w:hAnsi="Arial"/>
                <w:sz w:val="19"/>
                <w:szCs w:val="19"/>
              </w:rPr>
              <w:t xml:space="preserve">Verificar que Azure Backup (que usa azurebackuprgwestus1d115) sigue funcionando correctamente despues del cambio</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Validacion</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pStyle w:val="ListParagraph"/>
              <w:numPr>
                <w:ilvl w:val="0"/>
                <w:numId w:val="2"/>
              </w:numPr>
              <w:spacing w:after="30" w:before="30"/>
            </w:pPr>
            <w:r>
              <w:rPr>
                <w:rFonts w:ascii="Arial" w:cs="Arial" w:eastAsia="Arial" w:hAnsi="Arial"/>
                <w:sz w:val="19"/>
                <w:szCs w:val="19"/>
              </w:rPr>
              <w:t xml:space="preserve">Verificar en Portal: Storage Account &gt; Configuracion &gt; Version minima de TLS debe mostrar TLS 1.2</w:t>
            </w:r>
          </w:p>
          <w:p>
            <w:pPr>
              <w:pStyle w:val="ListParagraph"/>
              <w:numPr>
                <w:ilvl w:val="0"/>
                <w:numId w:val="2"/>
              </w:numPr>
              <w:spacing w:after="30" w:before="30"/>
            </w:pPr>
            <w:r>
              <w:rPr>
                <w:rFonts w:ascii="Arial" w:cs="Arial" w:eastAsia="Arial" w:hAnsi="Arial"/>
                <w:sz w:val="19"/>
                <w:szCs w:val="19"/>
              </w:rPr>
              <w:t xml:space="preserve">Ejecutar un backup manual y confirmar que completa sin errores</w:t>
            </w:r>
          </w:p>
          <w:p>
            <w:pPr>
              <w:pStyle w:val="ListParagraph"/>
              <w:numPr>
                <w:ilvl w:val="0"/>
                <w:numId w:val="2"/>
              </w:numPr>
              <w:spacing w:after="30" w:before="30"/>
            </w:pPr>
            <w:r>
              <w:rPr>
                <w:rFonts w:ascii="Arial" w:cs="Arial" w:eastAsia="Arial" w:hAnsi="Arial"/>
                <w:sz w:val="19"/>
                <w:szCs w:val="19"/>
              </w:rPr>
              <w:t xml:space="preserve">Acceder al file share morenafs desde los clientes y confirmar conectividad</w:t>
            </w:r>
          </w:p>
          <w:p>
            <w:pPr>
              <w:pStyle w:val="ListParagraph"/>
              <w:numPr>
                <w:ilvl w:val="0"/>
                <w:numId w:val="2"/>
              </w:numPr>
              <w:spacing w:after="30" w:before="30"/>
            </w:pPr>
            <w:r>
              <w:rPr>
                <w:rFonts w:ascii="Arial" w:cs="Arial" w:eastAsia="Arial" w:hAnsi="Arial"/>
                <w:sz w:val="19"/>
                <w:szCs w:val="19"/>
              </w:rPr>
              <w:t xml:space="preserve">Revisar Azure Monitor Storage Insights 24-48h despues para detectar errores de conexion</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Plan de rollback</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000000"/>
                <w:sz w:val="20"/>
                <w:szCs w:val="20"/>
              </w:rPr>
              <w:t xml:space="preserve">Cambiar la version minima de TLS de vuelta a TLS 1.0 temporalmente si algun cliente critico falla. Corregir el cliente y volver a aplicar el cambio.</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Notas / Riesgos</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595959"/>
                <w:sz w:val="20"/>
                <w:szCs w:val="20"/>
              </w:rPr>
              <w:t xml:space="preserve">Este cambio NO requiere reinicio ni ventana de mantenimiento extensa. Es uno de los cambios de menor riesgo y mayor urgencia. Microsoft ha comunicado la fecha de retiro; no actuar puede resultar en errores 403 o rechazo de conexiones desde servicios de Azure.</w:t>
            </w:r>
          </w:p>
        </w:tc>
      </w:tr>
    </w:tbl>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r>
              <w:rPr>
                <w:rFonts w:ascii="Arial" w:cs="Arial" w:eastAsia="Arial" w:hAnsi="Arial"/>
                <w:b/>
                <w:bCs/>
                <w:color w:val="FFFFFF"/>
                <w:sz w:val="23"/>
                <w:szCs w:val="23"/>
              </w:rPr>
              <w:t xml:space="preserve">1.5. Habilitar Microsoft Defender for Cloud CSPM, Defender for Storage y Defender for Resource Manager</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Categoria</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595959"/>
                <w:sz w:val="20"/>
                <w:szCs w:val="20"/>
              </w:rPr>
              <w:t xml:space="preserve">Seguridad — Impacto Alto</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Prioridad</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bCs/>
                <w:color w:val="C00000"/>
                <w:sz w:val="20"/>
                <w:szCs w:val="20"/>
              </w:rPr>
              <w:t xml:space="preserve">Inmediato</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Responsable</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000000"/>
                <w:sz w:val="20"/>
                <w:szCs w:val="20"/>
              </w:rPr>
              <w:t xml:space="preserve">Externo (lider tecnico)</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Duracion</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000000"/>
                <w:sz w:val="20"/>
                <w:szCs w:val="20"/>
              </w:rPr>
              <w:t xml:space="preserve">4-6 horas (habilitacion + configuracion de alertas y notificaciones)</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Recursos Azure</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595959"/>
                <w:sz w:val="20"/>
                <w:szCs w:val="20"/>
              </w:rPr>
              <w:t xml:space="preserve">Suscripcion completa (9d81a980-2eb4-4d5b-907f-dc099e648f25)</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Objetivo</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000000"/>
                <w:sz w:val="20"/>
                <w:szCs w:val="20"/>
              </w:rPr>
              <w:t xml:space="preserve">Activar la plataforma de proteccion de nube (CSPM) y las defensas especificas para Storage y Resource Manager, obteniendo deteccion de amenazas en tiempo real, puntuacion de seguridad unificada y recomendaciones contextualizadas.</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Prerrequisitos</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pStyle w:val="ListParagraph"/>
              <w:numPr>
                <w:ilvl w:val="0"/>
                <w:numId w:val="2"/>
              </w:numPr>
              <w:spacing w:after="30" w:before="30"/>
            </w:pPr>
            <w:r>
              <w:rPr>
                <w:rFonts w:ascii="Arial" w:cs="Arial" w:eastAsia="Arial" w:hAnsi="Arial"/>
                <w:sz w:val="19"/>
                <w:szCs w:val="19"/>
              </w:rPr>
              <w:t xml:space="preserve">Permiso de Security Admin o Owner sobre la suscripcion</w:t>
            </w:r>
          </w:p>
          <w:p>
            <w:pPr>
              <w:pStyle w:val="ListParagraph"/>
              <w:numPr>
                <w:ilvl w:val="0"/>
                <w:numId w:val="2"/>
              </w:numPr>
              <w:spacing w:after="30" w:before="30"/>
            </w:pPr>
            <w:r>
              <w:rPr>
                <w:rFonts w:ascii="Arial" w:cs="Arial" w:eastAsia="Arial" w:hAnsi="Arial"/>
                <w:sz w:val="19"/>
                <w:szCs w:val="19"/>
              </w:rPr>
              <w:t xml:space="preserve">Definir el grupo de accion (correo, webhook Teams/Slack) para recibir alertas de seguridad</w:t>
            </w:r>
          </w:p>
          <w:p>
            <w:pPr>
              <w:pStyle w:val="ListParagraph"/>
              <w:numPr>
                <w:ilvl w:val="0"/>
                <w:numId w:val="2"/>
              </w:numPr>
              <w:spacing w:after="30" w:before="30"/>
            </w:pPr>
            <w:r>
              <w:rPr>
                <w:rFonts w:ascii="Arial" w:cs="Arial" w:eastAsia="Arial" w:hAnsi="Arial"/>
                <w:sz w:val="19"/>
                <w:szCs w:val="19"/>
              </w:rPr>
              <w:t xml:space="preserve">Revisar el presupuesto: Defender for Storage con analisis de malware tiene costo por GB escaneado</w:t>
            </w:r>
          </w:p>
          <w:p>
            <w:pPr>
              <w:pStyle w:val="ListParagraph"/>
              <w:numPr>
                <w:ilvl w:val="0"/>
                <w:numId w:val="2"/>
              </w:numPr>
              <w:spacing w:after="30" w:before="30"/>
            </w:pPr>
            <w:r>
              <w:rPr>
                <w:rFonts w:ascii="Arial" w:cs="Arial" w:eastAsia="Arial" w:hAnsi="Arial"/>
                <w:sz w:val="19"/>
                <w:szCs w:val="19"/>
              </w:rPr>
              <w:t xml:space="preserve">Identificar el workspace de Log Analytics donde se enviaran los eventos de seguridad</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Pasos de
implementacion</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pStyle w:val="ListParagraph"/>
              <w:numPr>
                <w:ilvl w:val="0"/>
                <w:numId w:val="3"/>
              </w:numPr>
              <w:spacing w:after="30" w:before="30"/>
            </w:pPr>
            <w:r>
              <w:rPr>
                <w:rFonts w:ascii="Arial" w:cs="Arial" w:eastAsia="Arial" w:hAnsi="Arial"/>
                <w:sz w:val="19"/>
                <w:szCs w:val="19"/>
              </w:rPr>
              <w:t xml:space="preserve">Ir a Microsoft Defender for Cloud &gt; Configuracion del entorno &gt; seleccionar la suscripcion</w:t>
            </w:r>
          </w:p>
          <w:p>
            <w:pPr>
              <w:pStyle w:val="ListParagraph"/>
              <w:numPr>
                <w:ilvl w:val="0"/>
                <w:numId w:val="3"/>
              </w:numPr>
              <w:spacing w:after="30" w:before="30"/>
            </w:pPr>
            <w:r>
              <w:rPr>
                <w:rFonts w:ascii="Arial" w:cs="Arial" w:eastAsia="Arial" w:hAnsi="Arial"/>
                <w:sz w:val="19"/>
                <w:szCs w:val="19"/>
              </w:rPr>
              <w:t xml:space="preserve">Habilitar Defender CSPM: activar el plan Foundational CSPM (gratuito) o Defender CSPM (pago, recomendado para Attack Path Analysis)</w:t>
            </w:r>
          </w:p>
          <w:p>
            <w:pPr>
              <w:pStyle w:val="ListParagraph"/>
              <w:numPr>
                <w:ilvl w:val="0"/>
                <w:numId w:val="3"/>
              </w:numPr>
              <w:spacing w:after="30" w:before="30"/>
            </w:pPr>
            <w:r>
              <w:rPr>
                <w:rFonts w:ascii="Arial" w:cs="Arial" w:eastAsia="Arial" w:hAnsi="Arial"/>
                <w:sz w:val="19"/>
                <w:szCs w:val="19"/>
              </w:rPr>
              <w:t xml:space="preserve">Habilitar Defender for Storage: activar con analisis de malware y deteccion de amenazas de datos confidenciales</w:t>
            </w:r>
          </w:p>
          <w:p>
            <w:pPr>
              <w:pStyle w:val="ListParagraph"/>
              <w:numPr>
                <w:ilvl w:val="0"/>
                <w:numId w:val="3"/>
              </w:numPr>
              <w:spacing w:after="30" w:before="30"/>
            </w:pPr>
            <w:r>
              <w:rPr>
                <w:rFonts w:ascii="Arial" w:cs="Arial" w:eastAsia="Arial" w:hAnsi="Arial"/>
                <w:sz w:val="19"/>
                <w:szCs w:val="19"/>
              </w:rPr>
              <w:t xml:space="preserve">Habilitar Defender for Resource Manager: protege operaciones de ARM contra ataques de privilegio elevado</w:t>
            </w:r>
          </w:p>
          <w:p>
            <w:pPr>
              <w:pStyle w:val="ListParagraph"/>
              <w:numPr>
                <w:ilvl w:val="0"/>
                <w:numId w:val="3"/>
              </w:numPr>
              <w:spacing w:after="30" w:before="30"/>
            </w:pPr>
            <w:r>
              <w:rPr>
                <w:rFonts w:ascii="Arial" w:cs="Arial" w:eastAsia="Arial" w:hAnsi="Arial"/>
                <w:sz w:val="19"/>
                <w:szCs w:val="19"/>
              </w:rPr>
              <w:t xml:space="preserve">Configurar aprovisionamiento automatico del agente Azure Monitor en todas las VMs</w:t>
            </w:r>
          </w:p>
          <w:p>
            <w:pPr>
              <w:pStyle w:val="ListParagraph"/>
              <w:numPr>
                <w:ilvl w:val="0"/>
                <w:numId w:val="3"/>
              </w:numPr>
              <w:spacing w:after="30" w:before="30"/>
            </w:pPr>
            <w:r>
              <w:rPr>
                <w:rFonts w:ascii="Arial" w:cs="Arial" w:eastAsia="Arial" w:hAnsi="Arial"/>
                <w:sz w:val="19"/>
                <w:szCs w:val="19"/>
              </w:rPr>
              <w:t xml:space="preserve">Crear regla de alerta de correo electronico: Defender for Cloud &gt; Notificaciones de correo electronico &gt; agregar destinatarios del equipo de seguridad</w:t>
            </w:r>
          </w:p>
          <w:p>
            <w:pPr>
              <w:pStyle w:val="ListParagraph"/>
              <w:numPr>
                <w:ilvl w:val="0"/>
                <w:numId w:val="3"/>
              </w:numPr>
              <w:spacing w:after="30" w:before="30"/>
            </w:pPr>
            <w:r>
              <w:rPr>
                <w:rFonts w:ascii="Arial" w:cs="Arial" w:eastAsia="Arial" w:hAnsi="Arial"/>
                <w:sz w:val="19"/>
                <w:szCs w:val="19"/>
              </w:rPr>
              <w:t xml:space="preserve">Configurar integracion con SIEM si existe (exportacion continua a Log Analytics o Event Hub)</w:t>
            </w:r>
          </w:p>
          <w:p>
            <w:pPr>
              <w:pStyle w:val="ListParagraph"/>
              <w:numPr>
                <w:ilvl w:val="0"/>
                <w:numId w:val="3"/>
              </w:numPr>
              <w:spacing w:after="30" w:before="30"/>
            </w:pPr>
            <w:r>
              <w:rPr>
                <w:rFonts w:ascii="Arial" w:cs="Arial" w:eastAsia="Arial" w:hAnsi="Arial"/>
                <w:sz w:val="19"/>
                <w:szCs w:val="19"/>
              </w:rPr>
              <w:t xml:space="preserve">Revisar el Secure Score inicial y documentarlo como linea base</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Validacion</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pStyle w:val="ListParagraph"/>
              <w:numPr>
                <w:ilvl w:val="0"/>
                <w:numId w:val="2"/>
              </w:numPr>
              <w:spacing w:after="30" w:before="30"/>
            </w:pPr>
            <w:r>
              <w:rPr>
                <w:rFonts w:ascii="Arial" w:cs="Arial" w:eastAsia="Arial" w:hAnsi="Arial"/>
                <w:sz w:val="19"/>
                <w:szCs w:val="19"/>
              </w:rPr>
              <w:t xml:space="preserve">En Defender for Cloud &gt; Inventario, verificar que todos los recursos de la suscripcion aparecen como 'Protegidos'</w:t>
            </w:r>
          </w:p>
          <w:p>
            <w:pPr>
              <w:pStyle w:val="ListParagraph"/>
              <w:numPr>
                <w:ilvl w:val="0"/>
                <w:numId w:val="2"/>
              </w:numPr>
              <w:spacing w:after="30" w:before="30"/>
            </w:pPr>
            <w:r>
              <w:rPr>
                <w:rFonts w:ascii="Arial" w:cs="Arial" w:eastAsia="Arial" w:hAnsi="Arial"/>
                <w:sz w:val="19"/>
                <w:szCs w:val="19"/>
              </w:rPr>
              <w:t xml:space="preserve">Verificar que el Secure Score es visible y tiene valor (porcentaje de controles cumplidos)</w:t>
            </w:r>
          </w:p>
          <w:p>
            <w:pPr>
              <w:pStyle w:val="ListParagraph"/>
              <w:numPr>
                <w:ilvl w:val="0"/>
                <w:numId w:val="2"/>
              </w:numPr>
              <w:spacing w:after="30" w:before="30"/>
            </w:pPr>
            <w:r>
              <w:rPr>
                <w:rFonts w:ascii="Arial" w:cs="Arial" w:eastAsia="Arial" w:hAnsi="Arial"/>
                <w:sz w:val="19"/>
                <w:szCs w:val="19"/>
              </w:rPr>
              <w:t xml:space="preserve">Generar una alerta de prueba: Defender for Cloud &gt; Alertas de seguridad &gt; Simular alertas</w:t>
            </w:r>
          </w:p>
          <w:p>
            <w:pPr>
              <w:pStyle w:val="ListParagraph"/>
              <w:numPr>
                <w:ilvl w:val="0"/>
                <w:numId w:val="2"/>
              </w:numPr>
              <w:spacing w:after="30" w:before="30"/>
            </w:pPr>
            <w:r>
              <w:rPr>
                <w:rFonts w:ascii="Arial" w:cs="Arial" w:eastAsia="Arial" w:hAnsi="Arial"/>
                <w:sz w:val="19"/>
                <w:szCs w:val="19"/>
              </w:rPr>
              <w:t xml:space="preserve">Confirmar que el correo de alerta llega a los destinatarios configurados</w:t>
            </w:r>
          </w:p>
          <w:p>
            <w:pPr>
              <w:pStyle w:val="ListParagraph"/>
              <w:numPr>
                <w:ilvl w:val="0"/>
                <w:numId w:val="2"/>
              </w:numPr>
              <w:spacing w:after="30" w:before="30"/>
            </w:pPr>
            <w:r>
              <w:rPr>
                <w:rFonts w:ascii="Arial" w:cs="Arial" w:eastAsia="Arial" w:hAnsi="Arial"/>
                <w:sz w:val="19"/>
                <w:szCs w:val="19"/>
              </w:rPr>
              <w:t xml:space="preserve">Validar en Defender for Storage que el analisis de malware esta activo en las cuentas de almacenamiento</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Plan de rollback</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000000"/>
                <w:sz w:val="20"/>
                <w:szCs w:val="20"/>
              </w:rPr>
              <w:t xml:space="preserve">Deshabilitar los planes de Defender desde Configuracion del entorno. No hay impacto operativo en las cargas de trabajo al deshabilitar.</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Notas / Riesgos</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595959"/>
                <w:sz w:val="20"/>
                <w:szCs w:val="20"/>
              </w:rPr>
              <w:t xml:space="preserve">Defender for Storage con analisis de malware puede tener costo adicional segun el volumen de datos. Evaluar el tier 'por transaccion' vs 'por storage account' segun el uso real. Defender CSPM (plan pago) agrega funcionalidades avanzadas como Cloud Security Explorer y Attack Path Analysis.</w:t>
            </w:r>
          </w:p>
        </w:tc>
      </w:tr>
    </w:tbl>
    <w:p>
      <w:pPr>
        <w:spacing w:after="40" w:before="40"/>
      </w:pPr>
      <w:r>
        <w:t xml:space="preserve"/>
      </w:r>
    </w:p>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r>
              <w:rPr>
                <w:rFonts w:ascii="Arial" w:cs="Arial" w:eastAsia="Arial" w:hAnsi="Arial"/>
                <w:b/>
                <w:bCs/>
                <w:color w:val="FFFFFF"/>
                <w:sz w:val="23"/>
                <w:szCs w:val="23"/>
              </w:rPr>
              <w:t xml:space="preserve">2.1. Habilitar VM Insights en las 9 VMs afectadas</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Categoria</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595959"/>
                <w:sz w:val="20"/>
                <w:szCs w:val="20"/>
              </w:rPr>
              <w:t xml:space="preserve">Excelencia Operativa — Impacto Mediano</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Prioridad</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bCs/>
                <w:color w:val="C55A11"/>
                <w:sz w:val="20"/>
                <w:szCs w:val="20"/>
              </w:rPr>
              <w:t xml:space="preserve">Corto plazo</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Responsable</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000000"/>
                <w:sz w:val="20"/>
                <w:szCs w:val="20"/>
              </w:rPr>
              <w:t xml:space="preserve">Mixto</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Duracion</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000000"/>
                <w:sz w:val="20"/>
                <w:szCs w:val="20"/>
              </w:rPr>
              <w:t xml:space="preserve">1-2 dias (incluyendo configuracion de alertas y dashboards)</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Recursos Azure</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595959"/>
                <w:sz w:val="20"/>
                <w:szCs w:val="20"/>
              </w:rPr>
              <w:t xml:space="preserve">bi-glm, asp, glm-comer, glm-huam, glm-intel, glm-lara, glm-prov, fgt, glm-supercep</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Objetivo</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000000"/>
                <w:sz w:val="20"/>
                <w:szCs w:val="20"/>
              </w:rPr>
              <w:t xml:space="preserve">Obtener visibilidad completa del rendimiento (CPU, memoria, disco, red) y dependencias entre servicios en todas las VMs de produccion, habilitando alertas proactivas basadas en comportamiento historico.</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Prerrequisitos</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pStyle w:val="ListParagraph"/>
              <w:numPr>
                <w:ilvl w:val="0"/>
                <w:numId w:val="2"/>
              </w:numPr>
              <w:spacing w:after="30" w:before="30"/>
            </w:pPr>
            <w:r>
              <w:rPr>
                <w:rFonts w:ascii="Arial" w:cs="Arial" w:eastAsia="Arial" w:hAnsi="Arial"/>
                <w:sz w:val="19"/>
                <w:szCs w:val="19"/>
              </w:rPr>
              <w:t xml:space="preserve">Tener un Log Analytics Workspace creado en la misma region (westus) o vincular las VMs a uno existente</w:t>
            </w:r>
          </w:p>
          <w:p>
            <w:pPr>
              <w:pStyle w:val="ListParagraph"/>
              <w:numPr>
                <w:ilvl w:val="0"/>
                <w:numId w:val="2"/>
              </w:numPr>
              <w:spacing w:after="30" w:before="30"/>
            </w:pPr>
            <w:r>
              <w:rPr>
                <w:rFonts w:ascii="Arial" w:cs="Arial" w:eastAsia="Arial" w:hAnsi="Arial"/>
                <w:sz w:val="19"/>
                <w:szCs w:val="19"/>
              </w:rPr>
              <w:t xml:space="preserve">Permisos de Contributor sobre las VMs y permisos de escritura sobre el Log Analytics Workspace</w:t>
            </w:r>
          </w:p>
          <w:p>
            <w:pPr>
              <w:pStyle w:val="ListParagraph"/>
              <w:numPr>
                <w:ilvl w:val="0"/>
                <w:numId w:val="2"/>
              </w:numPr>
              <w:spacing w:after="30" w:before="30"/>
            </w:pPr>
            <w:r>
              <w:rPr>
                <w:rFonts w:ascii="Arial" w:cs="Arial" w:eastAsia="Arial" w:hAnsi="Arial"/>
                <w:sz w:val="19"/>
                <w:szCs w:val="19"/>
              </w:rPr>
              <w:t xml:space="preserve">Verificar que las VMs tienen conectividad de red hacia los endpoints de Azure Monitor (o usar Azure Monitor Private Link si estan en red privada)</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Pasos de
implementacion</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pStyle w:val="ListParagraph"/>
              <w:numPr>
                <w:ilvl w:val="0"/>
                <w:numId w:val="3"/>
              </w:numPr>
              <w:spacing w:after="30" w:before="30"/>
            </w:pPr>
            <w:r>
              <w:rPr>
                <w:rFonts w:ascii="Arial" w:cs="Arial" w:eastAsia="Arial" w:hAnsi="Arial"/>
                <w:sz w:val="19"/>
                <w:szCs w:val="19"/>
              </w:rPr>
              <w:t xml:space="preserve">Crear Log Analytics Workspace (si no existe): az monitor log-analytics workspace create --resource-group &lt;rg&gt; --workspace-name &lt;nombre&gt; --location westus</w:t>
            </w:r>
          </w:p>
          <w:p>
            <w:pPr>
              <w:pStyle w:val="ListParagraph"/>
              <w:numPr>
                <w:ilvl w:val="0"/>
                <w:numId w:val="3"/>
              </w:numPr>
              <w:spacing w:after="30" w:before="30"/>
            </w:pPr>
            <w:r>
              <w:rPr>
                <w:rFonts w:ascii="Arial" w:cs="Arial" w:eastAsia="Arial" w:hAnsi="Arial"/>
                <w:sz w:val="19"/>
                <w:szCs w:val="19"/>
              </w:rPr>
              <w:t xml:space="preserve">Habilitar VM Insights desde Azure Monitor: Azure Monitor &gt; Insights &gt; Maquinas virtuales &gt; Configurar</w:t>
            </w:r>
          </w:p>
          <w:p>
            <w:pPr>
              <w:pStyle w:val="ListParagraph"/>
              <w:numPr>
                <w:ilvl w:val="0"/>
                <w:numId w:val="3"/>
              </w:numPr>
              <w:spacing w:after="30" w:before="30"/>
            </w:pPr>
            <w:r>
              <w:rPr>
                <w:rFonts w:ascii="Arial" w:cs="Arial" w:eastAsia="Arial" w:hAnsi="Arial"/>
                <w:sz w:val="19"/>
                <w:szCs w:val="19"/>
              </w:rPr>
              <w:t xml:space="preserve">Seleccionar las 9 VMs y asociarlas al Log Analytics Workspace</w:t>
            </w:r>
          </w:p>
          <w:p>
            <w:pPr>
              <w:pStyle w:val="ListParagraph"/>
              <w:numPr>
                <w:ilvl w:val="0"/>
                <w:numId w:val="3"/>
              </w:numPr>
              <w:spacing w:after="30" w:before="30"/>
            </w:pPr>
            <w:r>
              <w:rPr>
                <w:rFonts w:ascii="Arial" w:cs="Arial" w:eastAsia="Arial" w:hAnsi="Arial"/>
                <w:sz w:val="19"/>
                <w:szCs w:val="19"/>
              </w:rPr>
              <w:t xml:space="preserve">Instalar el agente Azure Monitor (AMA) en cada VM (reemplaza al agente MMA deprecado)</w:t>
            </w:r>
          </w:p>
          <w:p>
            <w:pPr>
              <w:pStyle w:val="ListParagraph"/>
              <w:numPr>
                <w:ilvl w:val="0"/>
                <w:numId w:val="3"/>
              </w:numPr>
              <w:spacing w:after="30" w:before="30"/>
            </w:pPr>
            <w:r>
              <w:rPr>
                <w:rFonts w:ascii="Arial" w:cs="Arial" w:eastAsia="Arial" w:hAnsi="Arial"/>
                <w:sz w:val="19"/>
                <w:szCs w:val="19"/>
              </w:rPr>
              <w:t xml:space="preserve">Configurar regla de recopilacion de datos (DCR) para metricas de rendimiento y mapa de dependencias</w:t>
            </w:r>
          </w:p>
          <w:p>
            <w:pPr>
              <w:pStyle w:val="ListParagraph"/>
              <w:numPr>
                <w:ilvl w:val="0"/>
                <w:numId w:val="3"/>
              </w:numPr>
              <w:spacing w:after="30" w:before="30"/>
            </w:pPr>
            <w:r>
              <w:rPr>
                <w:rFonts w:ascii="Arial" w:cs="Arial" w:eastAsia="Arial" w:hAnsi="Arial"/>
                <w:sz w:val="19"/>
                <w:szCs w:val="19"/>
              </w:rPr>
              <w:t xml:space="preserve">Via CLI: az vm extension set --publisher Microsoft.Azure.Monitor --name AzureMonitorWindowsAgent --resource-group &lt;rg&gt; --vm-name &lt;vm&gt;</w:t>
            </w:r>
          </w:p>
          <w:p>
            <w:pPr>
              <w:pStyle w:val="ListParagraph"/>
              <w:numPr>
                <w:ilvl w:val="0"/>
                <w:numId w:val="3"/>
              </w:numPr>
              <w:spacing w:after="30" w:before="30"/>
            </w:pPr>
            <w:r>
              <w:rPr>
                <w:rFonts w:ascii="Arial" w:cs="Arial" w:eastAsia="Arial" w:hAnsi="Arial"/>
                <w:sz w:val="19"/>
                <w:szCs w:val="19"/>
              </w:rPr>
              <w:t xml:space="preserve">Crear workbook de VM Insights en Azure Monitor para visualizacion de metricas en un dashboard unificado</w:t>
            </w:r>
          </w:p>
          <w:p>
            <w:pPr>
              <w:pStyle w:val="ListParagraph"/>
              <w:numPr>
                <w:ilvl w:val="0"/>
                <w:numId w:val="3"/>
              </w:numPr>
              <w:spacing w:after="30" w:before="30"/>
            </w:pPr>
            <w:r>
              <w:rPr>
                <w:rFonts w:ascii="Arial" w:cs="Arial" w:eastAsia="Arial" w:hAnsi="Arial"/>
                <w:sz w:val="19"/>
                <w:szCs w:val="19"/>
              </w:rPr>
              <w:t xml:space="preserve">Configurar alertas dinamicas para CPU &gt; 85%, memoria &gt; 90% y latencia de disco &gt; 20ms durante 5 minutos</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Validacion</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pStyle w:val="ListParagraph"/>
              <w:numPr>
                <w:ilvl w:val="0"/>
                <w:numId w:val="2"/>
              </w:numPr>
              <w:spacing w:after="30" w:before="30"/>
            </w:pPr>
            <w:r>
              <w:rPr>
                <w:rFonts w:ascii="Arial" w:cs="Arial" w:eastAsia="Arial" w:hAnsi="Arial"/>
                <w:sz w:val="19"/>
                <w:szCs w:val="19"/>
              </w:rPr>
              <w:t xml:space="preserve">En Azure Monitor &gt; Insights &gt; Maquinas virtuales, verificar que todas las VMs aparecen con estado 'Supervisado'</w:t>
            </w:r>
          </w:p>
          <w:p>
            <w:pPr>
              <w:pStyle w:val="ListParagraph"/>
              <w:numPr>
                <w:ilvl w:val="0"/>
                <w:numId w:val="2"/>
              </w:numPr>
              <w:spacing w:after="30" w:before="30"/>
            </w:pPr>
            <w:r>
              <w:rPr>
                <w:rFonts w:ascii="Arial" w:cs="Arial" w:eastAsia="Arial" w:hAnsi="Arial"/>
                <w:sz w:val="19"/>
                <w:szCs w:val="19"/>
              </w:rPr>
              <w:t xml:space="preserve">Revisar la pestana 'Rendimiento' de cada VM y confirmar que las metricas fluyen (puede tardar hasta 30 min la primera vez)</w:t>
            </w:r>
          </w:p>
          <w:p>
            <w:pPr>
              <w:pStyle w:val="ListParagraph"/>
              <w:numPr>
                <w:ilvl w:val="0"/>
                <w:numId w:val="2"/>
              </w:numPr>
              <w:spacing w:after="30" w:before="30"/>
            </w:pPr>
            <w:r>
              <w:rPr>
                <w:rFonts w:ascii="Arial" w:cs="Arial" w:eastAsia="Arial" w:hAnsi="Arial"/>
                <w:sz w:val="19"/>
                <w:szCs w:val="19"/>
              </w:rPr>
              <w:t xml:space="preserve">Verificar el mapa de dependencias en la pestana 'Asignacion' para confirmar que se detectan las conexiones de red</w:t>
            </w:r>
          </w:p>
          <w:p>
            <w:pPr>
              <w:pStyle w:val="ListParagraph"/>
              <w:numPr>
                <w:ilvl w:val="0"/>
                <w:numId w:val="2"/>
              </w:numPr>
              <w:spacing w:after="30" w:before="30"/>
            </w:pPr>
            <w:r>
              <w:rPr>
                <w:rFonts w:ascii="Arial" w:cs="Arial" w:eastAsia="Arial" w:hAnsi="Arial"/>
                <w:sz w:val="19"/>
                <w:szCs w:val="19"/>
              </w:rPr>
              <w:t xml:space="preserve">Confirmar que las alertas configuradas aparecen en Azure Monitor &gt; Alertas</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Plan de rollback</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000000"/>
                <w:sz w:val="20"/>
                <w:szCs w:val="20"/>
              </w:rPr>
              <w:t xml:space="preserve">Desinstalar la extension AMA desde la VM y desvincularlo del Log Analytics Workspace. No hay impacto operativo en las aplicaciones.</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Notas / Riesgos</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595959"/>
                <w:sz w:val="20"/>
                <w:szCs w:val="20"/>
              </w:rPr>
              <w:t xml:space="preserve">El costo de Log Analytics es por GB ingerido. Para un entorno de ~10 VMs, el costo tipico es de $20-50 USD/mes. Considerar configurar el nivel de retencion a 30-90 dias segun requisitos de auditoria.</w:t>
            </w:r>
          </w:p>
        </w:tc>
      </w:tr>
    </w:tbl>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r>
              <w:rPr>
                <w:rFonts w:ascii="Arial" w:cs="Arial" w:eastAsia="Arial" w:hAnsi="Arial"/>
                <w:b/>
                <w:bCs/>
                <w:color w:val="FFFFFF"/>
                <w:sz w:val="23"/>
                <w:szCs w:val="23"/>
              </w:rPr>
              <w:t xml:space="preserve">2.5. Alinear discos Azure con la zona de disponibilidad de cada VM</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Categoria</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595959"/>
                <w:sz w:val="20"/>
                <w:szCs w:val="20"/>
              </w:rPr>
              <w:t xml:space="preserve">Confiabilidad — Impacto Alto</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Prioridad</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bCs/>
                <w:color w:val="C55A11"/>
                <w:sz w:val="20"/>
                <w:szCs w:val="20"/>
              </w:rPr>
              <w:t xml:space="preserve">Corto plazo</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Responsable</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000000"/>
                <w:sz w:val="20"/>
                <w:szCs w:val="20"/>
              </w:rPr>
              <w:t xml:space="preserve">Externo (requiere experiencia con Azure Storage)</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Duracion</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000000"/>
                <w:sz w:val="20"/>
                <w:szCs w:val="20"/>
              </w:rPr>
              <w:t xml:space="preserve">3-5 dias (una VM por vez, con ventana de mantenimiento por VM)</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Recursos Azure</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595959"/>
                <w:sz w:val="20"/>
                <w:szCs w:val="20"/>
              </w:rPr>
              <w:t xml:space="preserve">bi-glm, fgt, glm-comer, glm-huam, glm-intel, glm-lara, glm-prov, glm-supercep (discos OS y datos)</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Objetivo</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000000"/>
                <w:sz w:val="20"/>
                <w:szCs w:val="20"/>
              </w:rPr>
              <w:t xml:space="preserve">Garantizar que los discos de datos y de sistema operativo de cada VM residan en la misma zona de disponibilidad que su VM, eliminando la dependencia entre zonas y mejorando la resiliencia ante fallas zonales.</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Prerrequisitos</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pStyle w:val="ListParagraph"/>
              <w:numPr>
                <w:ilvl w:val="0"/>
                <w:numId w:val="2"/>
              </w:numPr>
              <w:spacing w:after="30" w:before="30"/>
            </w:pPr>
            <w:r>
              <w:rPr>
                <w:rFonts w:ascii="Arial" w:cs="Arial" w:eastAsia="Arial" w:hAnsi="Arial"/>
                <w:sz w:val="19"/>
                <w:szCs w:val="19"/>
              </w:rPr>
              <w:t xml:space="preserve">Identificar la zona de disponibilidad de cada VM: az vm show --resource-group &lt;rg&gt; --name &lt;vm&gt; --query zones</w:t>
            </w:r>
          </w:p>
          <w:p>
            <w:pPr>
              <w:pStyle w:val="ListParagraph"/>
              <w:numPr>
                <w:ilvl w:val="0"/>
                <w:numId w:val="2"/>
              </w:numPr>
              <w:spacing w:after="30" w:before="30"/>
            </w:pPr>
            <w:r>
              <w:rPr>
                <w:rFonts w:ascii="Arial" w:cs="Arial" w:eastAsia="Arial" w:hAnsi="Arial"/>
                <w:sz w:val="19"/>
                <w:szCs w:val="19"/>
              </w:rPr>
              <w:t xml:space="preserve">Verificar la zona de cada disco: az disk show --name &lt;disco&gt; --resource-group &lt;rg&gt; --query zones</w:t>
            </w:r>
          </w:p>
          <w:p>
            <w:pPr>
              <w:pStyle w:val="ListParagraph"/>
              <w:numPr>
                <w:ilvl w:val="0"/>
                <w:numId w:val="2"/>
              </w:numPr>
              <w:spacing w:after="30" w:before="30"/>
            </w:pPr>
            <w:r>
              <w:rPr>
                <w:rFonts w:ascii="Arial" w:cs="Arial" w:eastAsia="Arial" w:hAnsi="Arial"/>
                <w:sz w:val="19"/>
                <w:szCs w:val="19"/>
              </w:rPr>
              <w:t xml:space="preserve">Crear snapshots de TODOS los discos afectados antes de iniciar cualquier operacion</w:t>
            </w:r>
          </w:p>
          <w:p>
            <w:pPr>
              <w:pStyle w:val="ListParagraph"/>
              <w:numPr>
                <w:ilvl w:val="0"/>
                <w:numId w:val="2"/>
              </w:numPr>
              <w:spacing w:after="30" w:before="30"/>
            </w:pPr>
            <w:r>
              <w:rPr>
                <w:rFonts w:ascii="Arial" w:cs="Arial" w:eastAsia="Arial" w:hAnsi="Arial"/>
                <w:sz w:val="19"/>
                <w:szCs w:val="19"/>
              </w:rPr>
              <w:t xml:space="preserve">Coordinar ventana de mantenimiento con los equipos de aplicacion (la VM debera estar detenida durante la migracion)</w:t>
            </w:r>
          </w:p>
          <w:p>
            <w:pPr>
              <w:pStyle w:val="ListParagraph"/>
              <w:numPr>
                <w:ilvl w:val="0"/>
                <w:numId w:val="2"/>
              </w:numPr>
              <w:spacing w:after="30" w:before="30"/>
            </w:pPr>
            <w:r>
              <w:rPr>
                <w:rFonts w:ascii="Arial" w:cs="Arial" w:eastAsia="Arial" w:hAnsi="Arial"/>
                <w:sz w:val="19"/>
                <w:szCs w:val="19"/>
              </w:rPr>
              <w:t xml:space="preserve">El disco OS no puede ser reemplazado en caliente; se requiere recrear la VM o cambiar el disco con la VM detenida</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Pasos de
implementacion</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pStyle w:val="ListParagraph"/>
              <w:numPr>
                <w:ilvl w:val="0"/>
                <w:numId w:val="3"/>
              </w:numPr>
              <w:spacing w:after="30" w:before="30"/>
            </w:pPr>
            <w:r>
              <w:rPr>
                <w:rFonts w:ascii="Arial" w:cs="Arial" w:eastAsia="Arial" w:hAnsi="Arial"/>
                <w:sz w:val="19"/>
                <w:szCs w:val="19"/>
              </w:rPr>
              <w:t xml:space="preserve">Tomar snapshot del disco origen: az snapshot create --resource-group &lt;rg&gt; --name &lt;snap&gt; --source &lt;diskId&gt; --sku Standard_ZRS</w:t>
            </w:r>
          </w:p>
          <w:p>
            <w:pPr>
              <w:pStyle w:val="ListParagraph"/>
              <w:numPr>
                <w:ilvl w:val="0"/>
                <w:numId w:val="3"/>
              </w:numPr>
              <w:spacing w:after="30" w:before="30"/>
            </w:pPr>
            <w:r>
              <w:rPr>
                <w:rFonts w:ascii="Arial" w:cs="Arial" w:eastAsia="Arial" w:hAnsi="Arial"/>
                <w:sz w:val="19"/>
                <w:szCs w:val="19"/>
              </w:rPr>
              <w:t xml:space="preserve">Detener y desasignar la VM: az vm deallocate --resource-group &lt;rg&gt; --name &lt;vm&gt;</w:t>
            </w:r>
          </w:p>
          <w:p>
            <w:pPr>
              <w:pStyle w:val="ListParagraph"/>
              <w:numPr>
                <w:ilvl w:val="0"/>
                <w:numId w:val="3"/>
              </w:numPr>
              <w:spacing w:after="30" w:before="30"/>
            </w:pPr>
            <w:r>
              <w:rPr>
                <w:rFonts w:ascii="Arial" w:cs="Arial" w:eastAsia="Arial" w:hAnsi="Arial"/>
                <w:sz w:val="19"/>
                <w:szCs w:val="19"/>
              </w:rPr>
              <w:t xml:space="preserve">Crear nuevo disco en la zona correcta desde el snapshot: az disk create --resource-group &lt;rg&gt; --name &lt;newDisk&gt; --source &lt;snapId&gt; --zone &lt;zonaVM&gt; --sku Premium_LRS</w:t>
            </w:r>
          </w:p>
          <w:p>
            <w:pPr>
              <w:pStyle w:val="ListParagraph"/>
              <w:numPr>
                <w:ilvl w:val="0"/>
                <w:numId w:val="3"/>
              </w:numPr>
              <w:spacing w:after="30" w:before="30"/>
            </w:pPr>
            <w:r>
              <w:rPr>
                <w:rFonts w:ascii="Arial" w:cs="Arial" w:eastAsia="Arial" w:hAnsi="Arial"/>
                <w:sz w:val="19"/>
                <w:szCs w:val="19"/>
              </w:rPr>
              <w:t xml:space="preserve">Para disco de datos: desasociar disco antiguo y asociar el nuevo: az vm disk detach / az vm disk attach</w:t>
            </w:r>
          </w:p>
          <w:p>
            <w:pPr>
              <w:pStyle w:val="ListParagraph"/>
              <w:numPr>
                <w:ilvl w:val="0"/>
                <w:numId w:val="3"/>
              </w:numPr>
              <w:spacing w:after="30" w:before="30"/>
            </w:pPr>
            <w:r>
              <w:rPr>
                <w:rFonts w:ascii="Arial" w:cs="Arial" w:eastAsia="Arial" w:hAnsi="Arial"/>
                <w:sz w:val="19"/>
                <w:szCs w:val="19"/>
              </w:rPr>
              <w:t xml:space="preserve">Para disco OS: es necesario recrear la VM con el nuevo disco OS o usar az vm update (solo en algunos escenarios)</w:t>
            </w:r>
          </w:p>
          <w:p>
            <w:pPr>
              <w:pStyle w:val="ListParagraph"/>
              <w:numPr>
                <w:ilvl w:val="0"/>
                <w:numId w:val="3"/>
              </w:numPr>
              <w:spacing w:after="30" w:before="30"/>
            </w:pPr>
            <w:r>
              <w:rPr>
                <w:rFonts w:ascii="Arial" w:cs="Arial" w:eastAsia="Arial" w:hAnsi="Arial"/>
                <w:sz w:val="19"/>
                <w:szCs w:val="19"/>
              </w:rPr>
              <w:t xml:space="preserve">Iniciar la VM y verificar que arranca correctamente y los datos son accesibles</w:t>
            </w:r>
          </w:p>
          <w:p>
            <w:pPr>
              <w:pStyle w:val="ListParagraph"/>
              <w:numPr>
                <w:ilvl w:val="0"/>
                <w:numId w:val="3"/>
              </w:numPr>
              <w:spacing w:after="30" w:before="30"/>
            </w:pPr>
            <w:r>
              <w:rPr>
                <w:rFonts w:ascii="Arial" w:cs="Arial" w:eastAsia="Arial" w:hAnsi="Arial"/>
                <w:sz w:val="19"/>
                <w:szCs w:val="19"/>
              </w:rPr>
              <w:t xml:space="preserve">Una vez validado, eliminar el disco antiguo y el snapshot temporal</w:t>
            </w:r>
          </w:p>
          <w:p>
            <w:pPr>
              <w:pStyle w:val="ListParagraph"/>
              <w:numPr>
                <w:ilvl w:val="0"/>
                <w:numId w:val="3"/>
              </w:numPr>
              <w:spacing w:after="30" w:before="30"/>
            </w:pPr>
            <w:r>
              <w:rPr>
                <w:rFonts w:ascii="Arial" w:cs="Arial" w:eastAsia="Arial" w:hAnsi="Arial"/>
                <w:sz w:val="19"/>
                <w:szCs w:val="19"/>
              </w:rPr>
              <w:t xml:space="preserve">Repetir para cada VM en bloques de 2-3 VMs por dia</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Validacion</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pStyle w:val="ListParagraph"/>
              <w:numPr>
                <w:ilvl w:val="0"/>
                <w:numId w:val="2"/>
              </w:numPr>
              <w:spacing w:after="30" w:before="30"/>
            </w:pPr>
            <w:r>
              <w:rPr>
                <w:rFonts w:ascii="Arial" w:cs="Arial" w:eastAsia="Arial" w:hAnsi="Arial"/>
                <w:sz w:val="19"/>
                <w:szCs w:val="19"/>
              </w:rPr>
              <w:t xml:space="preserve">Verificar zona del disco nuevo: az disk show --name &lt;newDisk&gt; --resource-group &lt;rg&gt; --query zones (debe coincidir con la zona de la VM)</w:t>
            </w:r>
          </w:p>
          <w:p>
            <w:pPr>
              <w:pStyle w:val="ListParagraph"/>
              <w:numPr>
                <w:ilvl w:val="0"/>
                <w:numId w:val="2"/>
              </w:numPr>
              <w:spacing w:after="30" w:before="30"/>
            </w:pPr>
            <w:r>
              <w:rPr>
                <w:rFonts w:ascii="Arial" w:cs="Arial" w:eastAsia="Arial" w:hAnsi="Arial"/>
                <w:sz w:val="19"/>
                <w:szCs w:val="19"/>
              </w:rPr>
              <w:t xml:space="preserve">Confirmar que la VM arranca y los servicios responden tras la migracion</w:t>
            </w:r>
          </w:p>
          <w:p>
            <w:pPr>
              <w:pStyle w:val="ListParagraph"/>
              <w:numPr>
                <w:ilvl w:val="0"/>
                <w:numId w:val="2"/>
              </w:numPr>
              <w:spacing w:after="30" w:before="30"/>
            </w:pPr>
            <w:r>
              <w:rPr>
                <w:rFonts w:ascii="Arial" w:cs="Arial" w:eastAsia="Arial" w:hAnsi="Arial"/>
                <w:sz w:val="19"/>
                <w:szCs w:val="19"/>
              </w:rPr>
              <w:t xml:space="preserve">Verificar en Defender for Cloud / Advisor que la recomendacion desaparece para la VM migrada</w:t>
            </w:r>
          </w:p>
          <w:p>
            <w:pPr>
              <w:pStyle w:val="ListParagraph"/>
              <w:numPr>
                <w:ilvl w:val="0"/>
                <w:numId w:val="2"/>
              </w:numPr>
              <w:spacing w:after="30" w:before="30"/>
            </w:pPr>
            <w:r>
              <w:rPr>
                <w:rFonts w:ascii="Arial" w:cs="Arial" w:eastAsia="Arial" w:hAnsi="Arial"/>
                <w:sz w:val="19"/>
                <w:szCs w:val="19"/>
              </w:rPr>
              <w:t xml:space="preserve">Probar lectura/escritura de datos en los discos migrados desde las aplicaciones</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Plan de rollback</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000000"/>
                <w:sz w:val="20"/>
                <w:szCs w:val="20"/>
              </w:rPr>
              <w:t xml:space="preserve">Reasociar el disco original a la VM si la migracion falla. Los snapshots tomados en el prerrequisito permiten restaurar el estado original en menos de 30 minutos.</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Notas / Riesgos</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595959"/>
                <w:sz w:val="20"/>
                <w:szCs w:val="20"/>
              </w:rPr>
              <w:t xml:space="preserve">Esta es la operacion de mayor riesgo en la fase 2. Se recomienda iniciar con VMs de desarrollo o menor criticidad (glm-comer, glm-huam) antes de proceder con VMs SQL. Mantener los snapshots al menos 7 dias despues de completar la migracion.</w:t>
            </w:r>
          </w:p>
        </w:tc>
      </w:tr>
    </w:tbl>
    <w:p>
      <w:pPr>
        <w:spacing w:after="40" w:before="40"/>
      </w:pPr>
      <w:r>
        <w:t xml:space="preserve"/>
      </w:r>
    </w:p>
    <w:p>
      <w:pP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r>
              <w:rPr>
                <w:rFonts w:ascii="Arial" w:cs="Arial" w:eastAsia="Arial" w:hAnsi="Arial"/>
                <w:b/>
                <w:bCs/>
                <w:color w:val="FFFFFF"/>
                <w:sz w:val="23"/>
                <w:szCs w:val="23"/>
              </w:rPr>
              <w:t xml:space="preserve">3.1. Migrar VPN Gateway a SKU con zonas de disponibilidad (Retiro Programado)</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Categoria</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595959"/>
                <w:sz w:val="20"/>
                <w:szCs w:val="20"/>
              </w:rPr>
              <w:t xml:space="preserve">Confiabilidad — Impacto Mediano — RETIRO PROGRAMADO</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Prioridad</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bCs/>
                <w:color w:val="4472C4"/>
                <w:sz w:val="20"/>
                <w:szCs w:val="20"/>
              </w:rPr>
              <w:t xml:space="preserve">Mediano plazo</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Responsable</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000000"/>
                <w:sz w:val="20"/>
                <w:szCs w:val="20"/>
              </w:rPr>
              <w:t xml:space="preserve">Externo</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Duracion</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000000"/>
                <w:sz w:val="20"/>
                <w:szCs w:val="20"/>
              </w:rPr>
              <w:t xml:space="preserve">1 dia (4-8 horas de ventana de mantenimiento, incluye tiempo de aprovisionamiento de 30-45 min)</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Recursos Azure</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595959"/>
                <w:sz w:val="20"/>
                <w:szCs w:val="20"/>
              </w:rPr>
              <w:t xml:space="preserve">redvirtualgateway (lamorena-virtualnetwork) — SKU actual: VpnGw1 o VpnGw2 sin AZ</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Objetivo</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000000"/>
                <w:sz w:val="20"/>
                <w:szCs w:val="20"/>
              </w:rPr>
              <w:t xml:space="preserve">Migrar el VPN Gateway al SKU VpnGw1AZ, VpnGw2AZ o superior para obtener soporte de zonas de disponibilidad, cumplir con el SLA de 99.99% y evitar la interrupcion del servicio cuando Microsoft retire el SKU actual.</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Prerrequisitos</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pStyle w:val="ListParagraph"/>
              <w:numPr>
                <w:ilvl w:val="0"/>
                <w:numId w:val="2"/>
              </w:numPr>
              <w:spacing w:after="30" w:before="30"/>
            </w:pPr>
            <w:r>
              <w:rPr>
                <w:rFonts w:ascii="Arial" w:cs="Arial" w:eastAsia="Arial" w:hAnsi="Arial"/>
                <w:sz w:val="19"/>
                <w:szCs w:val="19"/>
              </w:rPr>
              <w:t xml:space="preserve">Verificar el SKU actual: az network vnet-gateway show --name redvirtualgateway --resource-group lamorena-virtualnetwork --query sku</w:t>
            </w:r>
          </w:p>
          <w:p>
            <w:pPr>
              <w:pStyle w:val="ListParagraph"/>
              <w:numPr>
                <w:ilvl w:val="0"/>
                <w:numId w:val="2"/>
              </w:numPr>
              <w:spacing w:after="30" w:before="30"/>
            </w:pPr>
            <w:r>
              <w:rPr>
                <w:rFonts w:ascii="Arial" w:cs="Arial" w:eastAsia="Arial" w:hAnsi="Arial"/>
                <w:sz w:val="19"/>
                <w:szCs w:val="19"/>
              </w:rPr>
              <w:t xml:space="preserve">Confirmar que la IP publica redvirtualgateway es de SKU Standard (requerido para gateways zonales; las IPs Basic no son compatibles)</w:t>
            </w:r>
          </w:p>
          <w:p>
            <w:pPr>
              <w:pStyle w:val="ListParagraph"/>
              <w:numPr>
                <w:ilvl w:val="0"/>
                <w:numId w:val="2"/>
              </w:numPr>
              <w:spacing w:after="30" w:before="30"/>
            </w:pPr>
            <w:r>
              <w:rPr>
                <w:rFonts w:ascii="Arial" w:cs="Arial" w:eastAsia="Arial" w:hAnsi="Arial"/>
                <w:sz w:val="19"/>
                <w:szCs w:val="19"/>
              </w:rPr>
              <w:t xml:space="preserve">Si la IP es Basic, planificar la migracion de IP publica tambien (requiere recrear la IP y actualizar el peer VPN on-premises)</w:t>
            </w:r>
          </w:p>
          <w:p>
            <w:pPr>
              <w:pStyle w:val="ListParagraph"/>
              <w:numPr>
                <w:ilvl w:val="0"/>
                <w:numId w:val="2"/>
              </w:numPr>
              <w:spacing w:after="30" w:before="30"/>
            </w:pPr>
            <w:r>
              <w:rPr>
                <w:rFonts w:ascii="Arial" w:cs="Arial" w:eastAsia="Arial" w:hAnsi="Arial"/>
                <w:sz w:val="19"/>
                <w:szCs w:val="19"/>
              </w:rPr>
              <w:t xml:space="preserve">Notificar al equipo de red on-premises y a los usuarios de la VPN sobre la ventana de interrupcion estimada (30-45 min de reprovisioning)</w:t>
            </w:r>
          </w:p>
          <w:p>
            <w:pPr>
              <w:pStyle w:val="ListParagraph"/>
              <w:numPr>
                <w:ilvl w:val="0"/>
                <w:numId w:val="2"/>
              </w:numPr>
              <w:spacing w:after="30" w:before="30"/>
            </w:pPr>
            <w:r>
              <w:rPr>
                <w:rFonts w:ascii="Arial" w:cs="Arial" w:eastAsia="Arial" w:hAnsi="Arial"/>
                <w:sz w:val="19"/>
                <w:szCs w:val="19"/>
              </w:rPr>
              <w:t xml:space="preserve">Documentar la configuracion actual: BGP, shared key, local network gateway, connection parameters</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Pasos de
implementacion</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pStyle w:val="ListParagraph"/>
              <w:numPr>
                <w:ilvl w:val="0"/>
                <w:numId w:val="3"/>
              </w:numPr>
              <w:spacing w:after="30" w:before="30"/>
            </w:pPr>
            <w:r>
              <w:rPr>
                <w:rFonts w:ascii="Arial" w:cs="Arial" w:eastAsia="Arial" w:hAnsi="Arial"/>
                <w:sz w:val="19"/>
                <w:szCs w:val="19"/>
              </w:rPr>
              <w:t xml:space="preserve">Verificar IP publica actual: si es Basic, crear nueva IP Standard: az network public-ip create --name redvirtualgateway-ip-std --resource-group lamorena-virtualnetwork --sku Standard --zone 1 2 3</w:t>
            </w:r>
          </w:p>
          <w:p>
            <w:pPr>
              <w:pStyle w:val="ListParagraph"/>
              <w:numPr>
                <w:ilvl w:val="0"/>
                <w:numId w:val="3"/>
              </w:numPr>
              <w:spacing w:after="30" w:before="30"/>
            </w:pPr>
            <w:r>
              <w:rPr>
                <w:rFonts w:ascii="Arial" w:cs="Arial" w:eastAsia="Arial" w:hAnsi="Arial"/>
                <w:sz w:val="19"/>
                <w:szCs w:val="19"/>
              </w:rPr>
              <w:t xml:space="preserve">Redimensionar el gateway al SKU zonal: az network vnet-gateway update --name redvirtualgateway --resource-group lamorena-virtualnetwork --gateway-type Vpn --vpn-type RouteBased --sku VpnGw2AZ --public-ip-addresses &lt;newIpId&gt;</w:t>
            </w:r>
          </w:p>
          <w:p>
            <w:pPr>
              <w:pStyle w:val="ListParagraph"/>
              <w:numPr>
                <w:ilvl w:val="0"/>
                <w:numId w:val="3"/>
              </w:numPr>
              <w:spacing w:after="30" w:before="30"/>
            </w:pPr>
            <w:r>
              <w:rPr>
                <w:rFonts w:ascii="Arial" w:cs="Arial" w:eastAsia="Arial" w:hAnsi="Arial"/>
                <w:sz w:val="19"/>
                <w:szCs w:val="19"/>
              </w:rPr>
              <w:t xml:space="preserve">El proceso de actualizacion tarda 30-45 minutos y la VPN estara inactiva durante ese tiempo</w:t>
            </w:r>
          </w:p>
          <w:p>
            <w:pPr>
              <w:pStyle w:val="ListParagraph"/>
              <w:numPr>
                <w:ilvl w:val="0"/>
                <w:numId w:val="3"/>
              </w:numPr>
              <w:spacing w:after="30" w:before="30"/>
            </w:pPr>
            <w:r>
              <w:rPr>
                <w:rFonts w:ascii="Arial" w:cs="Arial" w:eastAsia="Arial" w:hAnsi="Arial"/>
                <w:sz w:val="19"/>
                <w:szCs w:val="19"/>
              </w:rPr>
              <w:t xml:space="preserve">Una vez completado, verificar que la conexion VPN se restablece automaticamente</w:t>
            </w:r>
          </w:p>
          <w:p>
            <w:pPr>
              <w:pStyle w:val="ListParagraph"/>
              <w:numPr>
                <w:ilvl w:val="0"/>
                <w:numId w:val="3"/>
              </w:numPr>
              <w:spacing w:after="30" w:before="30"/>
            </w:pPr>
            <w:r>
              <w:rPr>
                <w:rFonts w:ascii="Arial" w:cs="Arial" w:eastAsia="Arial" w:hAnsi="Arial"/>
                <w:sz w:val="19"/>
                <w:szCs w:val="19"/>
              </w:rPr>
              <w:t xml:space="preserve">Si no se restablece, actualizar la IP del peer en el dispositivo VPN on-premises con la nueva IP publica</w:t>
            </w:r>
          </w:p>
          <w:p>
            <w:pPr>
              <w:pStyle w:val="ListParagraph"/>
              <w:numPr>
                <w:ilvl w:val="0"/>
                <w:numId w:val="3"/>
              </w:numPr>
              <w:spacing w:after="30" w:before="30"/>
            </w:pPr>
            <w:r>
              <w:rPr>
                <w:rFonts w:ascii="Arial" w:cs="Arial" w:eastAsia="Arial" w:hAnsi="Arial"/>
                <w:sz w:val="19"/>
                <w:szCs w:val="19"/>
              </w:rPr>
              <w:t xml:space="preserve">Actualizar las rutas y tablas de enrutamiento si aplica</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Validacion</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pStyle w:val="ListParagraph"/>
              <w:numPr>
                <w:ilvl w:val="0"/>
                <w:numId w:val="2"/>
              </w:numPr>
              <w:spacing w:after="30" w:before="30"/>
            </w:pPr>
            <w:r>
              <w:rPr>
                <w:rFonts w:ascii="Arial" w:cs="Arial" w:eastAsia="Arial" w:hAnsi="Arial"/>
                <w:sz w:val="19"/>
                <w:szCs w:val="19"/>
              </w:rPr>
              <w:t xml:space="preserve">Verificar SKU del gateway: az network vnet-gateway show ... --query 'sku.name' (debe mostrar VpnGw2AZ o similar)</w:t>
            </w:r>
          </w:p>
          <w:p>
            <w:pPr>
              <w:pStyle w:val="ListParagraph"/>
              <w:numPr>
                <w:ilvl w:val="0"/>
                <w:numId w:val="2"/>
              </w:numPr>
              <w:spacing w:after="30" w:before="30"/>
            </w:pPr>
            <w:r>
              <w:rPr>
                <w:rFonts w:ascii="Arial" w:cs="Arial" w:eastAsia="Arial" w:hAnsi="Arial"/>
                <w:sz w:val="19"/>
                <w:szCs w:val="19"/>
              </w:rPr>
              <w:t xml:space="preserve">Confirmar estado de la conexion: az network vpn-connection show ... --query connectionStatus (debe ser 'Connected')</w:t>
            </w:r>
          </w:p>
          <w:p>
            <w:pPr>
              <w:pStyle w:val="ListParagraph"/>
              <w:numPr>
                <w:ilvl w:val="0"/>
                <w:numId w:val="2"/>
              </w:numPr>
              <w:spacing w:after="30" w:before="30"/>
            </w:pPr>
            <w:r>
              <w:rPr>
                <w:rFonts w:ascii="Arial" w:cs="Arial" w:eastAsia="Arial" w:hAnsi="Arial"/>
                <w:sz w:val="19"/>
                <w:szCs w:val="19"/>
              </w:rPr>
              <w:t xml:space="preserve">Hacer ping desde una VM on-premises a una VM en Azure a traves de la VPN</w:t>
            </w:r>
          </w:p>
          <w:p>
            <w:pPr>
              <w:pStyle w:val="ListParagraph"/>
              <w:numPr>
                <w:ilvl w:val="0"/>
                <w:numId w:val="2"/>
              </w:numPr>
              <w:spacing w:after="30" w:before="30"/>
            </w:pPr>
            <w:r>
              <w:rPr>
                <w:rFonts w:ascii="Arial" w:cs="Arial" w:eastAsia="Arial" w:hAnsi="Arial"/>
                <w:sz w:val="19"/>
                <w:szCs w:val="19"/>
              </w:rPr>
              <w:t xml:space="preserve">Verificar en Advisor que la recomendacion de retiro desaparece</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Plan de rollback</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000000"/>
                <w:sz w:val="20"/>
                <w:szCs w:val="20"/>
              </w:rPr>
              <w:t xml:space="preserve">Si el gateway nuevo no establece conexion, es posible revertir al SKU anterior (aunque implica otro periodo de reprovisioning de 30-45 min). Mantener la configuracion documentada del gateway anterior.</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Notas / Riesgos</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595959"/>
                <w:sz w:val="20"/>
                <w:szCs w:val="20"/>
              </w:rPr>
              <w:t xml:space="preserve">La migracion de VPN Gateway es una de las operaciones que genera mayor downtime de conectividad hibrida. Coordinar con atencion el horario de la ventana de mantenimiento para minimizar impacto en usuarios. El costo del SKU VpnGw2AZ es ligeramente mayor al VpnGw2 sin AZ.</w:t>
            </w:r>
          </w:p>
        </w:tc>
      </w:tr>
    </w:tbl>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r>
              <w:rPr>
                <w:rFonts w:ascii="Arial" w:cs="Arial" w:eastAsia="Arial" w:hAnsi="Arial"/>
                <w:b/>
                <w:bCs/>
                <w:color w:val="FFFFFF"/>
                <w:sz w:val="23"/>
                <w:szCs w:val="23"/>
              </w:rPr>
              <w:t xml:space="preserve">2.3. Adquirir Azure Savings Plan de 1 año</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Categoria</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595959"/>
                <w:sz w:val="20"/>
                <w:szCs w:val="20"/>
              </w:rPr>
              <w:t xml:space="preserve">Costo — Impacto Alto</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Prioridad</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bCs/>
                <w:color w:val="C55A11"/>
                <w:sz w:val="20"/>
                <w:szCs w:val="20"/>
              </w:rPr>
              <w:t xml:space="preserve">Corto plazo</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Responsable</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000000"/>
                <w:sz w:val="20"/>
                <w:szCs w:val="20"/>
              </w:rPr>
              <w:t xml:space="preserve">Interno (aprobacion financiera)</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Duracion</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000000"/>
                <w:sz w:val="20"/>
                <w:szCs w:val="20"/>
              </w:rPr>
              <w:t xml:space="preserve">1-2 horas (analysis + compra en portal)</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Recursos Azure</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595959"/>
                <w:sz w:val="20"/>
                <w:szCs w:val="20"/>
              </w:rPr>
              <w:t xml:space="preserve">Suscripcion completa — aplica a toda la capacidad de computo de VMs</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Objetivo</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000000"/>
                <w:sz w:val="20"/>
                <w:szCs w:val="20"/>
              </w:rPr>
              <w:t xml:space="preserve">Reducir el costo de computo de maquinas virtuales hasta un 65% mediante un compromiso de uso de 1 año, generando un ahorro estimado de $7,713 USD anuales sin cambios de arquitectura.</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Prerrequisitos</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pStyle w:val="ListParagraph"/>
              <w:numPr>
                <w:ilvl w:val="0"/>
                <w:numId w:val="2"/>
              </w:numPr>
              <w:spacing w:after="30" w:before="30"/>
            </w:pPr>
            <w:r>
              <w:rPr>
                <w:rFonts w:ascii="Arial" w:cs="Arial" w:eastAsia="Arial" w:hAnsi="Arial"/>
                <w:sz w:val="19"/>
                <w:szCs w:val="19"/>
              </w:rPr>
              <w:t xml:space="preserve">Obtener aprobacion del equipo financiero / direccion para el compromiso de gasto</w:t>
            </w:r>
          </w:p>
          <w:p>
            <w:pPr>
              <w:pStyle w:val="ListParagraph"/>
              <w:numPr>
                <w:ilvl w:val="0"/>
                <w:numId w:val="2"/>
              </w:numPr>
              <w:spacing w:after="30" w:before="30"/>
            </w:pPr>
            <w:r>
              <w:rPr>
                <w:rFonts w:ascii="Arial" w:cs="Arial" w:eastAsia="Arial" w:hAnsi="Arial"/>
                <w:sz w:val="19"/>
                <w:szCs w:val="19"/>
              </w:rPr>
              <w:t xml:space="preserve">Revisar en Azure Cost Management el analisis de utilizacion de los ultimos 30-90 dias para confirmar el nivel de consumo base</w:t>
            </w:r>
          </w:p>
          <w:p>
            <w:pPr>
              <w:pStyle w:val="ListParagraph"/>
              <w:numPr>
                <w:ilvl w:val="0"/>
                <w:numId w:val="2"/>
              </w:numPr>
              <w:spacing w:after="30" w:before="30"/>
            </w:pPr>
            <w:r>
              <w:rPr>
                <w:rFonts w:ascii="Arial" w:cs="Arial" w:eastAsia="Arial" w:hAnsi="Arial"/>
                <w:sz w:val="19"/>
                <w:szCs w:val="19"/>
              </w:rPr>
              <w:t xml:space="preserve">Validar que no existe ya un Savings Plan activo en la suscripcion que cubra parte del consumo</w:t>
            </w:r>
          </w:p>
          <w:p>
            <w:pPr>
              <w:pStyle w:val="ListParagraph"/>
              <w:numPr>
                <w:ilvl w:val="0"/>
                <w:numId w:val="2"/>
              </w:numPr>
              <w:spacing w:after="30" w:before="30"/>
            </w:pPr>
            <w:r>
              <w:rPr>
                <w:rFonts w:ascii="Arial" w:cs="Arial" w:eastAsia="Arial" w:hAnsi="Arial"/>
                <w:sz w:val="19"/>
                <w:szCs w:val="19"/>
              </w:rPr>
              <w:t xml:space="preserve">El Savings Plan se cobra a traves de la facturacion existente de Azure (no requiere pago adelantado si se elige pago mensual)</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Pasos de
implementacion</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pStyle w:val="ListParagraph"/>
              <w:numPr>
                <w:ilvl w:val="0"/>
                <w:numId w:val="3"/>
              </w:numPr>
              <w:spacing w:after="30" w:before="30"/>
            </w:pPr>
            <w:r>
              <w:rPr>
                <w:rFonts w:ascii="Arial" w:cs="Arial" w:eastAsia="Arial" w:hAnsi="Arial"/>
                <w:sz w:val="19"/>
                <w:szCs w:val="19"/>
              </w:rPr>
              <w:t xml:space="preserve">En Azure Portal: ir a Savings Plans &gt; Comprar Savings Plan</w:t>
            </w:r>
          </w:p>
          <w:p>
            <w:pPr>
              <w:pStyle w:val="ListParagraph"/>
              <w:numPr>
                <w:ilvl w:val="0"/>
                <w:numId w:val="3"/>
              </w:numPr>
              <w:spacing w:after="30" w:before="30"/>
            </w:pPr>
            <w:r>
              <w:rPr>
                <w:rFonts w:ascii="Arial" w:cs="Arial" w:eastAsia="Arial" w:hAnsi="Arial"/>
                <w:sz w:val="19"/>
                <w:szCs w:val="19"/>
              </w:rPr>
              <w:t xml:space="preserve">Seleccionar tipo: 'Compute Savings Plan' (aplica a VMs, App Service, Container Instances en cualquier region y serie)</w:t>
            </w:r>
          </w:p>
          <w:p>
            <w:pPr>
              <w:pStyle w:val="ListParagraph"/>
              <w:numPr>
                <w:ilvl w:val="0"/>
                <w:numId w:val="3"/>
              </w:numPr>
              <w:spacing w:after="30" w:before="30"/>
            </w:pPr>
            <w:r>
              <w:rPr>
                <w:rFonts w:ascii="Arial" w:cs="Arial" w:eastAsia="Arial" w:hAnsi="Arial"/>
                <w:sz w:val="19"/>
                <w:szCs w:val="19"/>
              </w:rPr>
              <w:t xml:space="preserve">Configurar el compromiso de gasto horario basado en el analisis de consumo (Azure recomienda el monto optimo automaticamente)</w:t>
            </w:r>
          </w:p>
          <w:p>
            <w:pPr>
              <w:pStyle w:val="ListParagraph"/>
              <w:numPr>
                <w:ilvl w:val="0"/>
                <w:numId w:val="3"/>
              </w:numPr>
              <w:spacing w:after="30" w:before="30"/>
            </w:pPr>
            <w:r>
              <w:rPr>
                <w:rFonts w:ascii="Arial" w:cs="Arial" w:eastAsia="Arial" w:hAnsi="Arial"/>
                <w:sz w:val="19"/>
                <w:szCs w:val="19"/>
              </w:rPr>
              <w:t xml:space="preserve">Seleccionar plazo: 1 año (recomendado para este entorno como primer compromiso; 3 años da mayor descuento)</w:t>
            </w:r>
          </w:p>
          <w:p>
            <w:pPr>
              <w:pStyle w:val="ListParagraph"/>
              <w:numPr>
                <w:ilvl w:val="0"/>
                <w:numId w:val="3"/>
              </w:numPr>
              <w:spacing w:after="30" w:before="30"/>
            </w:pPr>
            <w:r>
              <w:rPr>
                <w:rFonts w:ascii="Arial" w:cs="Arial" w:eastAsia="Arial" w:hAnsi="Arial"/>
                <w:sz w:val="19"/>
                <w:szCs w:val="19"/>
              </w:rPr>
              <w:t xml:space="preserve">Seleccionar forma de pago: mensual (sin cargo inicial) o por adelantado (mayor descuento adicional de ~2-4%)</w:t>
            </w:r>
          </w:p>
          <w:p>
            <w:pPr>
              <w:pStyle w:val="ListParagraph"/>
              <w:numPr>
                <w:ilvl w:val="0"/>
                <w:numId w:val="3"/>
              </w:numPr>
              <w:spacing w:after="30" w:before="30"/>
            </w:pPr>
            <w:r>
              <w:rPr>
                <w:rFonts w:ascii="Arial" w:cs="Arial" w:eastAsia="Arial" w:hAnsi="Arial"/>
                <w:sz w:val="19"/>
                <w:szCs w:val="19"/>
              </w:rPr>
              <w:t xml:space="preserve">Revisar la estimacion de ahorro que muestra el portal antes de confirmar</w:t>
            </w:r>
          </w:p>
          <w:p>
            <w:pPr>
              <w:pStyle w:val="ListParagraph"/>
              <w:numPr>
                <w:ilvl w:val="0"/>
                <w:numId w:val="3"/>
              </w:numPr>
              <w:spacing w:after="30" w:before="30"/>
            </w:pPr>
            <w:r>
              <w:rPr>
                <w:rFonts w:ascii="Arial" w:cs="Arial" w:eastAsia="Arial" w:hAnsi="Arial"/>
                <w:sz w:val="19"/>
                <w:szCs w:val="19"/>
              </w:rPr>
              <w:t xml:space="preserve">Confirmar la compra y documentar la fecha de inicio y vencimiento del plan</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Validacion</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pStyle w:val="ListParagraph"/>
              <w:numPr>
                <w:ilvl w:val="0"/>
                <w:numId w:val="2"/>
              </w:numPr>
              <w:spacing w:after="30" w:before="30"/>
            </w:pPr>
            <w:r>
              <w:rPr>
                <w:rFonts w:ascii="Arial" w:cs="Arial" w:eastAsia="Arial" w:hAnsi="Arial"/>
                <w:sz w:val="19"/>
                <w:szCs w:val="19"/>
              </w:rPr>
              <w:t xml:space="preserve">En Azure Portal &gt; Savings Plans, verificar que el plan aparece como 'Activo'</w:t>
            </w:r>
          </w:p>
          <w:p>
            <w:pPr>
              <w:pStyle w:val="ListParagraph"/>
              <w:numPr>
                <w:ilvl w:val="0"/>
                <w:numId w:val="2"/>
              </w:numPr>
              <w:spacing w:after="30" w:before="30"/>
            </w:pPr>
            <w:r>
              <w:rPr>
                <w:rFonts w:ascii="Arial" w:cs="Arial" w:eastAsia="Arial" w:hAnsi="Arial"/>
                <w:sz w:val="19"/>
                <w:szCs w:val="19"/>
              </w:rPr>
              <w:t xml:space="preserve">Revisar en Azure Cost Management &gt; Costo + Facturacion que los cargos de computo reflejan el descuento en el siguiente ciclo de facturacion</w:t>
            </w:r>
          </w:p>
          <w:p>
            <w:pPr>
              <w:pStyle w:val="ListParagraph"/>
              <w:numPr>
                <w:ilvl w:val="0"/>
                <w:numId w:val="2"/>
              </w:numPr>
              <w:spacing w:after="30" w:before="30"/>
            </w:pPr>
            <w:r>
              <w:rPr>
                <w:rFonts w:ascii="Arial" w:cs="Arial" w:eastAsia="Arial" w:hAnsi="Arial"/>
                <w:sz w:val="19"/>
                <w:szCs w:val="19"/>
              </w:rPr>
              <w:t xml:space="preserve">Verificar la tasa de utilizacion del Savings Plan en el primer mes (deberia estar cerca del 100% para maximizar el beneficio)</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Plan de rollback</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000000"/>
                <w:sz w:val="20"/>
                <w:szCs w:val="20"/>
              </w:rPr>
              <w:t xml:space="preserve">Los Savings Plans no son cancelables ni reembolsables una vez adquiridos. Si el consumo cae por debajo del compromiso, se paga el compromiso igualmente. Por eso es critico validar el nivel de consumo base antes de comprar.</w:t>
            </w:r>
          </w:p>
        </w:tc>
      </w:tr>
      <w:tr>
        <w:tc>
          <w:tcPr>
            <w:tcW w:type="dxa" w:w="1600"/>
            <w:tcBorders>
              <w:top w:val="single" w:color="BFBFBF" w:sz="4"/>
              <w:left w:val="single" w:color="BFBFBF" w:sz="4"/>
              <w:bottom w:val="single" w:color="BFBFBF" w:sz="4"/>
              <w:right w:val="single" w:color="BFBFBF" w:sz="4"/>
            </w:tcBorders>
            <w:shd w:fill="2E75B6" w:val="clear"/>
            <w:tcMar>
              <w:top w:type="dxa" w:w="80"/>
              <w:left w:type="dxa" w:w="130"/>
              <w:bottom w:type="dxa" w:w="80"/>
              <w:right w:type="dxa" w:w="130"/>
            </w:tcMar>
          </w:tcPr>
          <w:p>
            <w:pPr>
              <w:spacing w:after="60" w:before="60"/>
              <w:jc w:val="left"/>
            </w:pPr>
            <w:r>
              <w:rPr>
                <w:rFonts w:ascii="Arial" w:cs="Arial" w:eastAsia="Arial" w:hAnsi="Arial"/>
                <w:b/>
                <w:bCs/>
                <w:color w:val="FFFFFF"/>
                <w:sz w:val="18"/>
                <w:szCs w:val="18"/>
              </w:rPr>
              <w:t xml:space="preserve">Notas / Riesgos</w:t>
            </w:r>
          </w:p>
        </w:tc>
        <w:tc>
          <w:tcPr>
            <w:tcW w:type="dxa" w:w="77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40" w:before="40"/>
              <w:jc w:val="left"/>
            </w:pPr>
            <w:r>
              <w:rPr>
                <w:rFonts w:ascii="Arial" w:cs="Arial" w:eastAsia="Arial" w:hAnsi="Arial"/>
                <w:b w:val="false"/>
                <w:bCs w:val="false"/>
                <w:color w:val="595959"/>
                <w:sz w:val="20"/>
                <w:szCs w:val="20"/>
              </w:rPr>
              <w:t xml:space="preserve">Complementar con Reserved Instances para las VMs SQL de uso muy predecible (tarea 2.4). Savings Plan cubre carga base variable; Reserved Instances cubren cargas constantes al 100%. Revisar anualmente si el consumo justifica renovar o escalar el compromiso.</w:t>
            </w:r>
          </w:p>
        </w:tc>
      </w:tr>
    </w:tbl>
    <w:p>
      <w:pPr>
        <w:spacing w:after="40" w:before="40"/>
      </w:pPr>
      <w:r>
        <w:t xml:space="preserve"/>
      </w:r>
    </w:p>
    <w:p>
      <w:r>
        <w:br w:type="page"/>
      </w:r>
    </w:p>
    <w:p>
      <w:pPr>
        <w:pStyle w:val="Heading1"/>
        <w:pBdr>
          <w:bottom w:val="single" w:color="0078D4" w:sz="8" w:space="4"/>
        </w:pBdr>
        <w:spacing w:after="120" w:before="400"/>
      </w:pPr>
      <w:r>
        <w:rPr>
          <w:rFonts w:ascii="Arial" w:cs="Arial" w:eastAsia="Arial" w:hAnsi="Arial"/>
          <w:b/>
          <w:bCs/>
          <w:color w:val="1F3864"/>
          <w:sz w:val="32"/>
          <w:szCs w:val="32"/>
        </w:rPr>
        <w:t xml:space="preserve">4. Matriz RACI — Responsabilidades por Actividad</w:t>
      </w:r>
    </w:p>
    <w:p>
      <w:pPr>
        <w:spacing w:after="60" w:before="60"/>
        <w:jc w:val="left"/>
      </w:pPr>
      <w:r>
        <w:rPr>
          <w:rFonts w:ascii="Arial" w:cs="Arial" w:eastAsia="Arial" w:hAnsi="Arial"/>
          <w:b w:val="false"/>
          <w:bCs w:val="false"/>
          <w:color w:val="000000"/>
          <w:sz w:val="20"/>
          <w:szCs w:val="20"/>
        </w:rPr>
        <w:t xml:space="preserve">La siguiente matriz define los roles y responsabilidades de cada participante en el plan de implementacion. Se usa el modelo RACI: R = Responsable de ejecutar, A = Aprobador / Accountable, C = Consultado, I = Informado.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1920"/>
      </w:tblGrid>
      <w:tr>
        <w:tc>
          <w:tcPr>
            <w:tcW w:type="dxa" w:w="24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Actividad</w:t>
            </w:r>
          </w:p>
        </w:tc>
        <w:tc>
          <w:tcPr>
            <w:tcW w:type="dxa" w:w="168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Lider Tecnico
(Externo)</w:t>
            </w:r>
          </w:p>
        </w:tc>
        <w:tc>
          <w:tcPr>
            <w:tcW w:type="dxa" w:w="168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Cloud Architect
(Externo)</w:t>
            </w:r>
          </w:p>
        </w:tc>
        <w:tc>
          <w:tcPr>
            <w:tcW w:type="dxa" w:w="168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TI Interno</w:t>
            </w:r>
          </w:p>
        </w:tc>
        <w:tc>
          <w:tcPr>
            <w:tcW w:type="dxa" w:w="192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Finanzas /
Directivo</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Cifrado de disco (ADE/EncryptionAtHost)</w:t>
            </w:r>
          </w:p>
        </w:tc>
        <w:tc>
          <w:tcPr>
            <w:tcW w:type="dxa" w:w="168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center"/>
            </w:pPr>
            <w:r>
              <w:rPr>
                <w:rFonts w:ascii="Arial" w:cs="Arial" w:eastAsia="Arial" w:hAnsi="Arial"/>
                <w:b/>
                <w:bCs/>
                <w:color w:val="C00000"/>
                <w:sz w:val="20"/>
                <w:szCs w:val="20"/>
              </w:rPr>
              <w:t xml:space="preserve">R</w:t>
            </w:r>
          </w:p>
        </w:tc>
        <w:tc>
          <w:tcPr>
            <w:tcW w:type="dxa" w:w="168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tcPr>
          <w:p>
            <w:pPr>
              <w:spacing w:after="60" w:before="60"/>
              <w:jc w:val="center"/>
            </w:pPr>
            <w:r>
              <w:rPr>
                <w:rFonts w:ascii="Arial" w:cs="Arial" w:eastAsia="Arial" w:hAnsi="Arial"/>
                <w:b/>
                <w:bCs/>
                <w:color w:val="C55A11"/>
                <w:sz w:val="20"/>
                <w:szCs w:val="20"/>
              </w:rPr>
              <w:t xml:space="preserve">A</w:t>
            </w:r>
          </w:p>
        </w:tc>
        <w:tc>
          <w:tcPr>
            <w:tcW w:type="dxa" w:w="1680"/>
            <w:tcBorders>
              <w:top w:val="single" w:color="BFBFBF" w:sz="4"/>
              <w:left w:val="single" w:color="BFBFBF" w:sz="4"/>
              <w:bottom w:val="single" w:color="BFBFBF" w:sz="4"/>
              <w:right w:val="single" w:color="BFBFBF" w:sz="4"/>
            </w:tcBorders>
            <w:shd w:fill="DEEAF1" w:val="clear"/>
            <w:tcMar>
              <w:top w:type="dxa" w:w="80"/>
              <w:left w:type="dxa" w:w="130"/>
              <w:bottom w:type="dxa" w:w="80"/>
              <w:right w:type="dxa" w:w="130"/>
            </w:tcMar>
          </w:tcPr>
          <w:p>
            <w:pPr>
              <w:spacing w:after="60" w:before="60"/>
              <w:jc w:val="center"/>
            </w:pPr>
            <w:r>
              <w:rPr>
                <w:rFonts w:ascii="Arial" w:cs="Arial" w:eastAsia="Arial" w:hAnsi="Arial"/>
                <w:b/>
                <w:bCs/>
                <w:color w:val="4472C4"/>
                <w:sz w:val="20"/>
                <w:szCs w:val="20"/>
              </w:rPr>
              <w:t xml:space="preserve">C</w:t>
            </w:r>
          </w:p>
        </w:tc>
        <w:tc>
          <w:tcPr>
            <w:tcW w:type="dxa" w:w="192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20"/>
                <w:szCs w:val="20"/>
              </w:rPr>
              <w:t xml:space="preserve">I</w:t>
            </w:r>
          </w:p>
        </w:tc>
      </w:tr>
      <w:tr>
        <w:tc>
          <w:tcPr>
            <w:tcW w:type="dxa" w:w="2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Configuracion JIT y NSGs</w:t>
            </w:r>
          </w:p>
        </w:tc>
        <w:tc>
          <w:tcPr>
            <w:tcW w:type="dxa" w:w="1680"/>
            <w:tcBorders>
              <w:top w:val="single" w:color="BFBFBF" w:sz="4"/>
              <w:left w:val="single" w:color="BFBFBF" w:sz="4"/>
              <w:bottom w:val="single" w:color="BFBFBF" w:sz="4"/>
              <w:right w:val="single" w:color="BFBFBF" w:sz="4"/>
            </w:tcBorders>
            <w:shd w:fill="DEEAF1" w:val="clear"/>
            <w:tcMar>
              <w:top w:type="dxa" w:w="80"/>
              <w:left w:type="dxa" w:w="130"/>
              <w:bottom w:type="dxa" w:w="80"/>
              <w:right w:type="dxa" w:w="130"/>
            </w:tcMar>
          </w:tcPr>
          <w:p>
            <w:pPr>
              <w:spacing w:after="60" w:before="60"/>
              <w:jc w:val="center"/>
            </w:pPr>
            <w:r>
              <w:rPr>
                <w:rFonts w:ascii="Arial" w:cs="Arial" w:eastAsia="Arial" w:hAnsi="Arial"/>
                <w:b/>
                <w:bCs/>
                <w:color w:val="4472C4"/>
                <w:sz w:val="20"/>
                <w:szCs w:val="20"/>
              </w:rPr>
              <w:t xml:space="preserve">C</w:t>
            </w:r>
          </w:p>
        </w:tc>
        <w:tc>
          <w:tcPr>
            <w:tcW w:type="dxa" w:w="168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tcPr>
          <w:p>
            <w:pPr>
              <w:spacing w:after="60" w:before="60"/>
              <w:jc w:val="center"/>
            </w:pPr>
            <w:r>
              <w:rPr>
                <w:rFonts w:ascii="Arial" w:cs="Arial" w:eastAsia="Arial" w:hAnsi="Arial"/>
                <w:b/>
                <w:bCs/>
                <w:color w:val="C55A11"/>
                <w:sz w:val="20"/>
                <w:szCs w:val="20"/>
              </w:rPr>
              <w:t xml:space="preserve">A</w:t>
            </w:r>
          </w:p>
        </w:tc>
        <w:tc>
          <w:tcPr>
            <w:tcW w:type="dxa" w:w="168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center"/>
            </w:pPr>
            <w:r>
              <w:rPr>
                <w:rFonts w:ascii="Arial" w:cs="Arial" w:eastAsia="Arial" w:hAnsi="Arial"/>
                <w:b/>
                <w:bCs/>
                <w:color w:val="C00000"/>
                <w:sz w:val="20"/>
                <w:szCs w:val="20"/>
              </w:rPr>
              <w:t xml:space="preserve">R</w:t>
            </w:r>
          </w:p>
        </w:tc>
        <w:tc>
          <w:tcPr>
            <w:tcW w:type="dxa" w:w="192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20"/>
                <w:szCs w:val="20"/>
              </w:rPr>
              <w:t xml:space="preserve">I</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Migracion TLS 1.2 en Storage</w:t>
            </w:r>
          </w:p>
        </w:tc>
        <w:tc>
          <w:tcPr>
            <w:tcW w:type="dxa" w:w="1680"/>
            <w:tcBorders>
              <w:top w:val="single" w:color="BFBFBF" w:sz="4"/>
              <w:left w:val="single" w:color="BFBFBF" w:sz="4"/>
              <w:bottom w:val="single" w:color="BFBFBF" w:sz="4"/>
              <w:right w:val="single" w:color="BFBFBF" w:sz="4"/>
            </w:tcBorders>
            <w:shd w:fill="DEEAF1" w:val="clear"/>
            <w:tcMar>
              <w:top w:type="dxa" w:w="80"/>
              <w:left w:type="dxa" w:w="130"/>
              <w:bottom w:type="dxa" w:w="80"/>
              <w:right w:type="dxa" w:w="130"/>
            </w:tcMar>
          </w:tcPr>
          <w:p>
            <w:pPr>
              <w:spacing w:after="60" w:before="60"/>
              <w:jc w:val="center"/>
            </w:pPr>
            <w:r>
              <w:rPr>
                <w:rFonts w:ascii="Arial" w:cs="Arial" w:eastAsia="Arial" w:hAnsi="Arial"/>
                <w:b/>
                <w:bCs/>
                <w:color w:val="4472C4"/>
                <w:sz w:val="20"/>
                <w:szCs w:val="20"/>
              </w:rPr>
              <w:t xml:space="preserve">C</w:t>
            </w:r>
          </w:p>
        </w:tc>
        <w:tc>
          <w:tcPr>
            <w:tcW w:type="dxa" w:w="168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20"/>
                <w:szCs w:val="20"/>
              </w:rPr>
              <w:t xml:space="preserve">I</w:t>
            </w:r>
          </w:p>
        </w:tc>
        <w:tc>
          <w:tcPr>
            <w:tcW w:type="dxa" w:w="168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center"/>
            </w:pPr>
            <w:r>
              <w:rPr>
                <w:rFonts w:ascii="Arial" w:cs="Arial" w:eastAsia="Arial" w:hAnsi="Arial"/>
                <w:b/>
                <w:bCs/>
                <w:color w:val="C00000"/>
                <w:sz w:val="20"/>
                <w:szCs w:val="20"/>
              </w:rPr>
              <w:t xml:space="preserve">R</w:t>
            </w:r>
          </w:p>
        </w:tc>
        <w:tc>
          <w:tcPr>
            <w:tcW w:type="dxa" w:w="192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20"/>
                <w:szCs w:val="20"/>
              </w:rPr>
              <w:t xml:space="preserve">I</w:t>
            </w:r>
          </w:p>
        </w:tc>
      </w:tr>
      <w:tr>
        <w:tc>
          <w:tcPr>
            <w:tcW w:type="dxa" w:w="2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Habilitar Defender CSPM</w:t>
            </w:r>
          </w:p>
        </w:tc>
        <w:tc>
          <w:tcPr>
            <w:tcW w:type="dxa" w:w="168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center"/>
            </w:pPr>
            <w:r>
              <w:rPr>
                <w:rFonts w:ascii="Arial" w:cs="Arial" w:eastAsia="Arial" w:hAnsi="Arial"/>
                <w:b/>
                <w:bCs/>
                <w:color w:val="C00000"/>
                <w:sz w:val="20"/>
                <w:szCs w:val="20"/>
              </w:rPr>
              <w:t xml:space="preserve">R</w:t>
            </w:r>
          </w:p>
        </w:tc>
        <w:tc>
          <w:tcPr>
            <w:tcW w:type="dxa" w:w="168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tcPr>
          <w:p>
            <w:pPr>
              <w:spacing w:after="60" w:before="60"/>
              <w:jc w:val="center"/>
            </w:pPr>
            <w:r>
              <w:rPr>
                <w:rFonts w:ascii="Arial" w:cs="Arial" w:eastAsia="Arial" w:hAnsi="Arial"/>
                <w:b/>
                <w:bCs/>
                <w:color w:val="C55A11"/>
                <w:sz w:val="20"/>
                <w:szCs w:val="20"/>
              </w:rPr>
              <w:t xml:space="preserve">A</w:t>
            </w:r>
          </w:p>
        </w:tc>
        <w:tc>
          <w:tcPr>
            <w:tcW w:type="dxa" w:w="1680"/>
            <w:tcBorders>
              <w:top w:val="single" w:color="BFBFBF" w:sz="4"/>
              <w:left w:val="single" w:color="BFBFBF" w:sz="4"/>
              <w:bottom w:val="single" w:color="BFBFBF" w:sz="4"/>
              <w:right w:val="single" w:color="BFBFBF" w:sz="4"/>
            </w:tcBorders>
            <w:shd w:fill="DEEAF1" w:val="clear"/>
            <w:tcMar>
              <w:top w:type="dxa" w:w="80"/>
              <w:left w:type="dxa" w:w="130"/>
              <w:bottom w:type="dxa" w:w="80"/>
              <w:right w:type="dxa" w:w="130"/>
            </w:tcMar>
          </w:tcPr>
          <w:p>
            <w:pPr>
              <w:spacing w:after="60" w:before="60"/>
              <w:jc w:val="center"/>
            </w:pPr>
            <w:r>
              <w:rPr>
                <w:rFonts w:ascii="Arial" w:cs="Arial" w:eastAsia="Arial" w:hAnsi="Arial"/>
                <w:b/>
                <w:bCs/>
                <w:color w:val="4472C4"/>
                <w:sz w:val="20"/>
                <w:szCs w:val="20"/>
              </w:rPr>
              <w:t xml:space="preserve">C</w:t>
            </w:r>
          </w:p>
        </w:tc>
        <w:tc>
          <w:tcPr>
            <w:tcW w:type="dxa" w:w="192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20"/>
                <w:szCs w:val="20"/>
              </w:rPr>
              <w:t xml:space="preserve">I</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Alerta Service Health</w:t>
            </w:r>
          </w:p>
        </w:tc>
        <w:tc>
          <w:tcPr>
            <w:tcW w:type="dxa" w:w="168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20"/>
                <w:szCs w:val="20"/>
              </w:rPr>
              <w:t xml:space="preserve">I</w:t>
            </w:r>
          </w:p>
        </w:tc>
        <w:tc>
          <w:tcPr>
            <w:tcW w:type="dxa" w:w="168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20"/>
                <w:szCs w:val="20"/>
              </w:rPr>
              <w:t xml:space="preserve">I</w:t>
            </w:r>
          </w:p>
        </w:tc>
        <w:tc>
          <w:tcPr>
            <w:tcW w:type="dxa" w:w="168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center"/>
            </w:pPr>
            <w:r>
              <w:rPr>
                <w:rFonts w:ascii="Arial" w:cs="Arial" w:eastAsia="Arial" w:hAnsi="Arial"/>
                <w:b/>
                <w:bCs/>
                <w:color w:val="C00000"/>
                <w:sz w:val="20"/>
                <w:szCs w:val="20"/>
              </w:rPr>
              <w:t xml:space="preserve">R</w:t>
            </w:r>
          </w:p>
        </w:tc>
        <w:tc>
          <w:tcPr>
            <w:tcW w:type="dxa" w:w="192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20"/>
                <w:szCs w:val="20"/>
              </w:rPr>
              <w:t xml:space="preserve">I</w:t>
            </w:r>
          </w:p>
        </w:tc>
      </w:tr>
      <w:tr>
        <w:tc>
          <w:tcPr>
            <w:tcW w:type="dxa" w:w="2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Habilitar VM Insights</w:t>
            </w:r>
          </w:p>
        </w:tc>
        <w:tc>
          <w:tcPr>
            <w:tcW w:type="dxa" w:w="168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center"/>
            </w:pPr>
            <w:r>
              <w:rPr>
                <w:rFonts w:ascii="Arial" w:cs="Arial" w:eastAsia="Arial" w:hAnsi="Arial"/>
                <w:b/>
                <w:bCs/>
                <w:color w:val="C00000"/>
                <w:sz w:val="20"/>
                <w:szCs w:val="20"/>
              </w:rPr>
              <w:t xml:space="preserve">R</w:t>
            </w:r>
          </w:p>
        </w:tc>
        <w:tc>
          <w:tcPr>
            <w:tcW w:type="dxa" w:w="168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tcPr>
          <w:p>
            <w:pPr>
              <w:spacing w:after="60" w:before="60"/>
              <w:jc w:val="center"/>
            </w:pPr>
            <w:r>
              <w:rPr>
                <w:rFonts w:ascii="Arial" w:cs="Arial" w:eastAsia="Arial" w:hAnsi="Arial"/>
                <w:b/>
                <w:bCs/>
                <w:color w:val="C55A11"/>
                <w:sz w:val="20"/>
                <w:szCs w:val="20"/>
              </w:rPr>
              <w:t xml:space="preserve">A</w:t>
            </w:r>
          </w:p>
        </w:tc>
        <w:tc>
          <w:tcPr>
            <w:tcW w:type="dxa" w:w="1680"/>
            <w:tcBorders>
              <w:top w:val="single" w:color="BFBFBF" w:sz="4"/>
              <w:left w:val="single" w:color="BFBFBF" w:sz="4"/>
              <w:bottom w:val="single" w:color="BFBFBF" w:sz="4"/>
              <w:right w:val="single" w:color="BFBFBF" w:sz="4"/>
            </w:tcBorders>
            <w:shd w:fill="DEEAF1" w:val="clear"/>
            <w:tcMar>
              <w:top w:type="dxa" w:w="80"/>
              <w:left w:type="dxa" w:w="130"/>
              <w:bottom w:type="dxa" w:w="80"/>
              <w:right w:type="dxa" w:w="130"/>
            </w:tcMar>
          </w:tcPr>
          <w:p>
            <w:pPr>
              <w:spacing w:after="60" w:before="60"/>
              <w:jc w:val="center"/>
            </w:pPr>
            <w:r>
              <w:rPr>
                <w:rFonts w:ascii="Arial" w:cs="Arial" w:eastAsia="Arial" w:hAnsi="Arial"/>
                <w:b/>
                <w:bCs/>
                <w:color w:val="4472C4"/>
                <w:sz w:val="20"/>
                <w:szCs w:val="20"/>
              </w:rPr>
              <w:t xml:space="preserve">C</w:t>
            </w:r>
          </w:p>
        </w:tc>
        <w:tc>
          <w:tcPr>
            <w:tcW w:type="dxa" w:w="192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20"/>
                <w:szCs w:val="20"/>
              </w:rPr>
              <w:t xml:space="preserve">I</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Azure Update Manager</w:t>
            </w:r>
          </w:p>
        </w:tc>
        <w:tc>
          <w:tcPr>
            <w:tcW w:type="dxa" w:w="1680"/>
            <w:tcBorders>
              <w:top w:val="single" w:color="BFBFBF" w:sz="4"/>
              <w:left w:val="single" w:color="BFBFBF" w:sz="4"/>
              <w:bottom w:val="single" w:color="BFBFBF" w:sz="4"/>
              <w:right w:val="single" w:color="BFBFBF" w:sz="4"/>
            </w:tcBorders>
            <w:shd w:fill="DEEAF1" w:val="clear"/>
            <w:tcMar>
              <w:top w:type="dxa" w:w="80"/>
              <w:left w:type="dxa" w:w="130"/>
              <w:bottom w:type="dxa" w:w="80"/>
              <w:right w:type="dxa" w:w="130"/>
            </w:tcMar>
          </w:tcPr>
          <w:p>
            <w:pPr>
              <w:spacing w:after="60" w:before="60"/>
              <w:jc w:val="center"/>
            </w:pPr>
            <w:r>
              <w:rPr>
                <w:rFonts w:ascii="Arial" w:cs="Arial" w:eastAsia="Arial" w:hAnsi="Arial"/>
                <w:b/>
                <w:bCs/>
                <w:color w:val="4472C4"/>
                <w:sz w:val="20"/>
                <w:szCs w:val="20"/>
              </w:rPr>
              <w:t xml:space="preserve">C</w:t>
            </w:r>
          </w:p>
        </w:tc>
        <w:tc>
          <w:tcPr>
            <w:tcW w:type="dxa" w:w="168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tcPr>
          <w:p>
            <w:pPr>
              <w:spacing w:after="60" w:before="60"/>
              <w:jc w:val="center"/>
            </w:pPr>
            <w:r>
              <w:rPr>
                <w:rFonts w:ascii="Arial" w:cs="Arial" w:eastAsia="Arial" w:hAnsi="Arial"/>
                <w:b/>
                <w:bCs/>
                <w:color w:val="C55A11"/>
                <w:sz w:val="20"/>
                <w:szCs w:val="20"/>
              </w:rPr>
              <w:t xml:space="preserve">A</w:t>
            </w:r>
          </w:p>
        </w:tc>
        <w:tc>
          <w:tcPr>
            <w:tcW w:type="dxa" w:w="168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center"/>
            </w:pPr>
            <w:r>
              <w:rPr>
                <w:rFonts w:ascii="Arial" w:cs="Arial" w:eastAsia="Arial" w:hAnsi="Arial"/>
                <w:b/>
                <w:bCs/>
                <w:color w:val="C00000"/>
                <w:sz w:val="20"/>
                <w:szCs w:val="20"/>
              </w:rPr>
              <w:t xml:space="preserve">R</w:t>
            </w:r>
          </w:p>
        </w:tc>
        <w:tc>
          <w:tcPr>
            <w:tcW w:type="dxa" w:w="192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20"/>
                <w:szCs w:val="20"/>
              </w:rPr>
              <w:t xml:space="preserve">I</w:t>
            </w:r>
          </w:p>
        </w:tc>
      </w:tr>
      <w:tr>
        <w:tc>
          <w:tcPr>
            <w:tcW w:type="dxa" w:w="2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Adquisicion Savings Plan</w:t>
            </w:r>
          </w:p>
        </w:tc>
        <w:tc>
          <w:tcPr>
            <w:tcW w:type="dxa" w:w="1680"/>
            <w:tcBorders>
              <w:top w:val="single" w:color="BFBFBF" w:sz="4"/>
              <w:left w:val="single" w:color="BFBFBF" w:sz="4"/>
              <w:bottom w:val="single" w:color="BFBFBF" w:sz="4"/>
              <w:right w:val="single" w:color="BFBFBF" w:sz="4"/>
            </w:tcBorders>
            <w:shd w:fill="DEEAF1" w:val="clear"/>
            <w:tcMar>
              <w:top w:type="dxa" w:w="80"/>
              <w:left w:type="dxa" w:w="130"/>
              <w:bottom w:type="dxa" w:w="80"/>
              <w:right w:type="dxa" w:w="130"/>
            </w:tcMar>
          </w:tcPr>
          <w:p>
            <w:pPr>
              <w:spacing w:after="60" w:before="60"/>
              <w:jc w:val="center"/>
            </w:pPr>
            <w:r>
              <w:rPr>
                <w:rFonts w:ascii="Arial" w:cs="Arial" w:eastAsia="Arial" w:hAnsi="Arial"/>
                <w:b/>
                <w:bCs/>
                <w:color w:val="4472C4"/>
                <w:sz w:val="20"/>
                <w:szCs w:val="20"/>
              </w:rPr>
              <w:t xml:space="preserve">C</w:t>
            </w:r>
          </w:p>
        </w:tc>
        <w:tc>
          <w:tcPr>
            <w:tcW w:type="dxa" w:w="1680"/>
            <w:tcBorders>
              <w:top w:val="single" w:color="BFBFBF" w:sz="4"/>
              <w:left w:val="single" w:color="BFBFBF" w:sz="4"/>
              <w:bottom w:val="single" w:color="BFBFBF" w:sz="4"/>
              <w:right w:val="single" w:color="BFBFBF" w:sz="4"/>
            </w:tcBorders>
            <w:shd w:fill="DEEAF1" w:val="clear"/>
            <w:tcMar>
              <w:top w:type="dxa" w:w="80"/>
              <w:left w:type="dxa" w:w="130"/>
              <w:bottom w:type="dxa" w:w="80"/>
              <w:right w:type="dxa" w:w="130"/>
            </w:tcMar>
          </w:tcPr>
          <w:p>
            <w:pPr>
              <w:spacing w:after="60" w:before="60"/>
              <w:jc w:val="center"/>
            </w:pPr>
            <w:r>
              <w:rPr>
                <w:rFonts w:ascii="Arial" w:cs="Arial" w:eastAsia="Arial" w:hAnsi="Arial"/>
                <w:b/>
                <w:bCs/>
                <w:color w:val="4472C4"/>
                <w:sz w:val="20"/>
                <w:szCs w:val="20"/>
              </w:rPr>
              <w:t xml:space="preserve">C</w:t>
            </w:r>
          </w:p>
        </w:tc>
        <w:tc>
          <w:tcPr>
            <w:tcW w:type="dxa" w:w="168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tcPr>
          <w:p>
            <w:pPr>
              <w:spacing w:after="60" w:before="60"/>
              <w:jc w:val="center"/>
            </w:pPr>
            <w:r>
              <w:rPr>
                <w:rFonts w:ascii="Arial" w:cs="Arial" w:eastAsia="Arial" w:hAnsi="Arial"/>
                <w:b/>
                <w:bCs/>
                <w:color w:val="C55A11"/>
                <w:sz w:val="20"/>
                <w:szCs w:val="20"/>
              </w:rPr>
              <w:t xml:space="preserve">A</w:t>
            </w:r>
          </w:p>
        </w:tc>
        <w:tc>
          <w:tcPr>
            <w:tcW w:type="dxa" w:w="192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center"/>
            </w:pPr>
            <w:r>
              <w:rPr>
                <w:rFonts w:ascii="Arial" w:cs="Arial" w:eastAsia="Arial" w:hAnsi="Arial"/>
                <w:b/>
                <w:bCs/>
                <w:color w:val="C00000"/>
                <w:sz w:val="20"/>
                <w:szCs w:val="20"/>
              </w:rPr>
              <w:t xml:space="preserve">R</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Reserved Instances</w:t>
            </w:r>
          </w:p>
        </w:tc>
        <w:tc>
          <w:tcPr>
            <w:tcW w:type="dxa" w:w="1680"/>
            <w:tcBorders>
              <w:top w:val="single" w:color="BFBFBF" w:sz="4"/>
              <w:left w:val="single" w:color="BFBFBF" w:sz="4"/>
              <w:bottom w:val="single" w:color="BFBFBF" w:sz="4"/>
              <w:right w:val="single" w:color="BFBFBF" w:sz="4"/>
            </w:tcBorders>
            <w:shd w:fill="DEEAF1" w:val="clear"/>
            <w:tcMar>
              <w:top w:type="dxa" w:w="80"/>
              <w:left w:type="dxa" w:w="130"/>
              <w:bottom w:type="dxa" w:w="80"/>
              <w:right w:type="dxa" w:w="130"/>
            </w:tcMar>
          </w:tcPr>
          <w:p>
            <w:pPr>
              <w:spacing w:after="60" w:before="60"/>
              <w:jc w:val="center"/>
            </w:pPr>
            <w:r>
              <w:rPr>
                <w:rFonts w:ascii="Arial" w:cs="Arial" w:eastAsia="Arial" w:hAnsi="Arial"/>
                <w:b/>
                <w:bCs/>
                <w:color w:val="4472C4"/>
                <w:sz w:val="20"/>
                <w:szCs w:val="20"/>
              </w:rPr>
              <w:t xml:space="preserve">C</w:t>
            </w:r>
          </w:p>
        </w:tc>
        <w:tc>
          <w:tcPr>
            <w:tcW w:type="dxa" w:w="1680"/>
            <w:tcBorders>
              <w:top w:val="single" w:color="BFBFBF" w:sz="4"/>
              <w:left w:val="single" w:color="BFBFBF" w:sz="4"/>
              <w:bottom w:val="single" w:color="BFBFBF" w:sz="4"/>
              <w:right w:val="single" w:color="BFBFBF" w:sz="4"/>
            </w:tcBorders>
            <w:shd w:fill="DEEAF1" w:val="clear"/>
            <w:tcMar>
              <w:top w:type="dxa" w:w="80"/>
              <w:left w:type="dxa" w:w="130"/>
              <w:bottom w:type="dxa" w:w="80"/>
              <w:right w:type="dxa" w:w="130"/>
            </w:tcMar>
          </w:tcPr>
          <w:p>
            <w:pPr>
              <w:spacing w:after="60" w:before="60"/>
              <w:jc w:val="center"/>
            </w:pPr>
            <w:r>
              <w:rPr>
                <w:rFonts w:ascii="Arial" w:cs="Arial" w:eastAsia="Arial" w:hAnsi="Arial"/>
                <w:b/>
                <w:bCs/>
                <w:color w:val="4472C4"/>
                <w:sz w:val="20"/>
                <w:szCs w:val="20"/>
              </w:rPr>
              <w:t xml:space="preserve">C</w:t>
            </w:r>
          </w:p>
        </w:tc>
        <w:tc>
          <w:tcPr>
            <w:tcW w:type="dxa" w:w="168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tcPr>
          <w:p>
            <w:pPr>
              <w:spacing w:after="60" w:before="60"/>
              <w:jc w:val="center"/>
            </w:pPr>
            <w:r>
              <w:rPr>
                <w:rFonts w:ascii="Arial" w:cs="Arial" w:eastAsia="Arial" w:hAnsi="Arial"/>
                <w:b/>
                <w:bCs/>
                <w:color w:val="C55A11"/>
                <w:sz w:val="20"/>
                <w:szCs w:val="20"/>
              </w:rPr>
              <w:t xml:space="preserve">A</w:t>
            </w:r>
          </w:p>
        </w:tc>
        <w:tc>
          <w:tcPr>
            <w:tcW w:type="dxa" w:w="192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center"/>
            </w:pPr>
            <w:r>
              <w:rPr>
                <w:rFonts w:ascii="Arial" w:cs="Arial" w:eastAsia="Arial" w:hAnsi="Arial"/>
                <w:b/>
                <w:bCs/>
                <w:color w:val="C00000"/>
                <w:sz w:val="20"/>
                <w:szCs w:val="20"/>
              </w:rPr>
              <w:t xml:space="preserve">R</w:t>
            </w:r>
          </w:p>
        </w:tc>
      </w:tr>
      <w:tr>
        <w:tc>
          <w:tcPr>
            <w:tcW w:type="dxa" w:w="2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Alineacion de discos con AZ</w:t>
            </w:r>
          </w:p>
        </w:tc>
        <w:tc>
          <w:tcPr>
            <w:tcW w:type="dxa" w:w="168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center"/>
            </w:pPr>
            <w:r>
              <w:rPr>
                <w:rFonts w:ascii="Arial" w:cs="Arial" w:eastAsia="Arial" w:hAnsi="Arial"/>
                <w:b/>
                <w:bCs/>
                <w:color w:val="C00000"/>
                <w:sz w:val="20"/>
                <w:szCs w:val="20"/>
              </w:rPr>
              <w:t xml:space="preserve">R</w:t>
            </w:r>
          </w:p>
        </w:tc>
        <w:tc>
          <w:tcPr>
            <w:tcW w:type="dxa" w:w="168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tcPr>
          <w:p>
            <w:pPr>
              <w:spacing w:after="60" w:before="60"/>
              <w:jc w:val="center"/>
            </w:pPr>
            <w:r>
              <w:rPr>
                <w:rFonts w:ascii="Arial" w:cs="Arial" w:eastAsia="Arial" w:hAnsi="Arial"/>
                <w:b/>
                <w:bCs/>
                <w:color w:val="C55A11"/>
                <w:sz w:val="20"/>
                <w:szCs w:val="20"/>
              </w:rPr>
              <w:t xml:space="preserve">A</w:t>
            </w:r>
          </w:p>
        </w:tc>
        <w:tc>
          <w:tcPr>
            <w:tcW w:type="dxa" w:w="1680"/>
            <w:tcBorders>
              <w:top w:val="single" w:color="BFBFBF" w:sz="4"/>
              <w:left w:val="single" w:color="BFBFBF" w:sz="4"/>
              <w:bottom w:val="single" w:color="BFBFBF" w:sz="4"/>
              <w:right w:val="single" w:color="BFBFBF" w:sz="4"/>
            </w:tcBorders>
            <w:shd w:fill="DEEAF1" w:val="clear"/>
            <w:tcMar>
              <w:top w:type="dxa" w:w="80"/>
              <w:left w:type="dxa" w:w="130"/>
              <w:bottom w:type="dxa" w:w="80"/>
              <w:right w:type="dxa" w:w="130"/>
            </w:tcMar>
          </w:tcPr>
          <w:p>
            <w:pPr>
              <w:spacing w:after="60" w:before="60"/>
              <w:jc w:val="center"/>
            </w:pPr>
            <w:r>
              <w:rPr>
                <w:rFonts w:ascii="Arial" w:cs="Arial" w:eastAsia="Arial" w:hAnsi="Arial"/>
                <w:b/>
                <w:bCs/>
                <w:color w:val="4472C4"/>
                <w:sz w:val="20"/>
                <w:szCs w:val="20"/>
              </w:rPr>
              <w:t xml:space="preserve">C</w:t>
            </w:r>
          </w:p>
        </w:tc>
        <w:tc>
          <w:tcPr>
            <w:tcW w:type="dxa" w:w="192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20"/>
                <w:szCs w:val="20"/>
              </w:rPr>
              <w:t xml:space="preserve">I</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Migracion VPN Gateway</w:t>
            </w:r>
          </w:p>
        </w:tc>
        <w:tc>
          <w:tcPr>
            <w:tcW w:type="dxa" w:w="168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center"/>
            </w:pPr>
            <w:r>
              <w:rPr>
                <w:rFonts w:ascii="Arial" w:cs="Arial" w:eastAsia="Arial" w:hAnsi="Arial"/>
                <w:b/>
                <w:bCs/>
                <w:color w:val="C00000"/>
                <w:sz w:val="20"/>
                <w:szCs w:val="20"/>
              </w:rPr>
              <w:t xml:space="preserve">R</w:t>
            </w:r>
          </w:p>
        </w:tc>
        <w:tc>
          <w:tcPr>
            <w:tcW w:type="dxa" w:w="168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tcPr>
          <w:p>
            <w:pPr>
              <w:spacing w:after="60" w:before="60"/>
              <w:jc w:val="center"/>
            </w:pPr>
            <w:r>
              <w:rPr>
                <w:rFonts w:ascii="Arial" w:cs="Arial" w:eastAsia="Arial" w:hAnsi="Arial"/>
                <w:b/>
                <w:bCs/>
                <w:color w:val="C55A11"/>
                <w:sz w:val="20"/>
                <w:szCs w:val="20"/>
              </w:rPr>
              <w:t xml:space="preserve">A</w:t>
            </w:r>
          </w:p>
        </w:tc>
        <w:tc>
          <w:tcPr>
            <w:tcW w:type="dxa" w:w="1680"/>
            <w:tcBorders>
              <w:top w:val="single" w:color="BFBFBF" w:sz="4"/>
              <w:left w:val="single" w:color="BFBFBF" w:sz="4"/>
              <w:bottom w:val="single" w:color="BFBFBF" w:sz="4"/>
              <w:right w:val="single" w:color="BFBFBF" w:sz="4"/>
            </w:tcBorders>
            <w:shd w:fill="DEEAF1" w:val="clear"/>
            <w:tcMar>
              <w:top w:type="dxa" w:w="80"/>
              <w:left w:type="dxa" w:w="130"/>
              <w:bottom w:type="dxa" w:w="80"/>
              <w:right w:type="dxa" w:w="130"/>
            </w:tcMar>
          </w:tcPr>
          <w:p>
            <w:pPr>
              <w:spacing w:after="60" w:before="60"/>
              <w:jc w:val="center"/>
            </w:pPr>
            <w:r>
              <w:rPr>
                <w:rFonts w:ascii="Arial" w:cs="Arial" w:eastAsia="Arial" w:hAnsi="Arial"/>
                <w:b/>
                <w:bCs/>
                <w:color w:val="4472C4"/>
                <w:sz w:val="20"/>
                <w:szCs w:val="20"/>
              </w:rPr>
              <w:t xml:space="preserve">C</w:t>
            </w:r>
          </w:p>
        </w:tc>
        <w:tc>
          <w:tcPr>
            <w:tcW w:type="dxa" w:w="192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20"/>
                <w:szCs w:val="20"/>
              </w:rPr>
              <w:t xml:space="preserve">I</w:t>
            </w:r>
          </w:p>
        </w:tc>
      </w:tr>
      <w:tr>
        <w:tc>
          <w:tcPr>
            <w:tcW w:type="dxa" w:w="2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SQL VMs en zonas de disponibilidad</w:t>
            </w:r>
          </w:p>
        </w:tc>
        <w:tc>
          <w:tcPr>
            <w:tcW w:type="dxa" w:w="168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center"/>
            </w:pPr>
            <w:r>
              <w:rPr>
                <w:rFonts w:ascii="Arial" w:cs="Arial" w:eastAsia="Arial" w:hAnsi="Arial"/>
                <w:b/>
                <w:bCs/>
                <w:color w:val="C00000"/>
                <w:sz w:val="20"/>
                <w:szCs w:val="20"/>
              </w:rPr>
              <w:t xml:space="preserve">R</w:t>
            </w:r>
          </w:p>
        </w:tc>
        <w:tc>
          <w:tcPr>
            <w:tcW w:type="dxa" w:w="168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tcPr>
          <w:p>
            <w:pPr>
              <w:spacing w:after="60" w:before="60"/>
              <w:jc w:val="center"/>
            </w:pPr>
            <w:r>
              <w:rPr>
                <w:rFonts w:ascii="Arial" w:cs="Arial" w:eastAsia="Arial" w:hAnsi="Arial"/>
                <w:b/>
                <w:bCs/>
                <w:color w:val="C55A11"/>
                <w:sz w:val="20"/>
                <w:szCs w:val="20"/>
              </w:rPr>
              <w:t xml:space="preserve">A</w:t>
            </w:r>
          </w:p>
        </w:tc>
        <w:tc>
          <w:tcPr>
            <w:tcW w:type="dxa" w:w="1680"/>
            <w:tcBorders>
              <w:top w:val="single" w:color="BFBFBF" w:sz="4"/>
              <w:left w:val="single" w:color="BFBFBF" w:sz="4"/>
              <w:bottom w:val="single" w:color="BFBFBF" w:sz="4"/>
              <w:right w:val="single" w:color="BFBFBF" w:sz="4"/>
            </w:tcBorders>
            <w:shd w:fill="DEEAF1" w:val="clear"/>
            <w:tcMar>
              <w:top w:type="dxa" w:w="80"/>
              <w:left w:type="dxa" w:w="130"/>
              <w:bottom w:type="dxa" w:w="80"/>
              <w:right w:type="dxa" w:w="130"/>
            </w:tcMar>
          </w:tcPr>
          <w:p>
            <w:pPr>
              <w:spacing w:after="60" w:before="60"/>
              <w:jc w:val="center"/>
            </w:pPr>
            <w:r>
              <w:rPr>
                <w:rFonts w:ascii="Arial" w:cs="Arial" w:eastAsia="Arial" w:hAnsi="Arial"/>
                <w:b/>
                <w:bCs/>
                <w:color w:val="4472C4"/>
                <w:sz w:val="20"/>
                <w:szCs w:val="20"/>
              </w:rPr>
              <w:t xml:space="preserve">C</w:t>
            </w:r>
          </w:p>
        </w:tc>
        <w:tc>
          <w:tcPr>
            <w:tcW w:type="dxa" w:w="192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20"/>
                <w:szCs w:val="20"/>
              </w:rPr>
              <w:t xml:space="preserve">I</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Habilitacion ZRS en Storage</w:t>
            </w:r>
          </w:p>
        </w:tc>
        <w:tc>
          <w:tcPr>
            <w:tcW w:type="dxa" w:w="1680"/>
            <w:tcBorders>
              <w:top w:val="single" w:color="BFBFBF" w:sz="4"/>
              <w:left w:val="single" w:color="BFBFBF" w:sz="4"/>
              <w:bottom w:val="single" w:color="BFBFBF" w:sz="4"/>
              <w:right w:val="single" w:color="BFBFBF" w:sz="4"/>
            </w:tcBorders>
            <w:shd w:fill="DEEAF1" w:val="clear"/>
            <w:tcMar>
              <w:top w:type="dxa" w:w="80"/>
              <w:left w:type="dxa" w:w="130"/>
              <w:bottom w:type="dxa" w:w="80"/>
              <w:right w:type="dxa" w:w="130"/>
            </w:tcMar>
          </w:tcPr>
          <w:p>
            <w:pPr>
              <w:spacing w:after="60" w:before="60"/>
              <w:jc w:val="center"/>
            </w:pPr>
            <w:r>
              <w:rPr>
                <w:rFonts w:ascii="Arial" w:cs="Arial" w:eastAsia="Arial" w:hAnsi="Arial"/>
                <w:b/>
                <w:bCs/>
                <w:color w:val="4472C4"/>
                <w:sz w:val="20"/>
                <w:szCs w:val="20"/>
              </w:rPr>
              <w:t xml:space="preserve">C</w:t>
            </w:r>
          </w:p>
        </w:tc>
        <w:tc>
          <w:tcPr>
            <w:tcW w:type="dxa" w:w="168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tcPr>
          <w:p>
            <w:pPr>
              <w:spacing w:after="60" w:before="60"/>
              <w:jc w:val="center"/>
            </w:pPr>
            <w:r>
              <w:rPr>
                <w:rFonts w:ascii="Arial" w:cs="Arial" w:eastAsia="Arial" w:hAnsi="Arial"/>
                <w:b/>
                <w:bCs/>
                <w:color w:val="C55A11"/>
                <w:sz w:val="20"/>
                <w:szCs w:val="20"/>
              </w:rPr>
              <w:t xml:space="preserve">A</w:t>
            </w:r>
          </w:p>
        </w:tc>
        <w:tc>
          <w:tcPr>
            <w:tcW w:type="dxa" w:w="168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center"/>
            </w:pPr>
            <w:r>
              <w:rPr>
                <w:rFonts w:ascii="Arial" w:cs="Arial" w:eastAsia="Arial" w:hAnsi="Arial"/>
                <w:b/>
                <w:bCs/>
                <w:color w:val="C00000"/>
                <w:sz w:val="20"/>
                <w:szCs w:val="20"/>
              </w:rPr>
              <w:t xml:space="preserve">R</w:t>
            </w:r>
          </w:p>
        </w:tc>
        <w:tc>
          <w:tcPr>
            <w:tcW w:type="dxa" w:w="192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20"/>
                <w:szCs w:val="20"/>
              </w:rPr>
              <w:t xml:space="preserve">I</w:t>
            </w:r>
          </w:p>
        </w:tc>
      </w:tr>
      <w:tr>
        <w:tc>
          <w:tcPr>
            <w:tcW w:type="dxa" w:w="2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Migracion a VMSS Flex</w:t>
            </w:r>
          </w:p>
        </w:tc>
        <w:tc>
          <w:tcPr>
            <w:tcW w:type="dxa" w:w="168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center"/>
            </w:pPr>
            <w:r>
              <w:rPr>
                <w:rFonts w:ascii="Arial" w:cs="Arial" w:eastAsia="Arial" w:hAnsi="Arial"/>
                <w:b/>
                <w:bCs/>
                <w:color w:val="C00000"/>
                <w:sz w:val="20"/>
                <w:szCs w:val="20"/>
              </w:rPr>
              <w:t xml:space="preserve">R</w:t>
            </w:r>
          </w:p>
        </w:tc>
        <w:tc>
          <w:tcPr>
            <w:tcW w:type="dxa" w:w="168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tcPr>
          <w:p>
            <w:pPr>
              <w:spacing w:after="60" w:before="60"/>
              <w:jc w:val="center"/>
            </w:pPr>
            <w:r>
              <w:rPr>
                <w:rFonts w:ascii="Arial" w:cs="Arial" w:eastAsia="Arial" w:hAnsi="Arial"/>
                <w:b/>
                <w:bCs/>
                <w:color w:val="C55A11"/>
                <w:sz w:val="20"/>
                <w:szCs w:val="20"/>
              </w:rPr>
              <w:t xml:space="preserve">A</w:t>
            </w:r>
          </w:p>
        </w:tc>
        <w:tc>
          <w:tcPr>
            <w:tcW w:type="dxa" w:w="1680"/>
            <w:tcBorders>
              <w:top w:val="single" w:color="BFBFBF" w:sz="4"/>
              <w:left w:val="single" w:color="BFBFBF" w:sz="4"/>
              <w:bottom w:val="single" w:color="BFBFBF" w:sz="4"/>
              <w:right w:val="single" w:color="BFBFBF" w:sz="4"/>
            </w:tcBorders>
            <w:shd w:fill="DEEAF1" w:val="clear"/>
            <w:tcMar>
              <w:top w:type="dxa" w:w="80"/>
              <w:left w:type="dxa" w:w="130"/>
              <w:bottom w:type="dxa" w:w="80"/>
              <w:right w:type="dxa" w:w="130"/>
            </w:tcMar>
          </w:tcPr>
          <w:p>
            <w:pPr>
              <w:spacing w:after="60" w:before="60"/>
              <w:jc w:val="center"/>
            </w:pPr>
            <w:r>
              <w:rPr>
                <w:rFonts w:ascii="Arial" w:cs="Arial" w:eastAsia="Arial" w:hAnsi="Arial"/>
                <w:b/>
                <w:bCs/>
                <w:color w:val="4472C4"/>
                <w:sz w:val="20"/>
                <w:szCs w:val="20"/>
              </w:rPr>
              <w:t xml:space="preserve">C</w:t>
            </w:r>
          </w:p>
        </w:tc>
        <w:tc>
          <w:tcPr>
            <w:tcW w:type="dxa" w:w="192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20"/>
                <w:szCs w:val="20"/>
              </w:rPr>
              <w:t xml:space="preserve">I</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Azure Policy / Sentinel</w:t>
            </w:r>
          </w:p>
        </w:tc>
        <w:tc>
          <w:tcPr>
            <w:tcW w:type="dxa" w:w="1680"/>
            <w:tcBorders>
              <w:top w:val="single" w:color="BFBFBF" w:sz="4"/>
              <w:left w:val="single" w:color="BFBFBF" w:sz="4"/>
              <w:bottom w:val="single" w:color="BFBFBF" w:sz="4"/>
              <w:right w:val="single" w:color="BFBFBF" w:sz="4"/>
            </w:tcBorders>
            <w:shd w:fill="FCE4D6" w:val="clear"/>
            <w:tcMar>
              <w:top w:type="dxa" w:w="80"/>
              <w:left w:type="dxa" w:w="130"/>
              <w:bottom w:type="dxa" w:w="80"/>
              <w:right w:type="dxa" w:w="130"/>
            </w:tcMar>
          </w:tcPr>
          <w:p>
            <w:pPr>
              <w:spacing w:after="60" w:before="60"/>
              <w:jc w:val="center"/>
            </w:pPr>
            <w:r>
              <w:rPr>
                <w:rFonts w:ascii="Arial" w:cs="Arial" w:eastAsia="Arial" w:hAnsi="Arial"/>
                <w:b/>
                <w:bCs/>
                <w:color w:val="C00000"/>
                <w:sz w:val="20"/>
                <w:szCs w:val="20"/>
              </w:rPr>
              <w:t xml:space="preserve">R</w:t>
            </w:r>
          </w:p>
        </w:tc>
        <w:tc>
          <w:tcPr>
            <w:tcW w:type="dxa" w:w="1680"/>
            <w:tcBorders>
              <w:top w:val="single" w:color="BFBFBF" w:sz="4"/>
              <w:left w:val="single" w:color="BFBFBF" w:sz="4"/>
              <w:bottom w:val="single" w:color="BFBFBF" w:sz="4"/>
              <w:right w:val="single" w:color="BFBFBF" w:sz="4"/>
            </w:tcBorders>
            <w:shd w:fill="FFF2CC" w:val="clear"/>
            <w:tcMar>
              <w:top w:type="dxa" w:w="80"/>
              <w:left w:type="dxa" w:w="130"/>
              <w:bottom w:type="dxa" w:w="80"/>
              <w:right w:type="dxa" w:w="130"/>
            </w:tcMar>
          </w:tcPr>
          <w:p>
            <w:pPr>
              <w:spacing w:after="60" w:before="60"/>
              <w:jc w:val="center"/>
            </w:pPr>
            <w:r>
              <w:rPr>
                <w:rFonts w:ascii="Arial" w:cs="Arial" w:eastAsia="Arial" w:hAnsi="Arial"/>
                <w:b/>
                <w:bCs/>
                <w:color w:val="C55A11"/>
                <w:sz w:val="20"/>
                <w:szCs w:val="20"/>
              </w:rPr>
              <w:t xml:space="preserve">A</w:t>
            </w:r>
          </w:p>
        </w:tc>
        <w:tc>
          <w:tcPr>
            <w:tcW w:type="dxa" w:w="1680"/>
            <w:tcBorders>
              <w:top w:val="single" w:color="BFBFBF" w:sz="4"/>
              <w:left w:val="single" w:color="BFBFBF" w:sz="4"/>
              <w:bottom w:val="single" w:color="BFBFBF" w:sz="4"/>
              <w:right w:val="single" w:color="BFBFBF" w:sz="4"/>
            </w:tcBorders>
            <w:shd w:fill="DEEAF1" w:val="clear"/>
            <w:tcMar>
              <w:top w:type="dxa" w:w="80"/>
              <w:left w:type="dxa" w:w="130"/>
              <w:bottom w:type="dxa" w:w="80"/>
              <w:right w:type="dxa" w:w="130"/>
            </w:tcMar>
          </w:tcPr>
          <w:p>
            <w:pPr>
              <w:spacing w:after="60" w:before="60"/>
              <w:jc w:val="center"/>
            </w:pPr>
            <w:r>
              <w:rPr>
                <w:rFonts w:ascii="Arial" w:cs="Arial" w:eastAsia="Arial" w:hAnsi="Arial"/>
                <w:b/>
                <w:bCs/>
                <w:color w:val="4472C4"/>
                <w:sz w:val="20"/>
                <w:szCs w:val="20"/>
              </w:rPr>
              <w:t xml:space="preserve">C</w:t>
            </w:r>
          </w:p>
        </w:tc>
        <w:tc>
          <w:tcPr>
            <w:tcW w:type="dxa" w:w="1920"/>
            <w:tcBorders>
              <w:top w:val="single" w:color="BFBFBF" w:sz="4"/>
              <w:left w:val="single" w:color="BFBFBF" w:sz="4"/>
              <w:bottom w:val="single" w:color="BFBFBF" w:sz="4"/>
              <w:right w:val="single" w:color="BFBFBF" w:sz="4"/>
            </w:tcBorders>
            <w:shd w:fill="E2EFDA" w:val="clear"/>
            <w:tcMar>
              <w:top w:type="dxa" w:w="80"/>
              <w:left w:type="dxa" w:w="130"/>
              <w:bottom w:type="dxa" w:w="80"/>
              <w:right w:type="dxa" w:w="130"/>
            </w:tcMar>
          </w:tcPr>
          <w:p>
            <w:pPr>
              <w:spacing w:after="60" w:before="60"/>
              <w:jc w:val="center"/>
            </w:pPr>
            <w:r>
              <w:rPr>
                <w:rFonts w:ascii="Arial" w:cs="Arial" w:eastAsia="Arial" w:hAnsi="Arial"/>
                <w:b/>
                <w:bCs/>
                <w:color w:val="375623"/>
                <w:sz w:val="20"/>
                <w:szCs w:val="20"/>
              </w:rPr>
              <w:t xml:space="preserve">I</w:t>
            </w:r>
          </w:p>
        </w:tc>
      </w:tr>
    </w:tbl>
    <w:p>
      <w:pPr>
        <w:spacing w:after="40" w:before="40"/>
      </w:pPr>
      <w:r>
        <w:t xml:space="preserve"/>
      </w:r>
    </w:p>
    <w:p>
      <w:pPr>
        <w:pStyle w:val="Heading3"/>
        <w:spacing w:after="80" w:before="200"/>
      </w:pPr>
      <w:r>
        <w:rPr>
          <w:rFonts w:ascii="Arial" w:cs="Arial" w:eastAsia="Arial" w:hAnsi="Arial"/>
          <w:b/>
          <w:bCs/>
          <w:color w:val="1F6B75"/>
          <w:sz w:val="22"/>
          <w:szCs w:val="22"/>
        </w:rPr>
        <w:t xml:space="preserve">Descripcion de Roles</w:t>
      </w:r>
    </w:p>
    <w:p>
      <w:pPr>
        <w:pStyle w:val="ListParagraph"/>
        <w:numPr>
          <w:ilvl w:val="0"/>
          <w:numId w:val="2"/>
        </w:numPr>
        <w:spacing w:after="40" w:before="40"/>
      </w:pPr>
      <w:r>
        <w:rPr>
          <w:rFonts w:ascii="Arial" w:cs="Arial" w:eastAsia="Arial" w:hAnsi="Arial"/>
          <w:sz w:val="20"/>
          <w:szCs w:val="20"/>
        </w:rPr>
        <w:t xml:space="preserve">Lider Tecnico (Externo): Consultor Azure del partner externo. Lidera la ejecucion tecnica de las actividades de mayor complejidad.</w:t>
      </w:r>
    </w:p>
    <w:p>
      <w:pPr>
        <w:pStyle w:val="ListParagraph"/>
        <w:numPr>
          <w:ilvl w:val="0"/>
          <w:numId w:val="2"/>
        </w:numPr>
        <w:spacing w:after="40" w:before="40"/>
      </w:pPr>
      <w:r>
        <w:rPr>
          <w:rFonts w:ascii="Arial" w:cs="Arial" w:eastAsia="Arial" w:hAnsi="Arial"/>
          <w:sz w:val="20"/>
          <w:szCs w:val="20"/>
        </w:rPr>
        <w:t xml:space="preserve">Cloud Architect (Externo): Arquitecto de soluciones del partner. Aprueba los disenos y valida que se sigan las mejores practicas del Well-Architected Framework.</w:t>
      </w:r>
    </w:p>
    <w:p>
      <w:pPr>
        <w:pStyle w:val="ListParagraph"/>
        <w:numPr>
          <w:ilvl w:val="0"/>
          <w:numId w:val="2"/>
        </w:numPr>
        <w:spacing w:after="40" w:before="40"/>
      </w:pPr>
      <w:r>
        <w:rPr>
          <w:rFonts w:ascii="Arial" w:cs="Arial" w:eastAsia="Arial" w:hAnsi="Arial"/>
          <w:sz w:val="20"/>
          <w:szCs w:val="20"/>
        </w:rPr>
        <w:t xml:space="preserve">TI Interno: Equipo de infraestructura y operaciones del tenant. Ejecuta cambios de configuracion y coordina las ventanas de mantenimiento.</w:t>
      </w:r>
    </w:p>
    <w:p>
      <w:pPr>
        <w:pStyle w:val="ListParagraph"/>
        <w:numPr>
          <w:ilvl w:val="0"/>
          <w:numId w:val="2"/>
        </w:numPr>
        <w:spacing w:after="40" w:before="40"/>
      </w:pPr>
      <w:r>
        <w:rPr>
          <w:rFonts w:ascii="Arial" w:cs="Arial" w:eastAsia="Arial" w:hAnsi="Arial"/>
          <w:sz w:val="20"/>
          <w:szCs w:val="20"/>
        </w:rPr>
        <w:t xml:space="preserve">Finanzas / Directivo: Area financiera o direccion general. Aprueba compromisos de gasto (Savings Plan, Reserved Instances).</w:t>
      </w:r>
    </w:p>
    <w:p>
      <w:pPr>
        <w:spacing w:after="40" w:before="40"/>
      </w:pPr>
      <w:r>
        <w:t xml:space="preserve"/>
      </w:r>
    </w:p>
    <w:p>
      <w:r>
        <w:br w:type="page"/>
      </w:r>
    </w:p>
    <w:p>
      <w:pPr>
        <w:pStyle w:val="Heading1"/>
        <w:pBdr>
          <w:bottom w:val="single" w:color="0078D4" w:sz="8" w:space="4"/>
        </w:pBdr>
        <w:spacing w:after="120" w:before="400"/>
      </w:pPr>
      <w:r>
        <w:rPr>
          <w:rFonts w:ascii="Arial" w:cs="Arial" w:eastAsia="Arial" w:hAnsi="Arial"/>
          <w:b/>
          <w:bCs/>
          <w:color w:val="1F3864"/>
          <w:sz w:val="32"/>
          <w:szCs w:val="32"/>
        </w:rPr>
        <w:t xml:space="preserve">5. Indicadores Clave de Exito (KPIs)</w:t>
      </w:r>
    </w:p>
    <w:p>
      <w:pPr>
        <w:spacing w:after="60" w:before="60"/>
        <w:jc w:val="left"/>
      </w:pPr>
      <w:r>
        <w:rPr>
          <w:rFonts w:ascii="Arial" w:cs="Arial" w:eastAsia="Arial" w:hAnsi="Arial"/>
          <w:b w:val="false"/>
          <w:bCs w:val="false"/>
          <w:color w:val="000000"/>
          <w:sz w:val="20"/>
          <w:szCs w:val="20"/>
        </w:rPr>
        <w:t xml:space="preserve">Los siguientes indicadores permiten medir el avance del plan de implementacion y el impacto de las acciones ejecutadas. Se recomienda revisar el Advisor Score semanalmente como principal termometro de progreso.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1680"/>
        <w:gridCol w:w="1680"/>
      </w:tblGrid>
      <w:tr>
        <w:tc>
          <w:tcPr>
            <w:tcW w:type="dxa" w:w="18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Indicador (KPI)</w:t>
            </w:r>
          </w:p>
        </w:tc>
        <w:tc>
          <w:tcPr>
            <w:tcW w:type="dxa" w:w="24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Descripcion</w:t>
            </w:r>
          </w:p>
        </w:tc>
        <w:tc>
          <w:tcPr>
            <w:tcW w:type="dxa" w:w="180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Meta</w:t>
            </w:r>
          </w:p>
        </w:tc>
        <w:tc>
          <w:tcPr>
            <w:tcW w:type="dxa" w:w="168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Frecuencia
medicion</w:t>
            </w:r>
          </w:p>
        </w:tc>
        <w:tc>
          <w:tcPr>
            <w:tcW w:type="dxa" w:w="1680"/>
            <w:tcBorders>
              <w:top w:val="single" w:color="BFBFBF" w:sz="4"/>
              <w:left w:val="single" w:color="BFBFBF" w:sz="4"/>
              <w:bottom w:val="single" w:color="BFBFBF" w:sz="4"/>
              <w:right w:val="single" w:color="BFBFBF" w:sz="4"/>
            </w:tcBorders>
            <w:shd w:fill="1F3864"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Responsable</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Advisor Score — Seguridad</w:t>
            </w:r>
          </w:p>
        </w:tc>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Porcentaje de recomendaciones de seguridad resueltas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000000"/>
                <w:sz w:val="20"/>
                <w:szCs w:val="20"/>
              </w:rPr>
              <w:t xml:space="preserve">&gt;= 80% al dia 30</w:t>
            </w:r>
          </w:p>
        </w:tc>
        <w:tc>
          <w:tcPr>
            <w:tcW w:type="dxa" w:w="168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Semanal</w:t>
            </w:r>
          </w:p>
        </w:tc>
        <w:tc>
          <w:tcPr>
            <w:tcW w:type="dxa" w:w="168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TI Interno</w:t>
            </w:r>
          </w:p>
        </w:tc>
      </w:tr>
      <w:tr>
        <w:tc>
          <w:tcPr>
            <w:tcW w:type="dxa" w:w="18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Advisor Score — Confiabilidad</w:t>
            </w:r>
          </w:p>
        </w:tc>
        <w:tc>
          <w:tcPr>
            <w:tcW w:type="dxa" w:w="2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Porcentaje de recomendaciones de confiabilidad resueltas</w:t>
            </w:r>
          </w:p>
        </w:tc>
        <w:tc>
          <w:tcPr>
            <w:tcW w:type="dxa" w:w="18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000000"/>
                <w:sz w:val="20"/>
                <w:szCs w:val="20"/>
              </w:rPr>
              <w:t xml:space="preserve">&gt;= 70% al dia 60</w:t>
            </w:r>
          </w:p>
        </w:tc>
        <w:tc>
          <w:tcPr>
            <w:tcW w:type="dxa" w:w="168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Semanal</w:t>
            </w:r>
          </w:p>
        </w:tc>
        <w:tc>
          <w:tcPr>
            <w:tcW w:type="dxa" w:w="168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TI Interno</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Secure Score Defender</w:t>
            </w:r>
          </w:p>
        </w:tc>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Puntuacion de postura de seguridad en Defender for Cloud</w:t>
            </w:r>
          </w:p>
        </w:tc>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000000"/>
                <w:sz w:val="20"/>
                <w:szCs w:val="20"/>
              </w:rPr>
              <w:t xml:space="preserve">&gt;= 75% al dia 30</w:t>
            </w:r>
          </w:p>
        </w:tc>
        <w:tc>
          <w:tcPr>
            <w:tcW w:type="dxa" w:w="168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Semanal</w:t>
            </w:r>
          </w:p>
        </w:tc>
        <w:tc>
          <w:tcPr>
            <w:tcW w:type="dxa" w:w="168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Externo</w:t>
            </w:r>
          </w:p>
        </w:tc>
      </w:tr>
      <w:tr>
        <w:tc>
          <w:tcPr>
            <w:tcW w:type="dxa" w:w="18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Recomendaciones Alto impacto</w:t>
            </w:r>
          </w:p>
        </w:tc>
        <w:tc>
          <w:tcPr>
            <w:tcW w:type="dxa" w:w="2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Numero de recomendaciones de impacto Alto pendientes</w:t>
            </w:r>
          </w:p>
        </w:tc>
        <w:tc>
          <w:tcPr>
            <w:tcW w:type="dxa" w:w="18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000000"/>
                <w:sz w:val="20"/>
                <w:szCs w:val="20"/>
              </w:rPr>
              <w:t xml:space="preserve">0 al dia 60</w:t>
            </w:r>
          </w:p>
        </w:tc>
        <w:tc>
          <w:tcPr>
            <w:tcW w:type="dxa" w:w="168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Semanal</w:t>
            </w:r>
          </w:p>
        </w:tc>
        <w:tc>
          <w:tcPr>
            <w:tcW w:type="dxa" w:w="168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Ambos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Ahorro acumulado</w:t>
            </w:r>
          </w:p>
        </w:tc>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USD ahorrados vs. consumo base (post Savings Plan + RI)</w:t>
            </w:r>
          </w:p>
        </w:tc>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000000"/>
                <w:sz w:val="20"/>
                <w:szCs w:val="20"/>
              </w:rPr>
              <w:t xml:space="preserve">&gt;= $15,000/año</w:t>
            </w:r>
          </w:p>
        </w:tc>
        <w:tc>
          <w:tcPr>
            <w:tcW w:type="dxa" w:w="168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Mensual</w:t>
            </w:r>
          </w:p>
        </w:tc>
        <w:tc>
          <w:tcPr>
            <w:tcW w:type="dxa" w:w="168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TI / Finanzas</w:t>
            </w:r>
          </w:p>
        </w:tc>
      </w:tr>
      <w:tr>
        <w:tc>
          <w:tcPr>
            <w:tcW w:type="dxa" w:w="18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VMs con cifrado activo</w:t>
            </w:r>
          </w:p>
        </w:tc>
        <w:tc>
          <w:tcPr>
            <w:tcW w:type="dxa" w:w="2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Porcentaje de VMs con ADE o EncryptionAtHost habilitado</w:t>
            </w:r>
          </w:p>
        </w:tc>
        <w:tc>
          <w:tcPr>
            <w:tcW w:type="dxa" w:w="18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000000"/>
                <w:sz w:val="20"/>
                <w:szCs w:val="20"/>
              </w:rPr>
              <w:t xml:space="preserve">100% al dia 14</w:t>
            </w:r>
          </w:p>
        </w:tc>
        <w:tc>
          <w:tcPr>
            <w:tcW w:type="dxa" w:w="168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Unica vez</w:t>
            </w:r>
          </w:p>
        </w:tc>
        <w:tc>
          <w:tcPr>
            <w:tcW w:type="dxa" w:w="168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Externo</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VMs con VM Insights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Porcentaje de VMs con agente Azure Monitor activo</w:t>
            </w:r>
          </w:p>
        </w:tc>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000000"/>
                <w:sz w:val="20"/>
                <w:szCs w:val="20"/>
              </w:rPr>
              <w:t xml:space="preserve">100% al dia 30</w:t>
            </w:r>
          </w:p>
        </w:tc>
        <w:tc>
          <w:tcPr>
            <w:tcW w:type="dxa" w:w="168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Unica vez</w:t>
            </w:r>
          </w:p>
        </w:tc>
        <w:tc>
          <w:tcPr>
            <w:tcW w:type="dxa" w:w="168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Mixto</w:t>
            </w:r>
          </w:p>
        </w:tc>
      </w:tr>
      <w:tr>
        <w:tc>
          <w:tcPr>
            <w:tcW w:type="dxa" w:w="18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Discos alineados con AZ</w:t>
            </w:r>
          </w:p>
        </w:tc>
        <w:tc>
          <w:tcPr>
            <w:tcW w:type="dxa" w:w="2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Porcentaje de discos en la misma zona que su VM</w:t>
            </w:r>
          </w:p>
        </w:tc>
        <w:tc>
          <w:tcPr>
            <w:tcW w:type="dxa" w:w="18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000000"/>
                <w:sz w:val="20"/>
                <w:szCs w:val="20"/>
              </w:rPr>
              <w:t xml:space="preserve">100% al dia 45</w:t>
            </w:r>
          </w:p>
        </w:tc>
        <w:tc>
          <w:tcPr>
            <w:tcW w:type="dxa" w:w="168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Quincenal</w:t>
            </w:r>
          </w:p>
        </w:tc>
        <w:tc>
          <w:tcPr>
            <w:tcW w:type="dxa" w:w="168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Externo</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Incidentes de seguridad</w:t>
            </w:r>
          </w:p>
        </w:tc>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Alertas criticas generadas en Defender for Cloud</w:t>
            </w:r>
          </w:p>
        </w:tc>
        <w:tc>
          <w:tcPr>
            <w:tcW w:type="dxa" w:w="18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000000"/>
                <w:sz w:val="20"/>
                <w:szCs w:val="20"/>
              </w:rPr>
              <w:t xml:space="preserve">0 criticos sin respuesta en 24h</w:t>
            </w:r>
          </w:p>
        </w:tc>
        <w:tc>
          <w:tcPr>
            <w:tcW w:type="dxa" w:w="168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Diaria</w:t>
            </w:r>
          </w:p>
        </w:tc>
        <w:tc>
          <w:tcPr>
            <w:tcW w:type="dxa" w:w="168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TI Interno</w:t>
            </w:r>
          </w:p>
        </w:tc>
      </w:tr>
    </w:tbl>
    <w:p>
      <w:pPr>
        <w:spacing w:after="40" w:before="40"/>
      </w:pPr>
      <w:r>
        <w:t xml:space="preserve"/>
      </w:r>
    </w:p>
    <w:p>
      <w:pPr>
        <w:pStyle w:val="Heading3"/>
        <w:spacing w:after="80" w:before="200"/>
      </w:pPr>
      <w:r>
        <w:rPr>
          <w:rFonts w:ascii="Arial" w:cs="Arial" w:eastAsia="Arial" w:hAnsi="Arial"/>
          <w:b/>
          <w:bCs/>
          <w:color w:val="1F6B75"/>
          <w:sz w:val="22"/>
          <w:szCs w:val="22"/>
        </w:rPr>
        <w:t xml:space="preserve">Herramientas de Medicion</w:t>
      </w:r>
    </w:p>
    <w:p>
      <w:pPr>
        <w:pStyle w:val="ListParagraph"/>
        <w:numPr>
          <w:ilvl w:val="0"/>
          <w:numId w:val="2"/>
        </w:numPr>
        <w:spacing w:after="40" w:before="40"/>
      </w:pPr>
      <w:r>
        <w:rPr>
          <w:rFonts w:ascii="Arial" w:cs="Arial" w:eastAsia="Arial" w:hAnsi="Arial"/>
          <w:sz w:val="20"/>
          <w:szCs w:val="20"/>
        </w:rPr>
        <w:t xml:space="preserve">Azure Advisor: Advisor Score por categoria (Seguridad, Confiabilidad, Costo, Excelencia Operativa). Disponible en Azure Portal &gt; Advisor &gt; Puntuacion.</w:t>
      </w:r>
    </w:p>
    <w:p>
      <w:pPr>
        <w:pStyle w:val="ListParagraph"/>
        <w:numPr>
          <w:ilvl w:val="0"/>
          <w:numId w:val="2"/>
        </w:numPr>
        <w:spacing w:after="40" w:before="40"/>
      </w:pPr>
      <w:r>
        <w:rPr>
          <w:rFonts w:ascii="Arial" w:cs="Arial" w:eastAsia="Arial" w:hAnsi="Arial"/>
          <w:sz w:val="20"/>
          <w:szCs w:val="20"/>
        </w:rPr>
        <w:t xml:space="preserve">Microsoft Defender for Cloud: Secure Score (porcentaje de controles de seguridad cumplidos). Portal &gt; Defender for Cloud &gt; Secure Score.</w:t>
      </w:r>
    </w:p>
    <w:p>
      <w:pPr>
        <w:pStyle w:val="ListParagraph"/>
        <w:numPr>
          <w:ilvl w:val="0"/>
          <w:numId w:val="2"/>
        </w:numPr>
        <w:spacing w:after="40" w:before="40"/>
      </w:pPr>
      <w:r>
        <w:rPr>
          <w:rFonts w:ascii="Arial" w:cs="Arial" w:eastAsia="Arial" w:hAnsi="Arial"/>
          <w:sz w:val="20"/>
          <w:szCs w:val="20"/>
        </w:rPr>
        <w:t xml:space="preserve">Azure Cost Management: Analisis de costo real vs. costo proyectado y utilizacion de Savings Plan / Reserved Instances.</w:t>
      </w:r>
    </w:p>
    <w:p>
      <w:pPr>
        <w:pStyle w:val="ListParagraph"/>
        <w:numPr>
          <w:ilvl w:val="0"/>
          <w:numId w:val="2"/>
        </w:numPr>
        <w:spacing w:after="40" w:before="40"/>
      </w:pPr>
      <w:r>
        <w:rPr>
          <w:rFonts w:ascii="Arial" w:cs="Arial" w:eastAsia="Arial" w:hAnsi="Arial"/>
          <w:sz w:val="20"/>
          <w:szCs w:val="20"/>
        </w:rPr>
        <w:t xml:space="preserve">Azure Monitor: Alertas activas, metricas de VM Insights, logs de auditoria y estado de actualizaciones.</w:t>
      </w:r>
    </w:p>
    <w:p>
      <w:pPr>
        <w:spacing w:after="40" w:before="40"/>
      </w:pPr>
      <w:r>
        <w:t xml:space="preserve"/>
      </w:r>
    </w:p>
    <w:p>
      <w:r>
        <w:br w:type="page"/>
      </w:r>
    </w:p>
    <w:p>
      <w:pPr>
        <w:pStyle w:val="Heading1"/>
        <w:pBdr>
          <w:bottom w:val="single" w:color="0078D4" w:sz="8" w:space="4"/>
        </w:pBdr>
        <w:spacing w:after="120" w:before="400"/>
      </w:pPr>
      <w:r>
        <w:rPr>
          <w:rFonts w:ascii="Arial" w:cs="Arial" w:eastAsia="Arial" w:hAnsi="Arial"/>
          <w:b/>
          <w:bCs/>
          <w:color w:val="1F3864"/>
          <w:sz w:val="32"/>
          <w:szCs w:val="32"/>
        </w:rPr>
        <w:t xml:space="preserve">6. Gestion de Riesgos</w:t>
      </w:r>
    </w:p>
    <w:p>
      <w:pPr>
        <w:spacing w:after="60" w:before="60"/>
        <w:jc w:val="left"/>
      </w:pPr>
      <w:r>
        <w:rPr>
          <w:rFonts w:ascii="Arial" w:cs="Arial" w:eastAsia="Arial" w:hAnsi="Arial"/>
          <w:b w:val="false"/>
          <w:bCs w:val="false"/>
          <w:color w:val="000000"/>
          <w:sz w:val="20"/>
          <w:szCs w:val="20"/>
        </w:rPr>
        <w:t xml:space="preserve">La siguiente tabla identifica los principales riesgos asociados al plan de implementacion, su probabilidad e impacto estimados, y las acciones de mitigacion correspondientes.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400"/>
        <w:gridCol w:w="1500"/>
        <w:gridCol w:w="1500"/>
        <w:gridCol w:w="3660"/>
      </w:tblGrid>
      <w:tr>
        <w:tc>
          <w:tcPr>
            <w:tcW w:type="dxa" w:w="300"/>
            <w:tcBorders>
              <w:top w:val="single" w:color="BFBFBF" w:sz="4"/>
              <w:left w:val="single" w:color="BFBFBF" w:sz="4"/>
              <w:bottom w:val="single" w:color="BFBFBF" w:sz="4"/>
              <w:right w:val="single" w:color="BFBFBF" w:sz="4"/>
            </w:tcBorders>
            <w:shd w:fill="C00000"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w:t>
            </w:r>
          </w:p>
        </w:tc>
        <w:tc>
          <w:tcPr>
            <w:tcW w:type="dxa" w:w="2400"/>
            <w:tcBorders>
              <w:top w:val="single" w:color="BFBFBF" w:sz="4"/>
              <w:left w:val="single" w:color="BFBFBF" w:sz="4"/>
              <w:bottom w:val="single" w:color="BFBFBF" w:sz="4"/>
              <w:right w:val="single" w:color="BFBFBF" w:sz="4"/>
            </w:tcBorders>
            <w:shd w:fill="C00000"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Riesgo Identificado</w:t>
            </w:r>
          </w:p>
        </w:tc>
        <w:tc>
          <w:tcPr>
            <w:tcW w:type="dxa" w:w="1500"/>
            <w:tcBorders>
              <w:top w:val="single" w:color="BFBFBF" w:sz="4"/>
              <w:left w:val="single" w:color="BFBFBF" w:sz="4"/>
              <w:bottom w:val="single" w:color="BFBFBF" w:sz="4"/>
              <w:right w:val="single" w:color="BFBFBF" w:sz="4"/>
            </w:tcBorders>
            <w:shd w:fill="C00000"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Probabilidad</w:t>
            </w:r>
          </w:p>
        </w:tc>
        <w:tc>
          <w:tcPr>
            <w:tcW w:type="dxa" w:w="1500"/>
            <w:tcBorders>
              <w:top w:val="single" w:color="BFBFBF" w:sz="4"/>
              <w:left w:val="single" w:color="BFBFBF" w:sz="4"/>
              <w:bottom w:val="single" w:color="BFBFBF" w:sz="4"/>
              <w:right w:val="single" w:color="BFBFBF" w:sz="4"/>
            </w:tcBorders>
            <w:shd w:fill="C00000"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Impacto</w:t>
            </w:r>
          </w:p>
        </w:tc>
        <w:tc>
          <w:tcPr>
            <w:tcW w:type="dxa" w:w="3660"/>
            <w:tcBorders>
              <w:top w:val="single" w:color="BFBFBF" w:sz="4"/>
              <w:left w:val="single" w:color="BFBFBF" w:sz="4"/>
              <w:bottom w:val="single" w:color="BFBFBF" w:sz="4"/>
              <w:right w:val="single" w:color="BFBFBF" w:sz="4"/>
            </w:tcBorders>
            <w:shd w:fill="C00000" w:val="clear"/>
            <w:tcMar>
              <w:top w:type="dxa" w:w="80"/>
              <w:left w:type="dxa" w:w="130"/>
              <w:bottom w:type="dxa" w:w="80"/>
              <w:right w:type="dxa" w:w="130"/>
            </w:tcMar>
          </w:tcPr>
          <w:p>
            <w:pPr>
              <w:spacing w:after="60" w:before="60"/>
              <w:jc w:val="center"/>
            </w:pPr>
            <w:r>
              <w:rPr>
                <w:rFonts w:ascii="Arial" w:cs="Arial" w:eastAsia="Arial" w:hAnsi="Arial"/>
                <w:b/>
                <w:bCs/>
                <w:color w:val="FFFFFF"/>
                <w:sz w:val="18"/>
                <w:szCs w:val="18"/>
              </w:rPr>
              <w:t xml:space="preserve">Plan de Mitigacion</w:t>
            </w:r>
          </w:p>
        </w:tc>
      </w:tr>
      <w:tr>
        <w:tc>
          <w:tcPr>
            <w:tcW w:type="dxa" w:w="3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000000"/>
                <w:sz w:val="20"/>
                <w:szCs w:val="20"/>
              </w:rPr>
              <w:t xml:space="preserve">1</w:t>
            </w:r>
          </w:p>
        </w:tc>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Una o mas VMs no arrancan tras habilitar ADE (incompatibilidad de SKU o configuracion)</w:t>
            </w:r>
          </w:p>
        </w:tc>
        <w:tc>
          <w:tcPr>
            <w:tcW w:type="dxa" w:w="15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Baja</w:t>
            </w:r>
          </w:p>
        </w:tc>
        <w:tc>
          <w:tcPr>
            <w:tcW w:type="dxa" w:w="15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Alto</w:t>
            </w:r>
          </w:p>
        </w:tc>
        <w:tc>
          <w:tcPr>
            <w:tcW w:type="dxa" w:w="36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Tomar snapshot de todos los discos antes de iniciar. Probar en VM de menor criticidad primero. Mantener plan de rollback documentado.</w:t>
            </w:r>
          </w:p>
        </w:tc>
      </w:tr>
      <w:tr>
        <w:tc>
          <w:tcPr>
            <w:tcW w:type="dxa" w:w="3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000000"/>
                <w:sz w:val="20"/>
                <w:szCs w:val="20"/>
              </w:rPr>
              <w:t xml:space="preserve">2</w:t>
            </w:r>
          </w:p>
        </w:tc>
        <w:tc>
          <w:tcPr>
            <w:tcW w:type="dxa" w:w="2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Aplicacion critica incompatible con TLS 1.2 en Storage Accounts</w:t>
            </w:r>
          </w:p>
        </w:tc>
        <w:tc>
          <w:tcPr>
            <w:tcW w:type="dxa" w:w="15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Baja-Media</w:t>
            </w:r>
          </w:p>
        </w:tc>
        <w:tc>
          <w:tcPr>
            <w:tcW w:type="dxa" w:w="15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Alto</w:t>
            </w:r>
          </w:p>
        </w:tc>
        <w:tc>
          <w:tcPr>
            <w:tcW w:type="dxa" w:w="36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Identificar clientes conectados a Storage antes del cambio usando Storage Analytics Logs. Actualizar .NET Framework / clientes Windows con el parche KB3154518 si es necesario.</w:t>
            </w:r>
          </w:p>
        </w:tc>
      </w:tr>
      <w:tr>
        <w:tc>
          <w:tcPr>
            <w:tcW w:type="dxa" w:w="3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000000"/>
                <w:sz w:val="20"/>
                <w:szCs w:val="20"/>
              </w:rPr>
              <w:t xml:space="preserve">3</w:t>
            </w:r>
          </w:p>
        </w:tc>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Interrupcion de conectividad VPN durante migracion de Gateway (30-45 min)</w:t>
            </w:r>
          </w:p>
        </w:tc>
        <w:tc>
          <w:tcPr>
            <w:tcW w:type="dxa" w:w="15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Alta</w:t>
            </w:r>
          </w:p>
        </w:tc>
        <w:tc>
          <w:tcPr>
            <w:tcW w:type="dxa" w:w="15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Mediano</w:t>
            </w:r>
          </w:p>
        </w:tc>
        <w:tc>
          <w:tcPr>
            <w:tcW w:type="dxa" w:w="36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Programar en horario de menor actividad. Notificar a usuarios con 72h de anticipacion. Tener acceso alternativo (Azure Bastion) disponible durante la migracion.</w:t>
            </w:r>
          </w:p>
        </w:tc>
      </w:tr>
      <w:tr>
        <w:tc>
          <w:tcPr>
            <w:tcW w:type="dxa" w:w="3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000000"/>
                <w:sz w:val="20"/>
                <w:szCs w:val="20"/>
              </w:rPr>
              <w:t xml:space="preserve">4</w:t>
            </w:r>
          </w:p>
        </w:tc>
        <w:tc>
          <w:tcPr>
            <w:tcW w:type="dxa" w:w="2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Perdida de datos durante migracion de discos a zonas de disponibilidad</w:t>
            </w:r>
          </w:p>
        </w:tc>
        <w:tc>
          <w:tcPr>
            <w:tcW w:type="dxa" w:w="15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Muy baja</w:t>
            </w:r>
          </w:p>
        </w:tc>
        <w:tc>
          <w:tcPr>
            <w:tcW w:type="dxa" w:w="15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Alto</w:t>
            </w:r>
          </w:p>
        </w:tc>
        <w:tc>
          <w:tcPr>
            <w:tcW w:type="dxa" w:w="36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Crear snapshots de todos los discos antes de iniciar. Validar en entorno de prueba. Mantener snapshots por 7 dias post-migracion.</w:t>
            </w:r>
          </w:p>
        </w:tc>
      </w:tr>
      <w:tr>
        <w:tc>
          <w:tcPr>
            <w:tcW w:type="dxa" w:w="3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000000"/>
                <w:sz w:val="20"/>
                <w:szCs w:val="20"/>
              </w:rPr>
              <w:t xml:space="preserve">5</w:t>
            </w:r>
          </w:p>
        </w:tc>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Consumo del Savings Plan por debajo del compromiso adquirido</w:t>
            </w:r>
          </w:p>
        </w:tc>
        <w:tc>
          <w:tcPr>
            <w:tcW w:type="dxa" w:w="15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Baja</w:t>
            </w:r>
          </w:p>
        </w:tc>
        <w:tc>
          <w:tcPr>
            <w:tcW w:type="dxa" w:w="15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Mediano</w:t>
            </w:r>
          </w:p>
        </w:tc>
        <w:tc>
          <w:tcPr>
            <w:tcW w:type="dxa" w:w="36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Analizar el consumo historico de 90 dias antes de fijar el monto del compromiso. Iniciar con 1 año (no 3) para mayor flexibilidad.</w:t>
            </w:r>
          </w:p>
        </w:tc>
      </w:tr>
      <w:tr>
        <w:tc>
          <w:tcPr>
            <w:tcW w:type="dxa" w:w="3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center"/>
            </w:pPr>
            <w:r>
              <w:rPr>
                <w:rFonts w:ascii="Arial" w:cs="Arial" w:eastAsia="Arial" w:hAnsi="Arial"/>
                <w:b w:val="false"/>
                <w:bCs w:val="false"/>
                <w:color w:val="000000"/>
                <w:sz w:val="20"/>
                <w:szCs w:val="20"/>
              </w:rPr>
              <w:t xml:space="preserve">6</w:t>
            </w:r>
          </w:p>
        </w:tc>
        <w:tc>
          <w:tcPr>
            <w:tcW w:type="dxa" w:w="24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Resistencia organizacional a ventanas de mantenimiento necesarias</w:t>
            </w:r>
          </w:p>
        </w:tc>
        <w:tc>
          <w:tcPr>
            <w:tcW w:type="dxa" w:w="15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Media</w:t>
            </w:r>
          </w:p>
        </w:tc>
        <w:tc>
          <w:tcPr>
            <w:tcW w:type="dxa" w:w="150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Mediano</w:t>
            </w:r>
          </w:p>
        </w:tc>
        <w:tc>
          <w:tcPr>
            <w:tcW w:type="dxa" w:w="3660"/>
            <w:tcBorders>
              <w:top w:val="single" w:color="BFBFBF" w:sz="4"/>
              <w:left w:val="single" w:color="BFBFBF" w:sz="4"/>
              <w:bottom w:val="single" w:color="BFBFBF" w:sz="4"/>
              <w:right w:val="single" w:color="BFBFBF" w:sz="4"/>
            </w:tcBorders>
            <w:shd w:fill="F5F9FD"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Involucrar a los propietarios de aplicacion desde el inicio. Comunicar los riesgos de NO actuar (retiro de servicios, vulnerabilidades criticas).</w:t>
            </w:r>
          </w:p>
        </w:tc>
      </w:tr>
      <w:tr>
        <w:tc>
          <w:tcPr>
            <w:tcW w:type="dxa" w:w="3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center"/>
            </w:pPr>
            <w:r>
              <w:rPr>
                <w:rFonts w:ascii="Arial" w:cs="Arial" w:eastAsia="Arial" w:hAnsi="Arial"/>
                <w:b w:val="false"/>
                <w:bCs w:val="false"/>
                <w:color w:val="000000"/>
                <w:sz w:val="20"/>
                <w:szCs w:val="20"/>
              </w:rPr>
              <w:t xml:space="preserve">7</w:t>
            </w:r>
          </w:p>
        </w:tc>
        <w:tc>
          <w:tcPr>
            <w:tcW w:type="dxa" w:w="24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Sobrecosto por habilitar Defender for Cloud sin monitorear el gasto</w:t>
            </w:r>
          </w:p>
        </w:tc>
        <w:tc>
          <w:tcPr>
            <w:tcW w:type="dxa" w:w="15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Media</w:t>
            </w:r>
          </w:p>
        </w:tc>
        <w:tc>
          <w:tcPr>
            <w:tcW w:type="dxa" w:w="150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Mediano</w:t>
            </w:r>
          </w:p>
        </w:tc>
        <w:tc>
          <w:tcPr>
            <w:tcW w:type="dxa" w:w="3660"/>
            <w:tcBorders>
              <w:top w:val="single" w:color="BFBFBF" w:sz="4"/>
              <w:left w:val="single" w:color="BFBFBF" w:sz="4"/>
              <w:bottom w:val="single" w:color="BFBFBF" w:sz="4"/>
              <w:right w:val="single" w:color="BFBFBF" w:sz="4"/>
            </w:tcBorders>
            <w:shd w:fill="FFFFFF" w:val="clear"/>
            <w:tcMar>
              <w:top w:type="dxa" w:w="80"/>
              <w:left w:type="dxa" w:w="130"/>
              <w:bottom w:type="dxa" w:w="80"/>
              <w:right w:type="dxa" w:w="130"/>
            </w:tcMar>
          </w:tcPr>
          <w:p>
            <w:pPr>
              <w:spacing w:after="60" w:before="60"/>
              <w:jc w:val="left"/>
            </w:pPr>
            <w:r>
              <w:rPr>
                <w:rFonts w:ascii="Arial" w:cs="Arial" w:eastAsia="Arial" w:hAnsi="Arial"/>
                <w:b w:val="false"/>
                <w:bCs w:val="false"/>
                <w:color w:val="000000"/>
                <w:sz w:val="20"/>
                <w:szCs w:val="20"/>
              </w:rPr>
              <w:t xml:space="preserve">Configurar presupuesto y alerta de costo en Azure Cost Management antes de habilitar. Revisar el costo al final del primer mes.</w:t>
            </w:r>
          </w:p>
        </w:tc>
      </w:tr>
    </w:tbl>
    <w:p>
      <w:pPr>
        <w:spacing w:after="40" w:before="40"/>
      </w:pPr>
      <w:r>
        <w:t xml:space="preserve"/>
      </w:r>
    </w:p>
    <w:p>
      <w:pPr>
        <w:spacing w:after="40" w:before="40"/>
      </w:pPr>
      <w:r>
        <w:t xml:space="preserve"/>
      </w:r>
    </w:p>
    <w:p>
      <w:pPr>
        <w:pStyle w:val="Heading1"/>
        <w:pBdr>
          <w:bottom w:val="single" w:color="0078D4" w:sz="8" w:space="4"/>
        </w:pBdr>
        <w:spacing w:after="120" w:before="400"/>
      </w:pPr>
      <w:r>
        <w:rPr>
          <w:rFonts w:ascii="Arial" w:cs="Arial" w:eastAsia="Arial" w:hAnsi="Arial"/>
          <w:b/>
          <w:bCs/>
          <w:color w:val="1F3864"/>
          <w:sz w:val="32"/>
          <w:szCs w:val="32"/>
        </w:rPr>
        <w:t xml:space="preserve">7. Plan de Comunicacion</w:t>
      </w:r>
    </w:p>
    <w:p>
      <w:pPr>
        <w:pStyle w:val="Heading3"/>
        <w:spacing w:after="80" w:before="200"/>
      </w:pPr>
      <w:r>
        <w:rPr>
          <w:rFonts w:ascii="Arial" w:cs="Arial" w:eastAsia="Arial" w:hAnsi="Arial"/>
          <w:b/>
          <w:bCs/>
          <w:color w:val="1F6B75"/>
          <w:sz w:val="22"/>
          <w:szCs w:val="22"/>
        </w:rPr>
        <w:t xml:space="preserve">Durante la implementacion</w:t>
      </w:r>
    </w:p>
    <w:p>
      <w:pPr>
        <w:pStyle w:val="ListParagraph"/>
        <w:numPr>
          <w:ilvl w:val="0"/>
          <w:numId w:val="2"/>
        </w:numPr>
        <w:spacing w:after="40" w:before="40"/>
      </w:pPr>
      <w:r>
        <w:rPr>
          <w:rFonts w:ascii="Arial" w:cs="Arial" w:eastAsia="Arial" w:hAnsi="Arial"/>
          <w:sz w:val="20"/>
          <w:szCs w:val="20"/>
        </w:rPr>
        <w:t xml:space="preserve">Reunion de kickoff: Al inicio de cada fase, con representantes de TI Interno, el partner externo y los propietarios de aplicaciones criticas.</w:t>
      </w:r>
    </w:p>
    <w:p>
      <w:pPr>
        <w:pStyle w:val="ListParagraph"/>
        <w:numPr>
          <w:ilvl w:val="0"/>
          <w:numId w:val="2"/>
        </w:numPr>
        <w:spacing w:after="40" w:before="40"/>
      </w:pPr>
      <w:r>
        <w:rPr>
          <w:rFonts w:ascii="Arial" w:cs="Arial" w:eastAsia="Arial" w:hAnsi="Arial"/>
          <w:sz w:val="20"/>
          <w:szCs w:val="20"/>
        </w:rPr>
        <w:t xml:space="preserve">Reporte semanal de avance: Enviado por el Lider Tecnico Externo al equipo interno, con estado de tareas, blockers y proximas actividades.</w:t>
      </w:r>
    </w:p>
    <w:p>
      <w:pPr>
        <w:pStyle w:val="ListParagraph"/>
        <w:numPr>
          <w:ilvl w:val="0"/>
          <w:numId w:val="2"/>
        </w:numPr>
        <w:spacing w:after="40" w:before="40"/>
      </w:pPr>
      <w:r>
        <w:rPr>
          <w:rFonts w:ascii="Arial" w:cs="Arial" w:eastAsia="Arial" w:hAnsi="Arial"/>
          <w:sz w:val="20"/>
          <w:szCs w:val="20"/>
        </w:rPr>
        <w:t xml:space="preserve">Notificacion de ventana de mantenimiento: 72 horas antes de cualquier cambio que requiera reinicio de VM o interrupcion de servicio.</w:t>
      </w:r>
    </w:p>
    <w:p>
      <w:pPr>
        <w:pStyle w:val="ListParagraph"/>
        <w:numPr>
          <w:ilvl w:val="0"/>
          <w:numId w:val="2"/>
        </w:numPr>
        <w:spacing w:after="40" w:before="40"/>
      </w:pPr>
      <w:r>
        <w:rPr>
          <w:rFonts w:ascii="Arial" w:cs="Arial" w:eastAsia="Arial" w:hAnsi="Arial"/>
          <w:sz w:val="20"/>
          <w:szCs w:val="20"/>
        </w:rPr>
        <w:t xml:space="preserve">Alerta de incidente: Comunicacion inmediata (&lt; 30 min) si un cambio genera un incidente en produccion, con activacion del plan de rollback.</w:t>
      </w:r>
    </w:p>
    <w:p>
      <w:pPr>
        <w:spacing w:after="40" w:before="40"/>
      </w:pPr>
      <w:r>
        <w:t xml:space="preserve"/>
      </w:r>
    </w:p>
    <w:p>
      <w:pPr>
        <w:pStyle w:val="Heading3"/>
        <w:spacing w:after="80" w:before="200"/>
      </w:pPr>
      <w:r>
        <w:rPr>
          <w:rFonts w:ascii="Arial" w:cs="Arial" w:eastAsia="Arial" w:hAnsi="Arial"/>
          <w:b/>
          <w:bCs/>
          <w:color w:val="1F6B75"/>
          <w:sz w:val="22"/>
          <w:szCs w:val="22"/>
        </w:rPr>
        <w:t xml:space="preserve">Post-implementacion</w:t>
      </w:r>
    </w:p>
    <w:p>
      <w:pPr>
        <w:pStyle w:val="ListParagraph"/>
        <w:numPr>
          <w:ilvl w:val="0"/>
          <w:numId w:val="2"/>
        </w:numPr>
        <w:spacing w:after="40" w:before="40"/>
      </w:pPr>
      <w:r>
        <w:rPr>
          <w:rFonts w:ascii="Arial" w:cs="Arial" w:eastAsia="Arial" w:hAnsi="Arial"/>
          <w:sz w:val="20"/>
          <w:szCs w:val="20"/>
        </w:rPr>
        <w:t xml:space="preserve">Revision mensual del Advisor Score: Reunion mensual de 30 minutos para revisar KPIs, cerrar actividades completadas y priorizar pendientes.</w:t>
      </w:r>
    </w:p>
    <w:p>
      <w:pPr>
        <w:pStyle w:val="ListParagraph"/>
        <w:numPr>
          <w:ilvl w:val="0"/>
          <w:numId w:val="2"/>
        </w:numPr>
        <w:spacing w:after="40" w:before="40"/>
      </w:pPr>
      <w:r>
        <w:rPr>
          <w:rFonts w:ascii="Arial" w:cs="Arial" w:eastAsia="Arial" w:hAnsi="Arial"/>
          <w:sz w:val="20"/>
          <w:szCs w:val="20"/>
        </w:rPr>
        <w:t xml:space="preserve">Informe de cierre de fase: Documento que resume las actividades completadas, KPIs alcanzados y lecciones aprendidas al final de cada fase.</w:t>
      </w:r>
    </w:p>
    <w:p>
      <w:pPr>
        <w:pStyle w:val="ListParagraph"/>
        <w:numPr>
          <w:ilvl w:val="0"/>
          <w:numId w:val="2"/>
        </w:numPr>
        <w:spacing w:after="40" w:before="40"/>
      </w:pPr>
      <w:r>
        <w:rPr>
          <w:rFonts w:ascii="Arial" w:cs="Arial" w:eastAsia="Arial" w:hAnsi="Arial"/>
          <w:sz w:val="20"/>
          <w:szCs w:val="20"/>
        </w:rPr>
        <w:t xml:space="preserve">Reporte trimestral a direccion: Resumen ejecutivo del estado de la postura de seguridad, ahorro generado y madurez cloud para la direccion general.</w:t>
      </w:r>
    </w:p>
    <w:p>
      <w:pPr>
        <w:spacing w:after="40" w:before="40"/>
      </w:pPr>
      <w:r>
        <w:t xml:space="preserve"/>
      </w:r>
    </w:p>
    <w:p>
      <w:r>
        <w:br w:type="page"/>
      </w:r>
    </w:p>
    <w:p>
      <w:pPr>
        <w:pStyle w:val="Heading1"/>
        <w:pBdr>
          <w:bottom w:val="single" w:color="0078D4" w:sz="8" w:space="4"/>
        </w:pBdr>
        <w:spacing w:after="120" w:before="400"/>
      </w:pPr>
      <w:r>
        <w:rPr>
          <w:rFonts w:ascii="Arial" w:cs="Arial" w:eastAsia="Arial" w:hAnsi="Arial"/>
          <w:b/>
          <w:bCs/>
          <w:color w:val="1F3864"/>
          <w:sz w:val="32"/>
          <w:szCs w:val="32"/>
        </w:rPr>
        <w:t xml:space="preserve">8. Proximos Pasos Inmediatos</w:t>
      </w:r>
    </w:p>
    <w:p>
      <w:pPr>
        <w:spacing w:after="60" w:before="60"/>
        <w:jc w:val="left"/>
      </w:pPr>
      <w:r>
        <w:rPr>
          <w:rFonts w:ascii="Arial" w:cs="Arial" w:eastAsia="Arial" w:hAnsi="Arial"/>
          <w:b w:val="false"/>
          <w:bCs w:val="false"/>
          <w:color w:val="000000"/>
          <w:sz w:val="20"/>
          <w:szCs w:val="20"/>
        </w:rPr>
        <w:t xml:space="preserve">Para poner en marcha el plan, se recomiendan las siguientes acciones en las proximas 48-72 horas:</w:t>
      </w:r>
    </w:p>
    <w:p>
      <w:pPr>
        <w:spacing w:after="40" w:before="40"/>
      </w:pPr>
      <w:r>
        <w:t xml:space="preserve"/>
      </w:r>
    </w:p>
    <w:p>
      <w:pPr>
        <w:pStyle w:val="ListParagraph"/>
        <w:numPr>
          <w:ilvl w:val="0"/>
          <w:numId w:val="3"/>
        </w:numPr>
        <w:spacing w:after="40" w:before="40"/>
      </w:pPr>
      <w:r>
        <w:rPr>
          <w:rFonts w:ascii="Arial" w:cs="Arial" w:eastAsia="Arial" w:hAnsi="Arial"/>
          <w:sz w:val="20"/>
          <w:szCs w:val="20"/>
        </w:rPr>
        <w:t xml:space="preserve">Confirmar la disponibilidad y accesos del equipo externo: Contributor sobre la suscripcion, Key Vault Crypto Officer, acceso al portal de Azure.</w:t>
      </w:r>
    </w:p>
    <w:p>
      <w:pPr>
        <w:pStyle w:val="ListParagraph"/>
        <w:numPr>
          <w:ilvl w:val="0"/>
          <w:numId w:val="3"/>
        </w:numPr>
        <w:spacing w:after="40" w:before="40"/>
      </w:pPr>
      <w:r>
        <w:rPr>
          <w:rFonts w:ascii="Arial" w:cs="Arial" w:eastAsia="Arial" w:hAnsi="Arial"/>
          <w:sz w:val="20"/>
          <w:szCs w:val="20"/>
        </w:rPr>
        <w:t xml:space="preserve">Programar la reunion de kickoff de Fase 1 con el equipo mixto (TI Interno + partner externo + stakeholders de aplicacion).</w:t>
      </w:r>
    </w:p>
    <w:p>
      <w:pPr>
        <w:pStyle w:val="ListParagraph"/>
        <w:numPr>
          <w:ilvl w:val="0"/>
          <w:numId w:val="3"/>
        </w:numPr>
        <w:spacing w:after="40" w:before="40"/>
      </w:pPr>
      <w:r>
        <w:rPr>
          <w:rFonts w:ascii="Arial" w:cs="Arial" w:eastAsia="Arial" w:hAnsi="Arial"/>
          <w:sz w:val="20"/>
          <w:szCs w:val="20"/>
        </w:rPr>
        <w:t xml:space="preserve">Crear o validar el Azure Key Vault en la region westus con purge protection habilitado (prerrequisito para cifrado de disco).</w:t>
      </w:r>
    </w:p>
    <w:p>
      <w:pPr>
        <w:pStyle w:val="ListParagraph"/>
        <w:numPr>
          <w:ilvl w:val="0"/>
          <w:numId w:val="3"/>
        </w:numPr>
        <w:spacing w:after="40" w:before="40"/>
      </w:pPr>
      <w:r>
        <w:rPr>
          <w:rFonts w:ascii="Arial" w:cs="Arial" w:eastAsia="Arial" w:hAnsi="Arial"/>
          <w:sz w:val="20"/>
          <w:szCs w:val="20"/>
        </w:rPr>
        <w:t xml:space="preserve">Tomar snapshots de todos los discos OS de las VMs listadas en la tarea 1.1 como linea base de seguridad antes de iniciar.</w:t>
      </w:r>
    </w:p>
    <w:p>
      <w:pPr>
        <w:pStyle w:val="ListParagraph"/>
        <w:numPr>
          <w:ilvl w:val="0"/>
          <w:numId w:val="3"/>
        </w:numPr>
        <w:spacing w:after="40" w:before="40"/>
      </w:pPr>
      <w:r>
        <w:rPr>
          <w:rFonts w:ascii="Arial" w:cs="Arial" w:eastAsia="Arial" w:hAnsi="Arial"/>
          <w:sz w:val="20"/>
          <w:szCs w:val="20"/>
        </w:rPr>
        <w:t xml:space="preserve">Iniciar la tarea 1.4 (migracion TLS 1.2) esta misma semana — es la de menor riesgo y mayor urgencia por retiro programado.</w:t>
      </w:r>
    </w:p>
    <w:p>
      <w:pPr>
        <w:pStyle w:val="ListParagraph"/>
        <w:numPr>
          <w:ilvl w:val="0"/>
          <w:numId w:val="3"/>
        </w:numPr>
        <w:spacing w:after="40" w:before="40"/>
      </w:pPr>
      <w:r>
        <w:rPr>
          <w:rFonts w:ascii="Arial" w:cs="Arial" w:eastAsia="Arial" w:hAnsi="Arial"/>
          <w:sz w:val="20"/>
          <w:szCs w:val="20"/>
        </w:rPr>
        <w:t xml:space="preserve">Solicitar aprobacion financiera para el Savings Plan y las Reserved Instances con el analisis de consumo de los ultimos 90 dias.</w:t>
      </w:r>
    </w:p>
    <w:p>
      <w:pPr>
        <w:pStyle w:val="ListParagraph"/>
        <w:numPr>
          <w:ilvl w:val="0"/>
          <w:numId w:val="3"/>
        </w:numPr>
        <w:spacing w:after="40" w:before="40"/>
      </w:pPr>
      <w:r>
        <w:rPr>
          <w:rFonts w:ascii="Arial" w:cs="Arial" w:eastAsia="Arial" w:hAnsi="Arial"/>
          <w:sz w:val="20"/>
          <w:szCs w:val="20"/>
        </w:rPr>
        <w:t xml:space="preserve">Crear el grupo de accion en Azure Monitor (correo + webhook) para las alertas de Defender for Cloud y Service Health.</w:t>
      </w:r>
    </w:p>
    <w:p>
      <w:pPr>
        <w:spacing w:after="40" w:before="40"/>
      </w:pPr>
      <w:r>
        <w:t xml:space="preserve"/>
      </w:r>
    </w:p>
    <w:p>
      <w:pPr>
        <w:spacing w:after="40" w:before="40"/>
      </w:pPr>
      <w:r>
        <w:t xml:space="preserve"/>
      </w:r>
    </w:p>
    <w:p>
      <w:pPr>
        <w:pBdr>
          <w:top w:val="single" w:color="0078D4" w:sz="6" w:space="4"/>
        </w:pBdr>
        <w:spacing w:after="60" w:before="120"/>
        <w:jc w:val="center"/>
      </w:pPr>
      <w:r>
        <w:rPr>
          <w:rFonts w:ascii="Arial" w:cs="Arial" w:eastAsia="Arial" w:hAnsi="Arial"/>
          <w:color w:val="595959"/>
          <w:sz w:val="18"/>
          <w:szCs w:val="18"/>
        </w:rPr>
        <w:t xml:space="preserve">--- Fin del Plan de Implementacion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8D4" w:sz="6" w:space="4"/>
      </w:pBdr>
      <w:spacing w:after="0" w:before="80"/>
      <w:jc w:val="right"/>
    </w:pPr>
    <w:r>
      <w:rPr>
        <w:rFonts w:ascii="Arial" w:cs="Arial" w:eastAsia="Arial" w:hAnsi="Arial"/>
        <w:color w:val="595959"/>
        <w:sz w:val="16"/>
        <w:szCs w:val="16"/>
      </w:rPr>
      <w:t xml:space="preserve">Pagina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6" w:space="4"/>
      </w:pBdr>
      <w:spacing w:after="120" w:before="0"/>
    </w:pPr>
    <w:r>
      <w:rPr>
        <w:rFonts w:ascii="Arial" w:cs="Arial" w:eastAsia="Arial" w:hAnsi="Arial"/>
        <w:color w:val="595959"/>
        <w:sz w:val="18"/>
        <w:szCs w:val="18"/>
      </w:rPr>
      <w:t xml:space="preserve">Plan de Implementacion — Azure Advisor  |  </w:t>
    </w:r>
    <w:r>
      <w:rPr>
        <w:rFonts w:ascii="Arial" w:cs="Arial" w:eastAsia="Arial" w:hAnsi="Arial"/>
        <w:b/>
        <w:bCs/>
        <w:color w:val="1F3864"/>
        <w:sz w:val="18"/>
        <w:szCs w:val="18"/>
      </w:rPr>
      <w:t xml:space="preserve">Azure subscription 1</w:t>
    </w:r>
    <w:r>
      <w:rPr>
        <w:rFonts w:ascii="Arial" w:cs="Arial" w:eastAsia="Arial" w:hAnsi="Arial"/>
        <w:color w:val="595959"/>
        <w:sz w:val="18"/>
        <w:szCs w:val="18"/>
      </w:rPr>
      <w:t xml:space="preserve">  |  Junio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6B7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2026-06-06T00:37:31.141Z</dcterms:created>
  <dcterms:modified xsi:type="dcterms:W3CDTF">2026-06-06T00:37:31.156Z</dcterms:modified>
</cp:coreProperties>
</file>

<file path=docProps/custom.xml><?xml version="1.0" encoding="utf-8"?>
<Properties xmlns="http://schemas.openxmlformats.org/officeDocument/2006/custom-properties" xmlns:vt="http://schemas.openxmlformats.org/officeDocument/2006/docPropsVTypes"/>
</file>