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0F6CBD"/>
          <w:sz w:val="56"/>
          <w:szCs w:val="56"/>
        </w:rPr>
        <w:t xml:space="preserve">Guía de Implementación</w:t>
      </w:r>
    </w:p>
    <w:p>
      <w:pPr>
        <w:spacing w:after="300"/>
        <w:jc w:val="center"/>
      </w:pPr>
      <w:r>
        <w:rPr>
          <w:b/>
          <w:bCs/>
          <w:color w:val="244A6B"/>
          <w:sz w:val="40"/>
          <w:szCs w:val="40"/>
        </w:rPr>
        <w:t xml:space="preserve">Microsoft Defender for Business</w:t>
      </w:r>
    </w:p>
    <w:p>
      <w:pPr>
        <w:spacing w:after="800"/>
        <w:jc w:val="center"/>
      </w:pPr>
      <w:r>
        <w:rPr>
          <w:color w:val="5C5C5C"/>
          <w:sz w:val="24"/>
          <w:szCs w:val="24"/>
        </w:rPr>
        <w:t xml:space="preserve">Despliegue en entorno de un solo tenant — 80 equipos Windows 10/11 Professional con Active Directory</w:t>
      </w:r>
    </w:p>
    <w:p>
      <w:pPr>
        <w:jc w:val="center"/>
      </w:pPr>
      <w:r>
        <w:rPr>
          <w:i/>
          <w:iCs/>
          <w:color w:val="808080"/>
          <w:sz w:val="22"/>
          <w:szCs w:val="22"/>
        </w:rPr>
        <w:t xml:space="preserve">Documento preparado para el cliente final</w:t>
      </w:r>
    </w:p>
    <w:p>
      <w:r>
        <w:br w:type="page"/>
      </w:r>
    </w:p>
    <w:p>
      <w:pPr>
        <w:pStyle w:val="Heading1"/>
        <w:spacing w:after="150" w:before="300"/>
      </w:pPr>
      <w:r>
        <w:t xml:space="preserve">1. ¿Qué es Microsoft Defender for Business?</w:t>
      </w:r>
    </w:p>
    <w:p>
      <w:pPr>
        <w:spacing w:after="120"/>
      </w:pPr>
      <w:r>
        <w:t xml:space="preserve">Microsoft Defender for Business (MDB) es una solución de seguridad para endpoints diseñada específicamente para pequeñas y medianas empresas (hasta 300 empleados). Ofrece capacidades de nivel empresarial —como las que se encuentran en Microsoft Defender for Endpoint— pero con una configuración simplificada, políticas preconfiguradas de nivel base y un panel de administración pensado para equipos de TI reducidos que no cuentan necesariamente con un SOC dedicado.</w:t>
      </w:r>
    </w:p>
    <w:p>
      <w:pPr>
        <w:spacing w:after="120"/>
      </w:pPr>
      <w:r>
        <w:t xml:space="preserve">La solución cubre dispositivos Windows, macOS, iOS, Android y Linux, y protege tanto en oficina como en modalidades de trabajo remoto o híbrido.</w:t>
      </w:r>
    </w:p>
    <w:p>
      <w:pPr>
        <w:pStyle w:val="Heading2"/>
        <w:spacing w:after="120" w:before="240"/>
      </w:pPr>
      <w:r>
        <w:t xml:space="preserve">1.1 Capacidades principales</w:t>
      </w:r>
    </w:p>
    <w:p>
      <w:pPr>
        <w:pStyle w:val="ListParagraph"/>
        <w:numPr>
          <w:ilvl w:val="0"/>
          <w:numId w:val="2"/>
        </w:numPr>
        <w:spacing w:after="80"/>
      </w:pPr>
      <w:r>
        <w:t xml:space="preserve">Antivirus y protección de próxima generación (next-generation protection) con detección basada en la nube.</w:t>
      </w:r>
    </w:p>
    <w:p>
      <w:pPr>
        <w:pStyle w:val="ListParagraph"/>
        <w:numPr>
          <w:ilvl w:val="0"/>
          <w:numId w:val="2"/>
        </w:numPr>
        <w:spacing w:after="80"/>
      </w:pPr>
      <w:r>
        <w:t xml:space="preserve">Detección y respuesta de endpoints (EDR) para identificar comportamientos sospechosos y ataques avanzados.</w:t>
      </w:r>
    </w:p>
    <w:p>
      <w:pPr>
        <w:pStyle w:val="ListParagraph"/>
        <w:numPr>
          <w:ilvl w:val="0"/>
          <w:numId w:val="2"/>
        </w:numPr>
        <w:spacing w:after="80"/>
      </w:pPr>
      <w:r>
        <w:t xml:space="preserve">Reducción de superficie de ataque (ASR): reglas que bloquean técnicas comunes usadas por malware y ransomware.</w:t>
      </w:r>
    </w:p>
    <w:p>
      <w:pPr>
        <w:pStyle w:val="ListParagraph"/>
        <w:numPr>
          <w:ilvl w:val="0"/>
          <w:numId w:val="2"/>
        </w:numPr>
        <w:spacing w:after="80"/>
      </w:pPr>
      <w:r>
        <w:t xml:space="preserve">Protección contra manipulación (Tamper Protection), que evita que el malware desactive las funciones de seguridad.</w:t>
      </w:r>
    </w:p>
    <w:p>
      <w:pPr>
        <w:pStyle w:val="ListParagraph"/>
        <w:numPr>
          <w:ilvl w:val="0"/>
          <w:numId w:val="2"/>
        </w:numPr>
        <w:spacing w:after="80"/>
      </w:pPr>
      <w:r>
        <w:t xml:space="preserve">Firewall de nueva generación configurable por política y grupo de dispositivos.</w:t>
      </w:r>
    </w:p>
    <w:p>
      <w:pPr>
        <w:pStyle w:val="ListParagraph"/>
        <w:numPr>
          <w:ilvl w:val="0"/>
          <w:numId w:val="2"/>
        </w:numPr>
        <w:spacing w:after="80"/>
      </w:pPr>
      <w:r>
        <w:t xml:space="preserve">Filtrado de contenido web y protección contra phishing.</w:t>
      </w:r>
    </w:p>
    <w:p>
      <w:pPr>
        <w:pStyle w:val="ListParagraph"/>
        <w:numPr>
          <w:ilvl w:val="0"/>
          <w:numId w:val="2"/>
        </w:numPr>
        <w:spacing w:after="80"/>
      </w:pPr>
      <w:r>
        <w:t xml:space="preserve">Automatización de investigación y remediación ante amenazas detectadas.</w:t>
      </w:r>
    </w:p>
    <w:p>
      <w:pPr>
        <w:pStyle w:val="ListParagraph"/>
        <w:numPr>
          <w:ilvl w:val="0"/>
          <w:numId w:val="2"/>
        </w:numPr>
        <w:spacing w:after="80"/>
      </w:pPr>
      <w:r>
        <w:t xml:space="preserve">Panel centralizado de alertas e incidentes en security.microsoft.com.</w:t>
      </w:r>
    </w:p>
    <w:p>
      <w:pPr>
        <w:pStyle w:val="Heading2"/>
        <w:spacing w:after="120" w:before="240"/>
      </w:pPr>
      <w:r>
        <w:t xml:space="preserve">1.2 Casos de uso típicos</w:t>
      </w:r>
    </w:p>
    <w:p>
      <w:pPr>
        <w:pStyle w:val="ListParagraph"/>
        <w:numPr>
          <w:ilvl w:val="0"/>
          <w:numId w:val="2"/>
        </w:numPr>
        <w:spacing w:after="80"/>
      </w:pPr>
      <w:r>
        <w:t xml:space="preserve">PyMEs que necesitan reemplazar un antivirus tradicional por una solución con EDR real.</w:t>
      </w:r>
    </w:p>
    <w:p>
      <w:pPr>
        <w:pStyle w:val="ListParagraph"/>
        <w:numPr>
          <w:ilvl w:val="0"/>
          <w:numId w:val="2"/>
        </w:numPr>
        <w:spacing w:after="80"/>
      </w:pPr>
      <w:r>
        <w:t xml:space="preserve">Empresas con equipos remotos o híbridos que requieren protección fuera del perímetro de red corporativo.</w:t>
      </w:r>
    </w:p>
    <w:p>
      <w:pPr>
        <w:pStyle w:val="ListParagraph"/>
        <w:numPr>
          <w:ilvl w:val="0"/>
          <w:numId w:val="2"/>
        </w:numPr>
        <w:spacing w:after="80"/>
      </w:pPr>
      <w:r>
        <w:t xml:space="preserve">Organizaciones que buscan cumplir requisitos básicos de ciberseguridad exigidos por clientes, aseguradoras o marcos regulatorios.</w:t>
      </w:r>
    </w:p>
    <w:p>
      <w:pPr>
        <w:pStyle w:val="ListParagraph"/>
        <w:numPr>
          <w:ilvl w:val="0"/>
          <w:numId w:val="2"/>
        </w:numPr>
        <w:spacing w:after="80"/>
      </w:pPr>
      <w:r>
        <w:t xml:space="preserve">Compañías que ya usan Microsoft 365 Business Premium y desean aprovechar la protección incluida sin licencias adicionales.</w:t>
      </w:r>
    </w:p>
    <w:p>
      <w:pPr>
        <w:pStyle w:val="ListParagraph"/>
        <w:numPr>
          <w:ilvl w:val="0"/>
          <w:numId w:val="2"/>
        </w:numPr>
        <w:spacing w:after="80"/>
      </w:pPr>
      <w:r>
        <w:t xml:space="preserve">Entornos con Active Directory local que aún no han migrado completamente a la nube (como el caso de este proyecto).</w:t>
      </w:r>
    </w:p>
    <w:p>
      <w:pPr>
        <w:pStyle w:val="Heading2"/>
        <w:spacing w:after="120" w:before="240"/>
      </w:pPr>
      <w:r>
        <w:t xml:space="preserve">1.3 Beneficios clave</w:t>
      </w:r>
    </w:p>
    <w:p>
      <w:pPr>
        <w:pStyle w:val="ListParagraph"/>
        <w:numPr>
          <w:ilvl w:val="0"/>
          <w:numId w:val="2"/>
        </w:numPr>
        <w:spacing w:after="80"/>
      </w:pPr>
      <w:r>
        <w:t xml:space="preserve">Protección de nivel empresarial con una curva de aprendizaje baja y configuración guiada.</w:t>
      </w:r>
    </w:p>
    <w:p>
      <w:pPr>
        <w:pStyle w:val="ListParagraph"/>
        <w:numPr>
          <w:ilvl w:val="0"/>
          <w:numId w:val="2"/>
        </w:numPr>
        <w:spacing w:after="80"/>
      </w:pPr>
      <w:r>
        <w:t xml:space="preserve">Reducción del tiempo de respuesta ante incidentes gracias a la remediación automática.</w:t>
      </w:r>
    </w:p>
    <w:p>
      <w:pPr>
        <w:pStyle w:val="ListParagraph"/>
        <w:numPr>
          <w:ilvl w:val="0"/>
          <w:numId w:val="2"/>
        </w:numPr>
        <w:spacing w:after="80"/>
      </w:pPr>
      <w:r>
        <w:t xml:space="preserve">Visibilidad centralizada del estado de seguridad de todos los dispositivos de la organización.</w:t>
      </w:r>
    </w:p>
    <w:p>
      <w:pPr>
        <w:pStyle w:val="ListParagraph"/>
        <w:numPr>
          <w:ilvl w:val="0"/>
          <w:numId w:val="2"/>
        </w:numPr>
        <w:spacing w:after="80"/>
      </w:pPr>
      <w:r>
        <w:t xml:space="preserve">Compatibilidad con métodos de onboarding flexibles: script local, Group Policy (GPO) o Microsoft Intune, adaptándose a la infraestructura ya existente del cliente.</w:t>
      </w:r>
    </w:p>
    <w:p>
      <w:pPr>
        <w:pStyle w:val="ListParagraph"/>
        <w:numPr>
          <w:ilvl w:val="0"/>
          <w:numId w:val="2"/>
        </w:numPr>
        <w:spacing w:after="80"/>
      </w:pPr>
      <w:r>
        <w:t xml:space="preserve">Costo predecible: incluido en Microsoft 365 Business Premium o disponible como licencia independiente.</w:t>
      </w:r>
    </w:p>
    <w:p>
      <w:pPr>
        <w:pStyle w:val="ListParagraph"/>
        <w:numPr>
          <w:ilvl w:val="0"/>
          <w:numId w:val="2"/>
        </w:numPr>
        <w:spacing w:after="80"/>
      </w:pPr>
      <w:r>
        <w:t xml:space="preserve">Escalable: permite crecer hacia Microsoft Defender for Endpoint Plan 1/2 si la organización supera los 300 usuarios.</w:t>
      </w:r>
    </w:p>
    <w:p>
      <w:pPr>
        <w:pBdr>
          <w:left w:val="single" w:color="F2C811" w:sz="12" w:space="8"/>
        </w:pBdr>
        <w:shd w:fill="FFF4CE" w:val="clear"/>
        <w:spacing w:after="150" w:before="50"/>
        <w:ind w:left="100"/>
      </w:pPr>
      <w:r>
        <w:rPr>
          <w:b/>
          <w:bCs/>
          <w:color w:val="9C5700"/>
        </w:rPr>
        <w:t xml:space="preserve">Nota: </w:t>
      </w:r>
      <w:r>
        <w:rPr>
          <w:color w:val="9C5700"/>
        </w:rPr>
        <w:t xml:space="preserve">Este documento se centra en el escenario específico del cliente: un solo tenant de Microsoft 365, 80 equipos con Windows 10 y 11 Professional, sin Microsoft Intune, pero con Active Directory local ya operativo.</w:t>
      </w:r>
    </w:p>
    <w:p>
      <w:r>
        <w:br w:type="page"/>
      </w:r>
    </w:p>
    <w:p>
      <w:pPr>
        <w:pStyle w:val="Heading1"/>
        <w:spacing w:after="150" w:before="300"/>
      </w:pPr>
      <w:r>
        <w:t xml:space="preserve">2. Resumen del escenario del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F6CBD" w:val="clear"/>
          </w:tcPr>
          <w:p>
            <w:r>
              <w:rPr>
                <w:b/>
                <w:bCs/>
                <w:color w:val="FFFFFF"/>
              </w:rPr>
              <w:t xml:space="preserve">Parámetro</w:t>
            </w:r>
          </w:p>
        </w:tc>
        <w:tc>
          <w:tcPr>
            <w:tcW w:type="dxa" w:w="4500"/>
            <w:shd w:fill="0F6CBD" w:val="clear"/>
          </w:tcPr>
          <w:p>
            <w:r>
              <w:rPr>
                <w:b/>
                <w:bCs/>
                <w:color w:val="FFFFFF"/>
              </w:rPr>
              <w:t xml:space="preserve">Valor</w:t>
            </w:r>
          </w:p>
        </w:tc>
      </w:tr>
      <w:tr>
        <w:tc>
          <w:tcPr>
            <w:tcW w:type="dxa" w:w="4500"/>
            <w:shd w:fill="F3F9FD" w:val="clear"/>
          </w:tcPr>
          <w:p>
            <w:r>
              <w:t xml:space="preserve">Tipo de tenant</w:t>
            </w:r>
          </w:p>
        </w:tc>
        <w:tc>
          <w:tcPr>
            <w:tcW w:type="dxa" w:w="4500"/>
            <w:shd w:fill="F3F9FD" w:val="clear"/>
          </w:tcPr>
          <w:p>
            <w:r>
              <w:t xml:space="preserve">Único (single-tenant)</w:t>
            </w:r>
          </w:p>
        </w:tc>
      </w:tr>
      <w:tr>
        <w:tc>
          <w:tcPr>
            <w:tcW w:type="dxa" w:w="4500"/>
            <w:shd w:fill="FFFFFF" w:val="clear"/>
          </w:tcPr>
          <w:p>
            <w:r>
              <w:t xml:space="preserve">Número de equipos</w:t>
            </w:r>
          </w:p>
        </w:tc>
        <w:tc>
          <w:tcPr>
            <w:tcW w:type="dxa" w:w="4500"/>
            <w:shd w:fill="FFFFFF" w:val="clear"/>
          </w:tcPr>
          <w:p>
            <w:r>
              <w:t xml:space="preserve">80</w:t>
            </w:r>
          </w:p>
        </w:tc>
      </w:tr>
      <w:tr>
        <w:tc>
          <w:tcPr>
            <w:tcW w:type="dxa" w:w="4500"/>
            <w:shd w:fill="F3F9FD" w:val="clear"/>
          </w:tcPr>
          <w:p>
            <w:r>
              <w:t xml:space="preserve">Sistema operativo</w:t>
            </w:r>
          </w:p>
        </w:tc>
        <w:tc>
          <w:tcPr>
            <w:tcW w:type="dxa" w:w="4500"/>
            <w:shd w:fill="F3F9FD" w:val="clear"/>
          </w:tcPr>
          <w:p>
            <w:r>
              <w:t xml:space="preserve">Windows 10 y 11 Professional</w:t>
            </w:r>
          </w:p>
        </w:tc>
      </w:tr>
      <w:tr>
        <w:tc>
          <w:tcPr>
            <w:tcW w:type="dxa" w:w="4500"/>
            <w:shd w:fill="FFFFFF" w:val="clear"/>
          </w:tcPr>
          <w:p>
            <w:r>
              <w:t xml:space="preserve">Microsoft Intune</w:t>
            </w:r>
          </w:p>
        </w:tc>
        <w:tc>
          <w:tcPr>
            <w:tcW w:type="dxa" w:w="4500"/>
            <w:shd w:fill="FFFFFF" w:val="clear"/>
          </w:tcPr>
          <w:p>
            <w:r>
              <w:t xml:space="preserve">No implementado</w:t>
            </w:r>
          </w:p>
        </w:tc>
      </w:tr>
      <w:tr>
        <w:tc>
          <w:tcPr>
            <w:tcW w:type="dxa" w:w="4500"/>
            <w:shd w:fill="F3F9FD" w:val="clear"/>
          </w:tcPr>
          <w:p>
            <w:r>
              <w:t xml:space="preserve">Active Directory (AD DS) local</w:t>
            </w:r>
          </w:p>
        </w:tc>
        <w:tc>
          <w:tcPr>
            <w:tcW w:type="dxa" w:w="4500"/>
            <w:shd w:fill="F3F9FD" w:val="clear"/>
          </w:tcPr>
          <w:p>
            <w:r>
              <w:t xml:space="preserve">Sí, operativo</w:t>
            </w:r>
          </w:p>
        </w:tc>
      </w:tr>
      <w:tr>
        <w:tc>
          <w:tcPr>
            <w:tcW w:type="dxa" w:w="4500"/>
            <w:shd w:fill="FFFFFF" w:val="clear"/>
          </w:tcPr>
          <w:p>
            <w:r>
              <w:t xml:space="preserve">Método de onboarding recomendado</w:t>
            </w:r>
          </w:p>
        </w:tc>
        <w:tc>
          <w:tcPr>
            <w:tcW w:type="dxa" w:w="4500"/>
            <w:shd w:fill="FFFFFF" w:val="clear"/>
          </w:tcPr>
          <w:p>
            <w:r>
              <w:t xml:space="preserve">Group Policy (GPO)</w:t>
            </w:r>
          </w:p>
        </w:tc>
      </w:tr>
    </w:tbl>
    <w:p>
      <w:pPr>
        <w:spacing w:after="120"/>
      </w:pPr>
      <w:r>
        <w:t xml:space="preserve"/>
      </w:r>
    </w:p>
    <w:p>
      <w:pPr>
        <w:spacing w:after="120"/>
      </w:pPr>
      <w:r>
        <w:t xml:space="preserve">Dado que el cliente ya cuenta con Active Directory y administra 80 equipos, el método de Script Local queda descartado como opción de despliegue masivo: Microsoft recomienda usarlo para un máximo de 10 dispositivos a la vez, ya que genera una frecuencia de reporte de datos más alta y no es apto para producción a esta escala. Group Policy es la alternativa correcta porque permite un despliegue centralizado, repetible y auditable sin depender de Intune.</w:t>
      </w:r>
    </w:p>
    <w:p>
      <w:r>
        <w:br w:type="page"/>
      </w:r>
    </w:p>
    <w:p>
      <w:pPr>
        <w:pStyle w:val="Heading1"/>
        <w:spacing w:after="150" w:before="300"/>
      </w:pPr>
      <w:r>
        <w:t xml:space="preserve">3. Requisitos previos</w:t>
      </w:r>
    </w:p>
    <w:p>
      <w:pPr>
        <w:pStyle w:val="ListParagraph"/>
        <w:numPr>
          <w:ilvl w:val="0"/>
          <w:numId w:val="2"/>
        </w:numPr>
        <w:spacing w:after="80"/>
      </w:pPr>
      <w:r>
        <w:t xml:space="preserve">Licencia activa de Microsoft Defender for Business (independiente o incluida en Microsoft 365 Business Premium) asignada a los usuarios/dispositivos correspondientes.</w:t>
      </w:r>
    </w:p>
    <w:p>
      <w:pPr>
        <w:pStyle w:val="ListParagraph"/>
        <w:numPr>
          <w:ilvl w:val="0"/>
          <w:numId w:val="2"/>
        </w:numPr>
        <w:spacing w:after="80"/>
      </w:pPr>
      <w:r>
        <w:t xml:space="preserve">Permisos de administrador global o de seguridad en el portal de Microsoft Defender (security.microsoft.com).</w:t>
      </w:r>
    </w:p>
    <w:p>
      <w:pPr>
        <w:pStyle w:val="ListParagraph"/>
        <w:numPr>
          <w:ilvl w:val="0"/>
          <w:numId w:val="2"/>
        </w:numPr>
        <w:spacing w:after="80"/>
      </w:pPr>
      <w:r>
        <w:t xml:space="preserve">Permisos de administrador de dominio para crear y vincular objetos de Directiva de Grupo (GPO) en Active Directory.</w:t>
      </w:r>
    </w:p>
    <w:p>
      <w:pPr>
        <w:pStyle w:val="ListParagraph"/>
        <w:numPr>
          <w:ilvl w:val="0"/>
          <w:numId w:val="2"/>
        </w:numPr>
        <w:spacing w:after="80"/>
      </w:pPr>
      <w:r>
        <w:t xml:space="preserve">Equipos con una de las siguientes ediciones de Windows: Windows 10/11 Professional, Business o Enterprise.</w:t>
      </w:r>
    </w:p>
    <w:p>
      <w:pPr>
        <w:pStyle w:val="ListParagraph"/>
        <w:numPr>
          <w:ilvl w:val="0"/>
          <w:numId w:val="2"/>
        </w:numPr>
        <w:spacing w:after="80"/>
      </w:pPr>
      <w:r>
        <w:t xml:space="preserve">Conectividad de los equipos hacia los endpoints en la nube de Microsoft Defender (revisar URLs y puertos requeridos antes del despliegue).</w:t>
      </w:r>
    </w:p>
    <w:p>
      <w:pPr>
        <w:pStyle w:val="ListParagraph"/>
        <w:numPr>
          <w:ilvl w:val="0"/>
          <w:numId w:val="2"/>
        </w:numPr>
        <w:spacing w:after="80"/>
      </w:pPr>
      <w:r>
        <w:t xml:space="preserve">Windows Server 2008 R2 o posterior en el controlador de dominio, para poder usar actualizaciones de Group Policy y desplegar el paquete.</w:t>
      </w:r>
    </w:p>
    <w:p>
      <w:pPr>
        <w:pBdr>
          <w:left w:val="single" w:color="D13438" w:sz="12" w:space="8"/>
        </w:pBdr>
        <w:shd w:fill="FDE7E9" w:val="clear"/>
        <w:spacing w:after="150" w:before="50"/>
        <w:ind w:left="100"/>
      </w:pPr>
      <w:r>
        <w:rPr>
          <w:b/>
          <w:bCs/>
          <w:color w:val="823B0B"/>
        </w:rPr>
        <w:t xml:space="preserve">Importante: </w:t>
      </w:r>
      <w:r>
        <w:rPr>
          <w:color w:val="823B0B"/>
        </w:rPr>
        <w:t xml:space="preserve">Para Windows Server 2019 y 2022, es posible que debas reemplazar 'NT AUTHORITY\\Well-Known-System-Account' por 'NT AUTHORITY\\SYSTEM' en el archivo XML que crea la preferencia de Group Policy.</w:t>
      </w:r>
    </w:p>
    <w:p>
      <w:r>
        <w:br w:type="page"/>
      </w:r>
    </w:p>
    <w:p>
      <w:pPr>
        <w:pStyle w:val="Heading1"/>
        <w:spacing w:after="150" w:before="300"/>
      </w:pPr>
      <w:r>
        <w:t xml:space="preserve">4. Plantilla de despliegue vía Group Policy (GPO)</w:t>
      </w:r>
    </w:p>
    <w:p>
      <w:pPr>
        <w:spacing w:after="120"/>
      </w:pPr>
      <w:r>
        <w:t xml:space="preserve">A continuación se detalla el procedimiento completo para onboarding de los 80 equipos Windows 10/11 Professional mediante Group Policy.</w:t>
      </w:r>
    </w:p>
    <w:p>
      <w:pPr>
        <w:pStyle w:val="Heading2"/>
        <w:spacing w:after="120" w:before="240"/>
      </w:pPr>
      <w:r>
        <w:t xml:space="preserve">4.1 Paso 1: Descargar el paquete de configuración</w:t>
      </w:r>
    </w:p>
    <w:p>
      <w:pPr>
        <w:pStyle w:val="ListParagraph"/>
        <w:numPr>
          <w:ilvl w:val="0"/>
          <w:numId w:val="3"/>
        </w:numPr>
        <w:spacing w:after="80"/>
      </w:pPr>
      <w:r>
        <w:t xml:space="preserve">Ingresa al portal de Microsoft Defender: security.microsoft.com</w:t>
      </w:r>
    </w:p>
    <w:p>
      <w:pPr>
        <w:pStyle w:val="ListParagraph"/>
        <w:numPr>
          <w:ilvl w:val="0"/>
          <w:numId w:val="3"/>
        </w:numPr>
        <w:spacing w:after="80"/>
      </w:pPr>
      <w:r>
        <w:t xml:space="preserve">En el panel de navegación, ve a Settings &gt; Endpoints.</w:t>
      </w:r>
    </w:p>
    <w:p>
      <w:pPr>
        <w:pStyle w:val="ListParagraph"/>
        <w:numPr>
          <w:ilvl w:val="0"/>
          <w:numId w:val="3"/>
        </w:numPr>
        <w:spacing w:after="80"/>
      </w:pPr>
      <w:r>
        <w:t xml:space="preserve">En la sección 'Device management', selecciona Onboarding.</w:t>
      </w:r>
    </w:p>
    <w:p>
      <w:pPr>
        <w:pStyle w:val="ListParagraph"/>
        <w:numPr>
          <w:ilvl w:val="0"/>
          <w:numId w:val="3"/>
        </w:numPr>
        <w:spacing w:after="80"/>
      </w:pPr>
      <w:r>
        <w:t xml:space="preserve">Selecciona el sistema operativo: Windows 10 y 11.</w:t>
      </w:r>
    </w:p>
    <w:p>
      <w:pPr>
        <w:pStyle w:val="ListParagraph"/>
        <w:numPr>
          <w:ilvl w:val="0"/>
          <w:numId w:val="3"/>
        </w:numPr>
        <w:spacing w:after="80"/>
      </w:pPr>
      <w:r>
        <w:t xml:space="preserve">En el campo 'Deployment method', selecciona Group Policy.</w:t>
      </w:r>
    </w:p>
    <w:p>
      <w:pPr>
        <w:pStyle w:val="ListParagraph"/>
        <w:numPr>
          <w:ilvl w:val="0"/>
          <w:numId w:val="3"/>
        </w:numPr>
        <w:spacing w:after="80"/>
      </w:pPr>
      <w:r>
        <w:t xml:space="preserve">Haz clic en Download package y guarda el archivo WindowsDefenderATPOnboardingPackage.zip.</w:t>
      </w:r>
    </w:p>
    <w:p>
      <w:pPr>
        <w:pStyle w:val="ListParagraph"/>
        <w:numPr>
          <w:ilvl w:val="0"/>
          <w:numId w:val="3"/>
        </w:numPr>
        <w:spacing w:after="80"/>
      </w:pPr>
      <w:r>
        <w:t xml:space="preserve">Extrae el contenido del paquete en una ubicación accesible desde el controlador de dominio (por ejemplo, en el recurso compartido SYSVOL o una carpeta temporal en el DC).</w:t>
      </w:r>
    </w:p>
    <w:p>
      <w:pPr>
        <w:pStyle w:val="Heading2"/>
        <w:spacing w:after="120" w:before="240"/>
      </w:pPr>
      <w:r>
        <w:t xml:space="preserve">4.2 Paso 2: Crear el GPO en Active Directory</w:t>
      </w:r>
    </w:p>
    <w:p>
      <w:pPr>
        <w:pStyle w:val="ListParagraph"/>
        <w:numPr>
          <w:ilvl w:val="0"/>
          <w:numId w:val="3"/>
        </w:numPr>
        <w:spacing w:after="80"/>
      </w:pPr>
      <w:r>
        <w:t xml:space="preserve">Abre la consola de Administración de Directivas de Grupo (Group Policy Management Console - GPMC) en el controlador de dominio.</w:t>
      </w:r>
    </w:p>
    <w:p>
      <w:pPr>
        <w:pStyle w:val="ListParagraph"/>
        <w:numPr>
          <w:ilvl w:val="0"/>
          <w:numId w:val="3"/>
        </w:numPr>
        <w:spacing w:after="80"/>
      </w:pPr>
      <w:r>
        <w:t xml:space="preserve">Haz clic derecho sobre la Unidad Organizativa (OU) que contiene los 80 equipos y selecciona 'Crear un GPO en este dominio y vincularlo aquí...'.</w:t>
      </w:r>
    </w:p>
    <w:p>
      <w:pPr>
        <w:pStyle w:val="ListParagraph"/>
        <w:numPr>
          <w:ilvl w:val="0"/>
          <w:numId w:val="3"/>
        </w:numPr>
        <w:spacing w:after="80"/>
      </w:pPr>
      <w:r>
        <w:t xml:space="preserve">Asigna un nombre descriptivo, por ejemplo: 'GPO - Onboarding Defender for Business'.</w:t>
      </w:r>
    </w:p>
    <w:p>
      <w:pPr>
        <w:pStyle w:val="ListParagraph"/>
        <w:numPr>
          <w:ilvl w:val="0"/>
          <w:numId w:val="3"/>
        </w:numPr>
        <w:spacing w:after="80"/>
      </w:pPr>
      <w:r>
        <w:t xml:space="preserve">Edita el nuevo GPO (clic derecho &gt; Editar).</w:t>
      </w:r>
    </w:p>
    <w:p>
      <w:pPr>
        <w:pStyle w:val="Heading2"/>
        <w:spacing w:after="120" w:before="240"/>
      </w:pPr>
      <w:r>
        <w:t xml:space="preserve">4.3 Paso 3: Configurar la tarea programada (Scheduled Task)</w:t>
      </w:r>
    </w:p>
    <w:p>
      <w:pPr>
        <w:spacing w:after="120"/>
      </w:pPr>
      <w:r>
        <w:t xml:space="preserve">Dentro del editor de GPO, la configuración se realiza mediante una tarea programada que ejecuta el script de onboarding en cada equipo:</w:t>
      </w:r>
    </w:p>
    <w:p>
      <w:pPr>
        <w:pStyle w:val="ListParagraph"/>
        <w:numPr>
          <w:ilvl w:val="0"/>
          <w:numId w:val="3"/>
        </w:numPr>
        <w:spacing w:after="80"/>
      </w:pPr>
      <w:r>
        <w:t xml:space="preserve">Navega a: Configuración de equipo &gt; Preferencias &gt; Configuración del Panel de control &gt; Tareas programadas.</w:t>
      </w:r>
    </w:p>
    <w:p>
      <w:pPr>
        <w:pStyle w:val="ListParagraph"/>
        <w:numPr>
          <w:ilvl w:val="0"/>
          <w:numId w:val="3"/>
        </w:numPr>
        <w:spacing w:after="80"/>
      </w:pPr>
      <w:r>
        <w:t xml:space="preserve">Clic derecho &gt; Nuevo &gt; Tarea programada (al menos Windows 7).</w:t>
      </w:r>
    </w:p>
    <w:p>
      <w:pPr>
        <w:pStyle w:val="ListParagraph"/>
        <w:numPr>
          <w:ilvl w:val="0"/>
          <w:numId w:val="3"/>
        </w:numPr>
        <w:spacing w:after="80"/>
      </w:pPr>
      <w:r>
        <w:t xml:space="preserve">En la pestaña General, asigna un nombre a la tarea (ej. 'Defender ATP Onboarding').</w:t>
      </w:r>
    </w:p>
    <w:p>
      <w:pPr>
        <w:pStyle w:val="ListParagraph"/>
        <w:numPr>
          <w:ilvl w:val="0"/>
          <w:numId w:val="3"/>
        </w:numPr>
        <w:spacing w:after="80"/>
      </w:pPr>
      <w:r>
        <w:t xml:space="preserve">En 'Cuenta de seguridad', selecciona NT AUTHORITY\SYSTEM como la cuenta con la que se ejecutará la tarea.</w:t>
      </w:r>
    </w:p>
    <w:p>
      <w:pPr>
        <w:pStyle w:val="ListParagraph"/>
        <w:numPr>
          <w:ilvl w:val="0"/>
          <w:numId w:val="3"/>
        </w:numPr>
        <w:spacing w:after="80"/>
      </w:pPr>
      <w:r>
        <w:t xml:space="preserve">Selecciona 'Ejecutar tanto si el usuario inició sesión como si no' y marca la casilla 'Ejecutar con los privilegios más altos'.</w:t>
      </w:r>
    </w:p>
    <w:p>
      <w:pPr>
        <w:pStyle w:val="ListParagraph"/>
        <w:numPr>
          <w:ilvl w:val="0"/>
          <w:numId w:val="3"/>
        </w:numPr>
        <w:spacing w:after="80"/>
      </w:pPr>
      <w:r>
        <w:t xml:space="preserve">En la pestaña Desencadenadores, configura un disparador (por ejemplo, al inicio del sistema o diario) para asegurar que equipos apagados durante el primer despliegue también se onboarden.</w:t>
      </w:r>
    </w:p>
    <w:p>
      <w:pPr>
        <w:pStyle w:val="ListParagraph"/>
        <w:numPr>
          <w:ilvl w:val="0"/>
          <w:numId w:val="3"/>
        </w:numPr>
        <w:spacing w:after="80"/>
      </w:pPr>
      <w:r>
        <w:t xml:space="preserve">En la pestaña Acciones, crea una nueva acción de tipo 'Iniciar un programa' apuntando al script WindowsDefenderATPOnboardingScript.cmd extraído del paquete (colócalo previamente en una ruta accesible por todos los equipos, como un recurso compartido de red con permisos de lectura para 'Equipos del dominio').</w:t>
      </w:r>
    </w:p>
    <w:p>
      <w:pPr>
        <w:pStyle w:val="ListParagraph"/>
        <w:numPr>
          <w:ilvl w:val="0"/>
          <w:numId w:val="3"/>
        </w:numPr>
        <w:spacing w:after="80"/>
      </w:pPr>
      <w:r>
        <w:t xml:space="preserve">Guarda la tarea y cierra el editor de GPO.</w:t>
      </w:r>
    </w:p>
    <w:p>
      <w:pPr>
        <w:pStyle w:val="Heading2"/>
        <w:spacing w:after="120" w:before="240"/>
      </w:pPr>
      <w:r>
        <w:t xml:space="preserve">4.4 Paso 4: Vincular y aplicar el GPO</w:t>
      </w:r>
    </w:p>
    <w:p>
      <w:pPr>
        <w:pStyle w:val="ListParagraph"/>
        <w:numPr>
          <w:ilvl w:val="0"/>
          <w:numId w:val="3"/>
        </w:numPr>
        <w:spacing w:after="80"/>
      </w:pPr>
      <w:r>
        <w:t xml:space="preserve">Confirma que el GPO esté vinculado a la OU correcta (o al dominio, según la estructura del cliente).</w:t>
      </w:r>
    </w:p>
    <w:p>
      <w:pPr>
        <w:pStyle w:val="ListParagraph"/>
        <w:numPr>
          <w:ilvl w:val="0"/>
          <w:numId w:val="3"/>
        </w:numPr>
        <w:spacing w:after="80"/>
      </w:pPr>
      <w:r>
        <w:t xml:space="preserve">Si necesitas aplicar el cambio de inmediato sin esperar el ciclo normal de actualización de GPO (90-120 min), ejecuta en los equipos cliente: gpupdate /force</w:t>
      </w:r>
    </w:p>
    <w:p>
      <w:pPr>
        <w:pStyle w:val="ListParagraph"/>
        <w:numPr>
          <w:ilvl w:val="0"/>
          <w:numId w:val="3"/>
        </w:numPr>
        <w:spacing w:after="80"/>
      </w:pPr>
      <w:r>
        <w:t xml:space="preserve">Verifica en un equipo de prueba que la tarea programada se haya creado correctamente en el Programador de tareas de Windows (Task Scheduler).</w:t>
      </w:r>
    </w:p>
    <w:p>
      <w:pPr>
        <w:pStyle w:val="Heading2"/>
        <w:spacing w:after="120" w:before="240"/>
      </w:pPr>
      <w:r>
        <w:t xml:space="preserve">4.5 Paso 5: Validar el onboarding</w:t>
      </w:r>
    </w:p>
    <w:p>
      <w:pPr>
        <w:pStyle w:val="ListParagraph"/>
        <w:numPr>
          <w:ilvl w:val="0"/>
          <w:numId w:val="3"/>
        </w:numPr>
        <w:spacing w:after="80"/>
      </w:pPr>
      <w:r>
        <w:t xml:space="preserve">Regresa al portal de Microsoft Defender (security.microsoft.com) &gt; Settings &gt; Endpoints &gt; Device inventory.</w:t>
      </w:r>
    </w:p>
    <w:p>
      <w:pPr>
        <w:pStyle w:val="ListParagraph"/>
        <w:numPr>
          <w:ilvl w:val="0"/>
          <w:numId w:val="3"/>
        </w:numPr>
        <w:spacing w:after="80"/>
      </w:pPr>
      <w:r>
        <w:t xml:space="preserve">Espera entre 10 y 60 minutos y confirma que los equipos comienzan a aparecer en la lista con estado 'Onboarded'.</w:t>
      </w:r>
    </w:p>
    <w:p>
      <w:pPr>
        <w:pStyle w:val="ListParagraph"/>
        <w:numPr>
          <w:ilvl w:val="0"/>
          <w:numId w:val="3"/>
        </w:numPr>
        <w:spacing w:after="80"/>
      </w:pPr>
      <w:r>
        <w:t xml:space="preserve">Ejecuta una prueba de detección en al menos un equipo para confirmar funcionamiento (ver sección 4.6).</w:t>
      </w:r>
    </w:p>
    <w:p>
      <w:pPr>
        <w:pStyle w:val="Heading2"/>
        <w:spacing w:after="120" w:before="240"/>
      </w:pPr>
      <w:r>
        <w:t xml:space="preserve">4.6 Prueba de detección (Detection test)</w:t>
      </w:r>
    </w:p>
    <w:p>
      <w:pPr>
        <w:spacing w:after="120"/>
      </w:pPr>
      <w:r>
        <w:t xml:space="preserve">Para confirmar que un dispositivo está correctamente onboardeado y reportando al portal:</w:t>
      </w:r>
    </w:p>
    <w:p>
      <w:pPr>
        <w:pStyle w:val="ListParagraph"/>
        <w:numPr>
          <w:ilvl w:val="0"/>
          <w:numId w:val="3"/>
        </w:numPr>
        <w:spacing w:after="80"/>
      </w:pPr>
      <w:r>
        <w:t xml:space="preserve">En el equipo onboardeado, abre el Símbolo del sistema como administrador.</w:t>
      </w:r>
    </w:p>
    <w:p>
      <w:pPr>
        <w:pStyle w:val="ListParagraph"/>
        <w:numPr>
          <w:ilvl w:val="0"/>
          <w:numId w:val="3"/>
        </w:numPr>
        <w:spacing w:after="80"/>
      </w:pPr>
      <w:r>
        <w:t xml:space="preserve">Ejecuta el siguiente comando de prueba (EICAR, archivo de prueba estándar de la industria, no es malware real):</w:t>
      </w:r>
    </w:p>
    <w:p>
      <w:pPr>
        <w:shd w:fill="F0F0F0" w:val="clear"/>
        <w:spacing w:after="150" w:before="100"/>
        <w:ind w:left="200"/>
      </w:pPr>
      <w:r>
        <w:rPr>
          <w:rFonts w:ascii="Consolas" w:cs="Consolas" w:eastAsia="Consolas" w:hAnsi="Consolas"/>
          <w:sz w:val="20"/>
          <w:szCs w:val="20"/>
        </w:rPr>
        <w:t xml:space="preserve">powershell.exe -NoExit -Command "Invoke-WebRequest -Uri 'https://aka.ms/ioavtest' -OutFile $env:TEMP\test.txt"</w:t>
      </w:r>
    </w:p>
    <w:p>
      <w:pPr>
        <w:pStyle w:val="ListParagraph"/>
        <w:numPr>
          <w:ilvl w:val="0"/>
          <w:numId w:val="3"/>
        </w:numPr>
        <w:spacing w:after="80"/>
      </w:pPr>
      <w:r>
        <w:t xml:space="preserve">El archivo debería ser detectado y eliminado automáticamente por Defender.</w:t>
      </w:r>
    </w:p>
    <w:p>
      <w:pPr>
        <w:pStyle w:val="ListParagraph"/>
        <w:numPr>
          <w:ilvl w:val="0"/>
          <w:numId w:val="3"/>
        </w:numPr>
        <w:spacing w:after="80"/>
      </w:pPr>
      <w:r>
        <w:t xml:space="preserve">Verifica que la alerta correspondiente aparezca en el portal, dentro de Incidents &amp; alerts.</w:t>
      </w:r>
    </w:p>
    <w:p>
      <w:r>
        <w:br w:type="page"/>
      </w:r>
    </w:p>
    <w:p>
      <w:pPr>
        <w:pStyle w:val="Heading1"/>
        <w:spacing w:after="150" w:before="300"/>
      </w:pPr>
      <w:r>
        <w:t xml:space="preserve">5. Recomendación de despliegue gradual para 80 equipos</w:t>
      </w:r>
    </w:p>
    <w:p>
      <w:pPr>
        <w:spacing w:after="120"/>
      </w:pPr>
      <w:r>
        <w:t xml:space="preserve">Aunque GPO permite aplicar el onboarding a todos los equipos de forma simultánea, para un entorno productivo se recomienda una implementación por fases, a fin de detectar cualquier incompatibilidad antes de escalar a toda la organización: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F6CBD" w:val="clear"/>
          </w:tcPr>
          <w:p>
            <w:r>
              <w:rPr>
                <w:b/>
                <w:bCs/>
                <w:color w:val="FFFFFF"/>
              </w:rPr>
              <w:t xml:space="preserve">Fase</w:t>
            </w:r>
          </w:p>
        </w:tc>
        <w:tc>
          <w:tcPr>
            <w:tcW w:type="dxa" w:w="3000"/>
            <w:shd w:fill="0F6CBD" w:val="clear"/>
          </w:tcPr>
          <w:p>
            <w:r>
              <w:rPr>
                <w:b/>
                <w:bCs/>
                <w:color w:val="FFFFFF"/>
              </w:rPr>
              <w:t xml:space="preserve">Equipos</w:t>
            </w:r>
          </w:p>
        </w:tc>
        <w:tc>
          <w:tcPr>
            <w:tcW w:type="dxa" w:w="3000"/>
            <w:shd w:fill="0F6CBD" w:val="clear"/>
          </w:tcPr>
          <w:p>
            <w:r>
              <w:rPr>
                <w:b/>
                <w:bCs/>
                <w:color w:val="FFFFFF"/>
              </w:rPr>
              <w:t xml:space="preserve">Objetivo</w:t>
            </w:r>
          </w:p>
        </w:tc>
      </w:tr>
      <w:tr>
        <w:tc>
          <w:tcPr>
            <w:tcW w:type="dxa" w:w="3000"/>
            <w:shd w:fill="F3F9FD" w:val="clear"/>
          </w:tcPr>
          <w:p>
            <w:r>
              <w:t xml:space="preserve">Piloto</w:t>
            </w:r>
          </w:p>
        </w:tc>
        <w:tc>
          <w:tcPr>
            <w:tcW w:type="dxa" w:w="3000"/>
            <w:shd w:fill="F3F9FD" w:val="clear"/>
          </w:tcPr>
          <w:p>
            <w:r>
              <w:t xml:space="preserve">5 - 10 equipos</w:t>
            </w:r>
          </w:p>
        </w:tc>
        <w:tc>
          <w:tcPr>
            <w:tcW w:type="dxa" w:w="3000"/>
            <w:shd w:fill="F3F9FD" w:val="clear"/>
          </w:tcPr>
          <w:p>
            <w:r>
              <w:t xml:space="preserve">Validar conectividad, aparición en el portal y prueba de detección.</w:t>
            </w:r>
          </w:p>
        </w:tc>
      </w:tr>
      <w:tr>
        <w:tc>
          <w:tcPr>
            <w:tcW w:type="dxa" w:w="3000"/>
            <w:shd w:fill="FFFFFF" w:val="clear"/>
          </w:tcPr>
          <w:p>
            <w:r>
              <w:t xml:space="preserve">Fase 1</w:t>
            </w:r>
          </w:p>
        </w:tc>
        <w:tc>
          <w:tcPr>
            <w:tcW w:type="dxa" w:w="3000"/>
            <w:shd w:fill="FFFFFF" w:val="clear"/>
          </w:tcPr>
          <w:p>
            <w:r>
              <w:t xml:space="preserve">20 equipos adicionales</w:t>
            </w:r>
          </w:p>
        </w:tc>
        <w:tc>
          <w:tcPr>
            <w:tcW w:type="dxa" w:w="3000"/>
            <w:shd w:fill="FFFFFF" w:val="clear"/>
          </w:tcPr>
          <w:p>
            <w:r>
              <w:t xml:space="preserve">Confirmar estabilidad y ausencia de falsos positivos con las políticas por defecto.</w:t>
            </w:r>
          </w:p>
        </w:tc>
      </w:tr>
      <w:tr>
        <w:tc>
          <w:tcPr>
            <w:tcW w:type="dxa" w:w="3000"/>
            <w:shd w:fill="F3F9FD" w:val="clear"/>
          </w:tcPr>
          <w:p>
            <w:r>
              <w:t xml:space="preserve">Fase 2</w:t>
            </w:r>
          </w:p>
        </w:tc>
        <w:tc>
          <w:tcPr>
            <w:tcW w:type="dxa" w:w="3000"/>
            <w:shd w:fill="F3F9FD" w:val="clear"/>
          </w:tcPr>
          <w:p>
            <w:r>
              <w:t xml:space="preserve">30 equipos adicionales</w:t>
            </w:r>
          </w:p>
        </w:tc>
        <w:tc>
          <w:tcPr>
            <w:tcW w:type="dxa" w:w="3000"/>
            <w:shd w:fill="F3F9FD" w:val="clear"/>
          </w:tcPr>
          <w:p>
            <w:r>
              <w:t xml:space="preserve">Escalar a la mayoría de la organización.</w:t>
            </w:r>
          </w:p>
        </w:tc>
      </w:tr>
      <w:tr>
        <w:tc>
          <w:tcPr>
            <w:tcW w:type="dxa" w:w="3000"/>
            <w:shd w:fill="FFFFFF" w:val="clear"/>
          </w:tcPr>
          <w:p>
            <w:r>
              <w:t xml:space="preserve">Fase 3</w:t>
            </w:r>
          </w:p>
        </w:tc>
        <w:tc>
          <w:tcPr>
            <w:tcW w:type="dxa" w:w="3000"/>
            <w:shd w:fill="FFFFFF" w:val="clear"/>
          </w:tcPr>
          <w:p>
            <w:r>
              <w:t xml:space="preserve">Equipos restantes (hasta completar 80)</w:t>
            </w:r>
          </w:p>
        </w:tc>
        <w:tc>
          <w:tcPr>
            <w:tcW w:type="dxa" w:w="3000"/>
            <w:shd w:fill="FFFFFF" w:val="clear"/>
          </w:tcPr>
          <w:p>
            <w:r>
              <w:t xml:space="preserve">Cierre del despliegue y verificación total del inventario de dispositivos.</w:t>
            </w:r>
          </w:p>
        </w:tc>
      </w:tr>
    </w:tbl>
    <w:p>
      <w:pPr>
        <w:spacing w:after="120"/>
      </w:pPr>
      <w:r>
        <w:t xml:space="preserve"/>
      </w:r>
    </w:p>
    <w:p>
      <w:pPr>
        <w:spacing w:after="120"/>
      </w:pPr>
      <w:r>
        <w:t xml:space="preserve">Esto se logra vinculando el GPO progresivamente a distintas OUs o utilizando filtrado por grupos de seguridad de AD, en lugar de aplicarlo al dominio completo desde el primer momento.</w:t>
      </w:r>
    </w:p>
    <w:p>
      <w:r>
        <w:br w:type="page"/>
      </w:r>
    </w:p>
    <w:p>
      <w:pPr>
        <w:pStyle w:val="Heading1"/>
        <w:spacing w:after="150" w:before="300"/>
      </w:pPr>
      <w:r>
        <w:t xml:space="preserve">6. Configuración de políticas de seguridad post-onboarding</w:t>
      </w:r>
    </w:p>
    <w:p>
      <w:pPr>
        <w:spacing w:after="120"/>
      </w:pPr>
      <w:r>
        <w:t xml:space="preserve">Una vez completado el onboarding, todos los dispositivos Windows se agregan automáticamente al grupo de dispositivos predeterminado (default device group) y reciben una política base con configuración recomendada. Se sugiere revisar y, si es necesario, ajustar lo siguiente desde Configuration management &gt; Device configuration en el portal:</w:t>
      </w:r>
    </w:p>
    <w:p>
      <w:pPr>
        <w:pStyle w:val="ListParagraph"/>
        <w:numPr>
          <w:ilvl w:val="0"/>
          <w:numId w:val="2"/>
        </w:numPr>
        <w:spacing w:after="80"/>
      </w:pPr>
      <w:r>
        <w:t xml:space="preserve">Next-generation protection: antivirus y protección en tiempo real (política por defecto ya activa).</w:t>
      </w:r>
    </w:p>
    <w:p>
      <w:pPr>
        <w:pStyle w:val="ListParagraph"/>
        <w:numPr>
          <w:ilvl w:val="0"/>
          <w:numId w:val="2"/>
        </w:numPr>
        <w:spacing w:after="80"/>
      </w:pPr>
      <w:r>
        <w:t xml:space="preserve">Reglas de reducción de superficie de ataque (ASR): activar progresivamente en modo auditoría antes de modo bloqueo.</w:t>
      </w:r>
    </w:p>
    <w:p>
      <w:pPr>
        <w:pStyle w:val="ListParagraph"/>
        <w:numPr>
          <w:ilvl w:val="0"/>
          <w:numId w:val="2"/>
        </w:numPr>
        <w:spacing w:after="80"/>
      </w:pPr>
      <w:r>
        <w:t xml:space="preserve">Firewall: revisar perfiles de dominio, privado y público según la red de cada sede.</w:t>
      </w:r>
    </w:p>
    <w:p>
      <w:pPr>
        <w:pStyle w:val="ListParagraph"/>
        <w:numPr>
          <w:ilvl w:val="0"/>
          <w:numId w:val="2"/>
        </w:numPr>
        <w:spacing w:after="80"/>
      </w:pPr>
      <w:r>
        <w:t xml:space="preserve">Protección contra manipulación (Tamper Protection): mantener activada en todos los dispositivos.</w:t>
      </w:r>
    </w:p>
    <w:p>
      <w:pPr>
        <w:pStyle w:val="ListParagraph"/>
        <w:numPr>
          <w:ilvl w:val="0"/>
          <w:numId w:val="2"/>
        </w:numPr>
        <w:spacing w:after="80"/>
      </w:pPr>
      <w:r>
        <w:t xml:space="preserve">Grupos de dispositivos personalizados: considerar crear grupos por departamento o sede si se requieren políticas diferenciadas.</w:t>
      </w:r>
    </w:p>
    <w:p>
      <w:r>
        <w:br w:type="page"/>
      </w:r>
    </w:p>
    <w:p>
      <w:pPr>
        <w:pStyle w:val="Heading1"/>
        <w:spacing w:after="150" w:before="300"/>
      </w:pPr>
      <w:r>
        <w:t xml:space="preserve">7. Monitoreo y mantenimiento</w:t>
      </w:r>
    </w:p>
    <w:p>
      <w:pPr>
        <w:pStyle w:val="ListParagraph"/>
        <w:numPr>
          <w:ilvl w:val="0"/>
          <w:numId w:val="2"/>
        </w:numPr>
        <w:spacing w:after="80"/>
      </w:pPr>
      <w:r>
        <w:t xml:space="preserve">Revisar semanalmente el Device inventory para confirmar que no haya equipos con estado 'Inactivo' o 'Sin reportar'.</w:t>
      </w:r>
    </w:p>
    <w:p>
      <w:pPr>
        <w:pStyle w:val="ListParagraph"/>
        <w:numPr>
          <w:ilvl w:val="0"/>
          <w:numId w:val="2"/>
        </w:numPr>
        <w:spacing w:after="80"/>
      </w:pPr>
      <w:r>
        <w:t xml:space="preserve">Configurar notificaciones de alertas por correo para el equipo de TI.</w:t>
      </w:r>
    </w:p>
    <w:p>
      <w:pPr>
        <w:pStyle w:val="ListParagraph"/>
        <w:numPr>
          <w:ilvl w:val="0"/>
          <w:numId w:val="2"/>
        </w:numPr>
        <w:spacing w:after="80"/>
      </w:pPr>
      <w:r>
        <w:t xml:space="preserve">Dar seguimiento a las recomendaciones de Puntuación de seguridad (Secure Score) del portal para mejorar la postura de seguridad de forma incremental.</w:t>
      </w:r>
    </w:p>
    <w:p>
      <w:pPr>
        <w:pStyle w:val="ListParagraph"/>
        <w:numPr>
          <w:ilvl w:val="0"/>
          <w:numId w:val="2"/>
        </w:numPr>
        <w:spacing w:after="80"/>
      </w:pPr>
      <w:r>
        <w:t xml:space="preserve">Establecer un procedimiento de offboarding para equipos dados de baja o reemplazados, a fin de mantener el inventario depurado.</w:t>
      </w:r>
    </w:p>
    <w:p>
      <w:r>
        <w:br w:type="page"/>
      </w:r>
    </w:p>
    <w:p>
      <w:pPr>
        <w:pStyle w:val="Heading1"/>
        <w:spacing w:after="150" w:before="300"/>
      </w:pPr>
      <w:r>
        <w:t xml:space="preserve">8. Resumen de la ruta de implementación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F6CBD" w:val="clear"/>
          </w:tcPr>
          <w:p>
            <w:r>
              <w:rPr>
                <w:b/>
                <w:bCs/>
                <w:color w:val="FFFFFF"/>
              </w:rPr>
              <w:t xml:space="preserve">Paso</w:t>
            </w:r>
          </w:p>
        </w:tc>
        <w:tc>
          <w:tcPr>
            <w:tcW w:type="dxa" w:w="4500"/>
            <w:shd w:fill="0F6CBD" w:val="clear"/>
          </w:tcPr>
          <w:p>
            <w:r>
              <w:rPr>
                <w:b/>
                <w:bCs/>
                <w:color w:val="FFFFFF"/>
              </w:rPr>
              <w:t xml:space="preserve">Acción</w:t>
            </w:r>
          </w:p>
        </w:tc>
      </w:tr>
      <w:tr>
        <w:tc>
          <w:tcPr>
            <w:tcW w:type="dxa" w:w="4500"/>
            <w:shd w:fill="F3F9FD" w:val="clear"/>
          </w:tcPr>
          <w:p>
            <w:r>
              <w:t xml:space="preserve">1</w:t>
            </w:r>
          </w:p>
        </w:tc>
        <w:tc>
          <w:tcPr>
            <w:tcW w:type="dxa" w:w="4500"/>
            <w:shd w:fill="F3F9FD" w:val="clear"/>
          </w:tcPr>
          <w:p>
            <w:r>
              <w:t xml:space="preserve">Confirmar licenciamiento de MDB y permisos de administrador.</w:t>
            </w:r>
          </w:p>
        </w:tc>
      </w:tr>
      <w:tr>
        <w:tc>
          <w:tcPr>
            <w:tcW w:type="dxa" w:w="4500"/>
            <w:shd w:fill="FFFFFF" w:val="clear"/>
          </w:tcPr>
          <w:p>
            <w:r>
              <w:t xml:space="preserve">2</w:t>
            </w:r>
          </w:p>
        </w:tc>
        <w:tc>
          <w:tcPr>
            <w:tcW w:type="dxa" w:w="4500"/>
            <w:shd w:fill="FFFFFF" w:val="clear"/>
          </w:tcPr>
          <w:p>
            <w:r>
              <w:t xml:space="preserve">Descargar el paquete de onboarding para Group Policy desde security.microsoft.com.</w:t>
            </w:r>
          </w:p>
        </w:tc>
      </w:tr>
      <w:tr>
        <w:tc>
          <w:tcPr>
            <w:tcW w:type="dxa" w:w="4500"/>
            <w:shd w:fill="F3F9FD" w:val="clear"/>
          </w:tcPr>
          <w:p>
            <w:r>
              <w:t xml:space="preserve">3</w:t>
            </w:r>
          </w:p>
        </w:tc>
        <w:tc>
          <w:tcPr>
            <w:tcW w:type="dxa" w:w="4500"/>
            <w:shd w:fill="F3F9FD" w:val="clear"/>
          </w:tcPr>
          <w:p>
            <w:r>
              <w:t xml:space="preserve">Crear el GPO en Active Directory y configurar la tarea programada con el script de onboarding.</w:t>
            </w:r>
          </w:p>
        </w:tc>
      </w:tr>
      <w:tr>
        <w:tc>
          <w:tcPr>
            <w:tcW w:type="dxa" w:w="4500"/>
            <w:shd w:fill="FFFFFF" w:val="clear"/>
          </w:tcPr>
          <w:p>
            <w:r>
              <w:t xml:space="preserve">4</w:t>
            </w:r>
          </w:p>
        </w:tc>
        <w:tc>
          <w:tcPr>
            <w:tcW w:type="dxa" w:w="4500"/>
            <w:shd w:fill="FFFFFF" w:val="clear"/>
          </w:tcPr>
          <w:p>
            <w:r>
              <w:t xml:space="preserve">Vincular el GPO de forma gradual (piloto, fase 1, fase 2, fase 3) hasta cubrir los 80 equipos.</w:t>
            </w:r>
          </w:p>
        </w:tc>
      </w:tr>
      <w:tr>
        <w:tc>
          <w:tcPr>
            <w:tcW w:type="dxa" w:w="4500"/>
            <w:shd w:fill="F3F9FD" w:val="clear"/>
          </w:tcPr>
          <w:p>
            <w:r>
              <w:t xml:space="preserve">5</w:t>
            </w:r>
          </w:p>
        </w:tc>
        <w:tc>
          <w:tcPr>
            <w:tcW w:type="dxa" w:w="4500"/>
            <w:shd w:fill="F3F9FD" w:val="clear"/>
          </w:tcPr>
          <w:p>
            <w:r>
              <w:t xml:space="preserve">Validar el onboarding en el portal y ejecutar pruebas de detección.</w:t>
            </w:r>
          </w:p>
        </w:tc>
      </w:tr>
      <w:tr>
        <w:tc>
          <w:tcPr>
            <w:tcW w:type="dxa" w:w="4500"/>
            <w:shd w:fill="FFFFFF" w:val="clear"/>
          </w:tcPr>
          <w:p>
            <w:r>
              <w:t xml:space="preserve">6</w:t>
            </w:r>
          </w:p>
        </w:tc>
        <w:tc>
          <w:tcPr>
            <w:tcW w:type="dxa" w:w="4500"/>
            <w:shd w:fill="FFFFFF" w:val="clear"/>
          </w:tcPr>
          <w:p>
            <w:r>
              <w:t xml:space="preserve">Ajustar políticas de protección (ASR, firewall, tamper protection) según necesidades del cliente.</w:t>
            </w:r>
          </w:p>
        </w:tc>
      </w:tr>
      <w:tr>
        <w:tc>
          <w:tcPr>
            <w:tcW w:type="dxa" w:w="4500"/>
            <w:shd w:fill="F3F9FD" w:val="clear"/>
          </w:tcPr>
          <w:p>
            <w:r>
              <w:t xml:space="preserve">7</w:t>
            </w:r>
          </w:p>
        </w:tc>
        <w:tc>
          <w:tcPr>
            <w:tcW w:type="dxa" w:w="4500"/>
            <w:shd w:fill="F3F9FD" w:val="clear"/>
          </w:tcPr>
          <w:p>
            <w:r>
              <w:t xml:space="preserve">Establecer monitoreo continuo y procedimiento de offboarding.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2026-08-26T05:43:00.997Z</dcterms:created>
  <dcterms:modified xsi:type="dcterms:W3CDTF">2026-08-26T05:43:01.015Z</dcterms:modified>
</cp:coreProperties>
</file>

<file path=docProps/custom.xml><?xml version="1.0" encoding="utf-8"?>
<Properties xmlns="http://schemas.openxmlformats.org/officeDocument/2006/custom-properties" xmlns:vt="http://schemas.openxmlformats.org/officeDocument/2006/docPropsVTypes"/>
</file>