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52"/>
          <w:szCs w:val="52"/>
        </w:rPr>
        <w:t xml:space="preserve">PROPUESTA DE SERVICIO</w:t>
      </w:r>
    </w:p>
    <w:p>
      <w:pPr>
        <w:spacing w:after="100" w:before="200"/>
        <w:jc w:val="center"/>
      </w:pPr>
      <w:r>
        <w:rPr>
          <w:rFonts w:ascii="Calibri" w:cs="Calibri" w:eastAsia="Calibri" w:hAnsi="Calibri"/>
          <w:b/>
          <w:bCs/>
          <w:color w:val="2E5395"/>
          <w:sz w:val="32"/>
          <w:szCs w:val="32"/>
        </w:rPr>
        <w:t xml:space="preserve">Migración de Active Directory y Tenant Microsoft 365</w:t>
      </w:r>
    </w:p>
    <w:p>
      <w:pPr>
        <w:spacing w:after="800"/>
        <w:jc w:val="center"/>
      </w:pPr>
      <w:r>
        <w:rPr>
          <w:rFonts w:ascii="Calibri" w:cs="Calibri" w:eastAsia="Calibri" w:hAnsi="Calibri"/>
          <w:i/>
          <w:iCs/>
          <w:color w:val="595959"/>
          <w:sz w:val="24"/>
          <w:szCs w:val="24"/>
        </w:rPr>
        <w:t xml:space="preserve">Escisión del Área de Finanzas — Separación de Identidad y Colaboración</w:t>
      </w:r>
    </w:p>
    <w:p>
      <w:pPr>
        <w:spacing w:before="1200"/>
      </w:pPr>
      <w:r>
        <w:t xml:space="preserve"/>
      </w:r>
    </w:p>
    <w:p>
      <w:pPr>
        <w:jc w:val="center"/>
      </w:pPr>
      <w:r>
        <w:rPr>
          <w:rFonts w:ascii="Calibri" w:cs="Calibri" w:eastAsia="Calibri" w:hAnsi="Calibri"/>
          <w:color w:val="595959"/>
          <w:sz w:val="21"/>
          <w:szCs w:val="21"/>
        </w:rPr>
        <w:t xml:space="preserve">Fecha: 30 de julio de 2026</w:t>
      </w:r>
    </w:p>
    <w:p>
      <w:pPr>
        <w:spacing w:after="80"/>
        <w:jc w:val="center"/>
      </w:pPr>
      <w:r>
        <w:rPr>
          <w:rFonts w:ascii="Calibri" w:cs="Calibri" w:eastAsia="Calibri" w:hAnsi="Calibri"/>
          <w:color w:val="595959"/>
          <w:sz w:val="21"/>
          <w:szCs w:val="21"/>
        </w:rPr>
        <w:t xml:space="preserve">Versión: 1.0</w:t>
      </w:r>
    </w:p>
    <w:p>
      <w:pPr>
        <w:jc w:val="center"/>
      </w:pPr>
      <w:r>
        <w:rPr>
          <w:rFonts w:ascii="Calibri" w:cs="Calibri" w:eastAsia="Calibri" w:hAnsi="Calibri"/>
          <w:b/>
          <w:bCs/>
          <w:color w:val="C00000"/>
          <w:sz w:val="21"/>
          <w:szCs w:val="21"/>
        </w:rPr>
        <w:t xml:space="preserve">Clasificación: Confidencial</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Control de Versiones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000"/>
      </w:tblGrid>
      <w:tr>
        <w:trPr>
          <w:tblHeader/>
        </w:trPr>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Versión</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Fecha</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Autor</w:t>
            </w:r>
          </w:p>
        </w:tc>
        <w:tc>
          <w:tcPr>
            <w:tcW w:type="dxa" w:w="4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Descripción del cambio</w:t>
            </w:r>
          </w:p>
        </w:tc>
      </w:tr>
      <w:tr>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30/07/2026</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Equipo de Arquitectura / Infraestructura</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Versión inicial de la propuesta técnica</w:t>
            </w:r>
          </w:p>
        </w:tc>
      </w:tr>
    </w:tbl>
    <w:p>
      <w:pPr>
        <w:spacing w:before="300"/>
      </w:pP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 Situación Actual</w:t>
      </w:r>
    </w:p>
    <w:p>
      <w:pPr>
        <w:spacing w:after="160" w:line="276"/>
        <w:jc w:val="both"/>
      </w:pPr>
      <w:r>
        <w:rPr>
          <w:rFonts w:ascii="Calibri" w:cs="Calibri" w:eastAsia="Calibri" w:hAnsi="Calibri"/>
          <w:sz w:val="21"/>
          <w:szCs w:val="21"/>
        </w:rPr>
        <w:t xml:space="preserve">La organización opera actualmente un entorno híbrido de identidad conformado por un dominio de Active Directory (AD DS) on-premises, sincronizado mediante Microsoft Entra Connect (Azure AD Connect) hacia un único tenant de Microsoft Entra ID, sobre el cual se sustentan los servicios de Microsoft 365 (Exchange Online, SharePoint Online, OneDrive for Business, Teams, Intune y aplicaciones dependientes).</w:t>
      </w:r>
    </w:p>
    <w:p>
      <w:pPr>
        <w:spacing w:after="160" w:line="276"/>
        <w:jc w:val="both"/>
      </w:pPr>
      <w:r>
        <w:rPr>
          <w:rFonts w:ascii="Calibri" w:cs="Calibri" w:eastAsia="Calibri" w:hAnsi="Calibri"/>
          <w:sz w:val="21"/>
          <w:szCs w:val="21"/>
        </w:rPr>
        <w:t xml:space="preserve">Derivado de un proceso de separación societaria y contractual, el área de Finanzas será escindida de la organización para constituirse como una entidad independiente. Esta separación implica que los usuarios, equipos, buzones, sitios de colaboración, licencias y demás activos digitales asociados al personal de Finanzas deben migrarse a un nuevo dominio de Active Directory y a un nuevo tenant de Microsoft 365, de forma que operen de manera completamente autónoma respecto de la organización de origen, sin dependencias residuales de identidad, autenticación o colaboración.</w:t>
      </w:r>
    </w:p>
    <w:p>
      <w:pPr>
        <w:pStyle w:val="Heading2"/>
        <w:spacing w:after="160" w:before="320"/>
      </w:pPr>
      <w:r>
        <w:rPr>
          <w:rFonts w:ascii="Calibri" w:cs="Calibri" w:eastAsia="Calibri" w:hAnsi="Calibri"/>
          <w:b/>
          <w:bCs/>
          <w:color w:val="2E5395"/>
          <w:sz w:val="24"/>
          <w:szCs w:val="24"/>
        </w:rPr>
        <w:t xml:space="preserve">1.1 Diagnóstico del entorno actual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CE6F1"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Directorio activo (AD DS)</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Dominio único on-premises, controladores de dominio (DC) físicos/virtuales, GPOs, OUs por área funcional.</w:t>
            </w:r>
          </w:p>
        </w:tc>
      </w:tr>
      <w:tr>
        <w:tc>
          <w:tcPr>
            <w:tcW w:type="dxa" w:w="2800"/>
            <w:shd w:fill="DCE6F1"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Sincronización de identidad</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Microsoft Entra Connect (sincronización de hash de contraseña o Pass-Through Authentication, a validar en Fase 0).</w:t>
            </w:r>
          </w:p>
        </w:tc>
      </w:tr>
      <w:tr>
        <w:tc>
          <w:tcPr>
            <w:tcW w:type="dxa" w:w="2800"/>
            <w:shd w:fill="DCE6F1"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Tenant Entra ID / M365</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Tenant único que aloja identidades, licencias y cargas de trabajo de toda la organización, incluyendo Finanzas.</w:t>
            </w:r>
          </w:p>
        </w:tc>
      </w:tr>
      <w:tr>
        <w:tc>
          <w:tcPr>
            <w:tcW w:type="dxa" w:w="2800"/>
            <w:shd w:fill="DCE6F1"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Cargas de trabajo M365</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Exchange Online, SharePoint Online, OneDrive for Business, Microsoft Teams, Intune / Endpoint Manager, Power Platform (si aplica).</w:t>
            </w:r>
          </w:p>
        </w:tc>
      </w:tr>
      <w:tr>
        <w:tc>
          <w:tcPr>
            <w:tcW w:type="dxa" w:w="2800"/>
            <w:shd w:fill="DCE6F1"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Usuarios impactados (estimado)</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Colaboradores del área de Finanzas y equipos/servicios asociados. Cifra exacta a confirmar en el levantamiento inicial (Fase 0).</w:t>
            </w:r>
          </w:p>
        </w:tc>
      </w:tr>
      <w:tr>
        <w:tc>
          <w:tcPr>
            <w:tcW w:type="dxa" w:w="2800"/>
            <w:shd w:fill="DCE6F1"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Dispositivos</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Equipos unidos al dominio (AD-joined) y/o híbridos (Entra Hybrid Joined), gestionados vía GPO e Intune.</w:t>
            </w:r>
          </w:p>
        </w:tc>
      </w:tr>
    </w:tbl>
    <w:p>
      <w:pPr>
        <w:spacing w:after="160" w:line="276"/>
        <w:jc w:val="both"/>
      </w:pPr>
      <w:r>
        <w:rPr>
          <w:rFonts w:ascii="Calibri" w:cs="Calibri" w:eastAsia="Calibri" w:hAnsi="Calibri"/>
          <w:sz w:val="21"/>
          <w:szCs w:val="21"/>
        </w:rPr>
        <w:t xml:space="preserve">Este documento establece la estrategia y el plan de trabajo para ejecutar dicha migración, minimizando el impacto operativo, garantizando la continuidad del negocio y asegurando el cumplimiento de los compromisos contractuales y de seguridad de la información.</w:t>
      </w:r>
    </w:p>
    <w:p>
      <w:pPr>
        <w:pStyle w:val="Heading1"/>
        <w:pBdr>
          <w:bottom w:val="single" w:color="2E5395" w:sz="6" w:space="4"/>
        </w:pBdr>
        <w:spacing w:after="240" w:before="480"/>
      </w:pPr>
      <w:r>
        <w:rPr>
          <w:rFonts w:ascii="Calibri" w:cs="Calibri" w:eastAsia="Calibri" w:hAnsi="Calibri"/>
          <w:b/>
          <w:bCs/>
          <w:color w:val="1F3864"/>
          <w:sz w:val="30"/>
          <w:szCs w:val="30"/>
        </w:rPr>
        <w:t xml:space="preserve">2. Objetivos</w:t>
      </w:r>
    </w:p>
    <w:p>
      <w:pPr>
        <w:pStyle w:val="Heading2"/>
        <w:spacing w:after="160" w:before="320"/>
      </w:pPr>
      <w:r>
        <w:rPr>
          <w:rFonts w:ascii="Calibri" w:cs="Calibri" w:eastAsia="Calibri" w:hAnsi="Calibri"/>
          <w:b/>
          <w:bCs/>
          <w:color w:val="2E5395"/>
          <w:sz w:val="24"/>
          <w:szCs w:val="24"/>
        </w:rPr>
        <w:t xml:space="preserve">2.1 Objetivo General</w:t>
      </w:r>
    </w:p>
    <w:p>
      <w:pPr>
        <w:spacing w:after="160" w:line="276"/>
        <w:jc w:val="both"/>
      </w:pPr>
      <w:r>
        <w:rPr>
          <w:rFonts w:ascii="Calibri" w:cs="Calibri" w:eastAsia="Calibri" w:hAnsi="Calibri"/>
          <w:sz w:val="21"/>
          <w:szCs w:val="21"/>
        </w:rPr>
        <w:t xml:space="preserve">Diseñar y ejecutar la estrategia de migración de los elementos de Active Directory y del tenant de Microsoft 365 correspondientes al área de Finanzas, hacia un nuevo dominio de AD y un nuevo tenant M365 independientes, garantizando la continuidad operativa, la integridad de los datos y el cumplimiento de los tiempos contractuales de separación.</w:t>
      </w:r>
    </w:p>
    <w:p>
      <w:pPr>
        <w:pStyle w:val="Heading2"/>
        <w:spacing w:after="160" w:before="320"/>
      </w:pPr>
      <w:r>
        <w:rPr>
          <w:rFonts w:ascii="Calibri" w:cs="Calibri" w:eastAsia="Calibri" w:hAnsi="Calibri"/>
          <w:b/>
          <w:bCs/>
          <w:color w:val="2E5395"/>
          <w:sz w:val="24"/>
          <w:szCs w:val="24"/>
        </w:rPr>
        <w:t xml:space="preserve">2.2 Objetivos Específicos</w:t>
      </w:r>
    </w:p>
    <w:p>
      <w:pPr>
        <w:pStyle w:val="ListParagraph"/>
        <w:numPr>
          <w:ilvl w:val="0"/>
          <w:numId w:val="2"/>
        </w:numPr>
        <w:spacing w:after="80"/>
      </w:pPr>
      <w:r>
        <w:rPr>
          <w:rFonts w:ascii="Calibri" w:cs="Calibri" w:eastAsia="Calibri" w:hAnsi="Calibri"/>
          <w:sz w:val="21"/>
          <w:szCs w:val="21"/>
        </w:rPr>
        <w:t xml:space="preserve">Levantar el inventario completo de identidades, grupos, OUs, GPOs y objetos de AD pertenecientes o relacionados con el área de Finanzas.</w:t>
      </w:r>
    </w:p>
    <w:p>
      <w:pPr>
        <w:pStyle w:val="ListParagraph"/>
        <w:numPr>
          <w:ilvl w:val="0"/>
          <w:numId w:val="2"/>
        </w:numPr>
        <w:spacing w:after="80"/>
      </w:pPr>
      <w:r>
        <w:rPr>
          <w:rFonts w:ascii="Calibri" w:cs="Calibri" w:eastAsia="Calibri" w:hAnsi="Calibri"/>
          <w:sz w:val="21"/>
          <w:szCs w:val="21"/>
        </w:rPr>
        <w:t xml:space="preserve">Diseñar la arquitectura del nuevo dominio de Active Directory y del nuevo tenant Microsoft Entra ID / M365 de destino.</w:t>
      </w:r>
    </w:p>
    <w:p>
      <w:pPr>
        <w:pStyle w:val="ListParagraph"/>
        <w:numPr>
          <w:ilvl w:val="0"/>
          <w:numId w:val="2"/>
        </w:numPr>
        <w:spacing w:after="80"/>
      </w:pPr>
      <w:r>
        <w:rPr>
          <w:rFonts w:ascii="Calibri" w:cs="Calibri" w:eastAsia="Calibri" w:hAnsi="Calibri"/>
          <w:sz w:val="21"/>
          <w:szCs w:val="21"/>
        </w:rPr>
        <w:t xml:space="preserve">Definir la estrategia de migración de identidades (usuarios, grupos, contraseñas/credenciales) del dominio origen al dominio destino.</w:t>
      </w:r>
    </w:p>
    <w:p>
      <w:pPr>
        <w:pStyle w:val="ListParagraph"/>
        <w:numPr>
          <w:ilvl w:val="0"/>
          <w:numId w:val="2"/>
        </w:numPr>
        <w:spacing w:after="80"/>
      </w:pPr>
      <w:r>
        <w:rPr>
          <w:rFonts w:ascii="Calibri" w:cs="Calibri" w:eastAsia="Calibri" w:hAnsi="Calibri"/>
          <w:sz w:val="21"/>
          <w:szCs w:val="21"/>
        </w:rPr>
        <w:t xml:space="preserve">Migrar los buzones de correo (Exchange Online), sitios de SharePoint, OneDrive y equipos de Microsoft Teams del personal de Finanzas al nuevo tenant.</w:t>
      </w:r>
    </w:p>
    <w:p>
      <w:pPr>
        <w:pStyle w:val="ListParagraph"/>
        <w:numPr>
          <w:ilvl w:val="0"/>
          <w:numId w:val="2"/>
        </w:numPr>
        <w:spacing w:after="80"/>
      </w:pPr>
      <w:r>
        <w:rPr>
          <w:rFonts w:ascii="Calibri" w:cs="Calibri" w:eastAsia="Calibri" w:hAnsi="Calibri"/>
          <w:sz w:val="21"/>
          <w:szCs w:val="21"/>
        </w:rPr>
        <w:t xml:space="preserve">Reasignar y adquirir el licenciamiento M365/EMS necesario para el tenant destino, evitando duplicidad de costos durante la transición.</w:t>
      </w:r>
    </w:p>
    <w:p>
      <w:pPr>
        <w:pStyle w:val="ListParagraph"/>
        <w:numPr>
          <w:ilvl w:val="0"/>
          <w:numId w:val="2"/>
        </w:numPr>
        <w:spacing w:after="80"/>
      </w:pPr>
      <w:r>
        <w:rPr>
          <w:rFonts w:ascii="Calibri" w:cs="Calibri" w:eastAsia="Calibri" w:hAnsi="Calibri"/>
          <w:sz w:val="21"/>
          <w:szCs w:val="21"/>
        </w:rPr>
        <w:t xml:space="preserve">Establecer los mecanismos de corte (cutover) de DNS, dominios verificados (custom domains) y coexistencia de correo durante la transición.</w:t>
      </w:r>
    </w:p>
    <w:p>
      <w:pPr>
        <w:pStyle w:val="ListParagraph"/>
        <w:numPr>
          <w:ilvl w:val="0"/>
          <w:numId w:val="2"/>
        </w:numPr>
        <w:spacing w:after="80"/>
      </w:pPr>
      <w:r>
        <w:rPr>
          <w:rFonts w:ascii="Calibri" w:cs="Calibri" w:eastAsia="Calibri" w:hAnsi="Calibri"/>
          <w:sz w:val="21"/>
          <w:szCs w:val="21"/>
        </w:rPr>
        <w:t xml:space="preserve">Garantizar la separación lógica y de seguridad entre ambos tenants una vez concluida la migración (sin relaciones de confianza residuales, sin sincronización cruzada).</w:t>
      </w:r>
    </w:p>
    <w:p>
      <w:pPr>
        <w:pStyle w:val="ListParagraph"/>
        <w:numPr>
          <w:ilvl w:val="0"/>
          <w:numId w:val="2"/>
        </w:numPr>
        <w:spacing w:after="80"/>
      </w:pPr>
      <w:r>
        <w:rPr>
          <w:rFonts w:ascii="Calibri" w:cs="Calibri" w:eastAsia="Calibri" w:hAnsi="Calibri"/>
          <w:sz w:val="21"/>
          <w:szCs w:val="21"/>
        </w:rPr>
        <w:t xml:space="preserve">Minimizar la afectación al usuario final mediante ventanas de migración planificadas y comunicación oportuna.</w:t>
      </w:r>
    </w:p>
    <w:p>
      <w:pPr>
        <w:pStyle w:val="Heading1"/>
        <w:pBdr>
          <w:bottom w:val="single" w:color="2E5395" w:sz="6" w:space="4"/>
        </w:pBdr>
        <w:spacing w:after="240" w:before="480"/>
      </w:pPr>
      <w:r>
        <w:rPr>
          <w:rFonts w:ascii="Calibri" w:cs="Calibri" w:eastAsia="Calibri" w:hAnsi="Calibri"/>
          <w:b/>
          <w:bCs/>
          <w:color w:val="1F3864"/>
          <w:sz w:val="30"/>
          <w:szCs w:val="30"/>
        </w:rPr>
        <w:t xml:space="preserve">3. Arquitectura</w:t>
      </w:r>
    </w:p>
    <w:p>
      <w:pPr>
        <w:pStyle w:val="Heading2"/>
        <w:spacing w:after="160" w:before="320"/>
      </w:pPr>
      <w:r>
        <w:rPr>
          <w:rFonts w:ascii="Calibri" w:cs="Calibri" w:eastAsia="Calibri" w:hAnsi="Calibri"/>
          <w:b/>
          <w:bCs/>
          <w:color w:val="2E5395"/>
          <w:sz w:val="24"/>
          <w:szCs w:val="24"/>
        </w:rPr>
        <w:t xml:space="preserve">3.1 Arquitectura Actual (Origen)</w:t>
      </w:r>
    </w:p>
    <w:p>
      <w:pPr>
        <w:spacing w:after="160" w:line="276"/>
        <w:jc w:val="both"/>
      </w:pPr>
      <w:r>
        <w:rPr>
          <w:rFonts w:ascii="Calibri" w:cs="Calibri" w:eastAsia="Calibri" w:hAnsi="Calibri"/>
          <w:sz w:val="21"/>
          <w:szCs w:val="21"/>
        </w:rPr>
        <w:t xml:space="preserve">Un tenant de Microsoft Entra ID recibe la identidad sincronizada desde un único bosque/dominio de Active Directory on-premises a través de Microsoft Entra Connect. Todas las cargas de trabajo de M365 (Exchange Online, SharePoint, OneDrive, Teams) dependen de este tenant único, compartido entre la organización y el área de Finanzas.</w:t>
      </w:r>
    </w:p>
    <w:p>
      <w:pPr>
        <w:pStyle w:val="Heading3"/>
        <w:spacing w:after="120" w:before="220"/>
      </w:pPr>
      <w:r>
        <w:rPr>
          <w:rFonts w:ascii="Calibri" w:cs="Calibri" w:eastAsia="Calibri" w:hAnsi="Calibri"/>
          <w:b/>
          <w:bCs/>
          <w:color w:val="595959"/>
          <w:sz w:val="22"/>
          <w:szCs w:val="22"/>
        </w:rPr>
        <w:t xml:space="preserve">Componentes clave – Origen</w:t>
      </w:r>
    </w:p>
    <w:p>
      <w:pPr>
        <w:pStyle w:val="ListParagraph"/>
        <w:numPr>
          <w:ilvl w:val="0"/>
          <w:numId w:val="2"/>
        </w:numPr>
        <w:spacing w:after="80"/>
      </w:pPr>
      <w:r>
        <w:rPr>
          <w:rFonts w:ascii="Calibri" w:cs="Calibri" w:eastAsia="Calibri" w:hAnsi="Calibri"/>
          <w:sz w:val="21"/>
          <w:szCs w:val="21"/>
        </w:rPr>
        <w:t xml:space="preserve">Dominio AD DS origen (ej. contoso.local / contoso.com) con sus OUs, GPOs y relaciones de confianza internas.</w:t>
      </w:r>
    </w:p>
    <w:p>
      <w:pPr>
        <w:pStyle w:val="ListParagraph"/>
        <w:numPr>
          <w:ilvl w:val="0"/>
          <w:numId w:val="2"/>
        </w:numPr>
        <w:spacing w:after="80"/>
      </w:pPr>
      <w:r>
        <w:rPr>
          <w:rFonts w:ascii="Calibri" w:cs="Calibri" w:eastAsia="Calibri" w:hAnsi="Calibri"/>
          <w:sz w:val="21"/>
          <w:szCs w:val="21"/>
        </w:rPr>
        <w:t xml:space="preserve">Servidor(es) Entra Connect con reglas de sincronización (filtrado por OU/atributo a definir para Finanzas).</w:t>
      </w:r>
    </w:p>
    <w:p>
      <w:pPr>
        <w:pStyle w:val="ListParagraph"/>
        <w:numPr>
          <w:ilvl w:val="0"/>
          <w:numId w:val="2"/>
        </w:numPr>
        <w:spacing w:after="80"/>
      </w:pPr>
      <w:r>
        <w:rPr>
          <w:rFonts w:ascii="Calibri" w:cs="Calibri" w:eastAsia="Calibri" w:hAnsi="Calibri"/>
          <w:sz w:val="21"/>
          <w:szCs w:val="21"/>
        </w:rPr>
        <w:t xml:space="preserve">Tenant Entra ID origen (ej. contoso.onmicrosoft.com) con dominio(s) personalizado(s) verificado(s).</w:t>
      </w:r>
    </w:p>
    <w:p>
      <w:pPr>
        <w:pStyle w:val="ListParagraph"/>
        <w:numPr>
          <w:ilvl w:val="0"/>
          <w:numId w:val="2"/>
        </w:numPr>
        <w:spacing w:after="80"/>
      </w:pPr>
      <w:r>
        <w:rPr>
          <w:rFonts w:ascii="Calibri" w:cs="Calibri" w:eastAsia="Calibri" w:hAnsi="Calibri"/>
          <w:sz w:val="21"/>
          <w:szCs w:val="21"/>
        </w:rPr>
        <w:t xml:space="preserve">Suscripciones M365 (Exchange Online, SharePoint, Teams) y licenciamiento asociado a todos los usuarios, incluido Finanzas.</w:t>
      </w:r>
    </w:p>
    <w:p>
      <w:pPr>
        <w:pStyle w:val="Heading2"/>
        <w:spacing w:after="160" w:before="320"/>
      </w:pPr>
      <w:r>
        <w:rPr>
          <w:rFonts w:ascii="Calibri" w:cs="Calibri" w:eastAsia="Calibri" w:hAnsi="Calibri"/>
          <w:b/>
          <w:bCs/>
          <w:color w:val="2E5395"/>
          <w:sz w:val="24"/>
          <w:szCs w:val="24"/>
        </w:rPr>
        <w:t xml:space="preserve">3.2 Arquitectura Objetivo (Destino)</w:t>
      </w:r>
    </w:p>
    <w:p>
      <w:pPr>
        <w:spacing w:after="160" w:line="276"/>
        <w:jc w:val="both"/>
      </w:pPr>
      <w:r>
        <w:rPr>
          <w:rFonts w:ascii="Calibri" w:cs="Calibri" w:eastAsia="Calibri" w:hAnsi="Calibri"/>
          <w:sz w:val="21"/>
          <w:szCs w:val="21"/>
        </w:rPr>
        <w:t xml:space="preserve">Se establecerá un nuevo dominio de Active Directory independiente (nuevo bosque, sin relación de confianza permanente con el origen) y un nuevo tenant de Microsoft Entra ID / Microsoft 365, ambos bajo el control administrativo exclusivo de la nueva entidad (Finanzas).</w:t>
      </w:r>
    </w:p>
    <w:p>
      <w:pPr>
        <w:pStyle w:val="ListParagraph"/>
        <w:numPr>
          <w:ilvl w:val="0"/>
          <w:numId w:val="2"/>
        </w:numPr>
        <w:spacing w:after="80"/>
      </w:pPr>
      <w:r>
        <w:rPr>
          <w:rFonts w:ascii="Calibri" w:cs="Calibri" w:eastAsia="Calibri" w:hAnsi="Calibri"/>
          <w:sz w:val="21"/>
          <w:szCs w:val="21"/>
        </w:rPr>
        <w:t xml:space="preserve">Nuevo bosque/dominio AD DS destino, con su propia PKI (si aplica), GPOs base y estructura de OUs.</w:t>
      </w:r>
    </w:p>
    <w:p>
      <w:pPr>
        <w:pStyle w:val="ListParagraph"/>
        <w:numPr>
          <w:ilvl w:val="0"/>
          <w:numId w:val="2"/>
        </w:numPr>
        <w:spacing w:after="80"/>
      </w:pPr>
      <w:r>
        <w:rPr>
          <w:rFonts w:ascii="Calibri" w:cs="Calibri" w:eastAsia="Calibri" w:hAnsi="Calibri"/>
          <w:sz w:val="21"/>
          <w:szCs w:val="21"/>
        </w:rPr>
        <w:t xml:space="preserve">Nuevo(s) controlador(es) de dominio (físicos, virtuales o IaaS) para la entidad separada.</w:t>
      </w:r>
    </w:p>
    <w:p>
      <w:pPr>
        <w:pStyle w:val="ListParagraph"/>
        <w:numPr>
          <w:ilvl w:val="0"/>
          <w:numId w:val="2"/>
        </w:numPr>
        <w:spacing w:after="80"/>
      </w:pPr>
      <w:r>
        <w:rPr>
          <w:rFonts w:ascii="Calibri" w:cs="Calibri" w:eastAsia="Calibri" w:hAnsi="Calibri"/>
          <w:sz w:val="21"/>
          <w:szCs w:val="21"/>
        </w:rPr>
        <w:t xml:space="preserve">Nuevo tenant Microsoft Entra ID (ej. finanzasco.onmicrosoft.com) con dominio personalizado propio, verificado vía DNS.</w:t>
      </w:r>
    </w:p>
    <w:p>
      <w:pPr>
        <w:pStyle w:val="ListParagraph"/>
        <w:numPr>
          <w:ilvl w:val="0"/>
          <w:numId w:val="2"/>
        </w:numPr>
        <w:spacing w:after="80"/>
      </w:pPr>
      <w:r>
        <w:rPr>
          <w:rFonts w:ascii="Calibri" w:cs="Calibri" w:eastAsia="Calibri" w:hAnsi="Calibri"/>
          <w:sz w:val="21"/>
          <w:szCs w:val="21"/>
        </w:rPr>
        <w:t xml:space="preserve">Microsoft Entra Connect nuevo, apuntando exclusivamente al nuevo dominio AD.</w:t>
      </w:r>
    </w:p>
    <w:p>
      <w:pPr>
        <w:pStyle w:val="ListParagraph"/>
        <w:numPr>
          <w:ilvl w:val="0"/>
          <w:numId w:val="2"/>
        </w:numPr>
        <w:spacing w:after="80"/>
      </w:pPr>
      <w:r>
        <w:rPr>
          <w:rFonts w:ascii="Calibri" w:cs="Calibri" w:eastAsia="Calibri" w:hAnsi="Calibri"/>
          <w:sz w:val="21"/>
          <w:szCs w:val="21"/>
        </w:rPr>
        <w:t xml:space="preserve">Suscripciones M365 propias y licenciamiento independiente para el nuevo tenant.</w:t>
      </w:r>
    </w:p>
    <w:p>
      <w:pPr>
        <w:pStyle w:val="ListParagraph"/>
        <w:numPr>
          <w:ilvl w:val="0"/>
          <w:numId w:val="2"/>
        </w:numPr>
        <w:spacing w:after="80"/>
      </w:pPr>
      <w:r>
        <w:rPr>
          <w:rFonts w:ascii="Calibri" w:cs="Calibri" w:eastAsia="Calibri" w:hAnsi="Calibri"/>
          <w:sz w:val="21"/>
          <w:szCs w:val="21"/>
        </w:rPr>
        <w:t xml:space="preserve">Sin trust de bosque permanente ni sincronización cruzada de directorios entre origen y destino tras el corte final.</w:t>
      </w:r>
    </w:p>
    <w:p>
      <w:pPr>
        <w:pStyle w:val="Heading2"/>
        <w:spacing w:after="160" w:before="320"/>
      </w:pPr>
      <w:r>
        <w:rPr>
          <w:rFonts w:ascii="Calibri" w:cs="Calibri" w:eastAsia="Calibri" w:hAnsi="Calibri"/>
          <w:b/>
          <w:bCs/>
          <w:color w:val="2E5395"/>
          <w:sz w:val="24"/>
          <w:szCs w:val="24"/>
        </w:rPr>
        <w:t xml:space="preserve">3.3 Diagrama conceptual del flujo de migración</w:t>
      </w:r>
    </w:p>
    <w:p>
      <w:pPr>
        <w:spacing w:after="160" w:line="276"/>
        <w:jc w:val="both"/>
      </w:pPr>
      <w:r>
        <w:rPr>
          <w:rFonts w:ascii="Calibri" w:cs="Calibri" w:eastAsia="Calibri" w:hAnsi="Calibri"/>
          <w:sz w:val="21"/>
          <w:szCs w:val="21"/>
        </w:rPr>
        <w:t xml:space="preserve">El siguiente esquema resume, a alto nivel, el flujo de migración entre el entorno origen y el entorno destino:</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3000"/>
      </w:tblGrid>
      <w:tr>
        <w:tc>
          <w:tcPr>
            <w:tcW w:type="dxa" w:w="300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AD DS Origen
(dominio actual)</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w:t>
            </w:r>
          </w:p>
        </w:tc>
        <w:tc>
          <w:tcPr>
            <w:tcW w:type="dxa" w:w="3000"/>
            <w:shd w:fill="E2EFDA"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AD DS Destino
(nuevo dominio Finanzas)</w:t>
            </w:r>
          </w:p>
        </w:tc>
      </w:tr>
      <w:tr>
        <w:tc>
          <w:tcPr>
            <w:tcW w:type="dxa" w:w="300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Entra Connect Origen</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w:t>
            </w:r>
          </w:p>
        </w:tc>
        <w:tc>
          <w:tcPr>
            <w:tcW w:type="dxa" w:w="3000"/>
            <w:shd w:fill="E2EFDA"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Entra Connect Destino (nuevo)</w:t>
            </w:r>
          </w:p>
        </w:tc>
      </w:tr>
      <w:tr>
        <w:tc>
          <w:tcPr>
            <w:tcW w:type="dxa" w:w="300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Tenant Entra ID Origen</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w:t>
            </w:r>
          </w:p>
        </w:tc>
        <w:tc>
          <w:tcPr>
            <w:tcW w:type="dxa" w:w="3000"/>
            <w:shd w:fill="E2EFDA"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Tenant Entra ID Destino (nuevo)</w:t>
            </w:r>
          </w:p>
        </w:tc>
      </w:tr>
      <w:tr>
        <w:tc>
          <w:tcPr>
            <w:tcW w:type="dxa" w:w="300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Exchange Online Origen</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w:t>
            </w:r>
          </w:p>
        </w:tc>
        <w:tc>
          <w:tcPr>
            <w:tcW w:type="dxa" w:w="3000"/>
            <w:shd w:fill="E2EFDA"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Exchange Online Destino</w:t>
            </w:r>
          </w:p>
        </w:tc>
      </w:tr>
      <w:tr>
        <w:tc>
          <w:tcPr>
            <w:tcW w:type="dxa" w:w="300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SharePoint / OneDrive Origen</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w:t>
            </w:r>
          </w:p>
        </w:tc>
        <w:tc>
          <w:tcPr>
            <w:tcW w:type="dxa" w:w="3000"/>
            <w:shd w:fill="E2EFDA"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SharePoint / OneDrive Destino</w:t>
            </w:r>
          </w:p>
        </w:tc>
      </w:tr>
      <w:tr>
        <w:tc>
          <w:tcPr>
            <w:tcW w:type="dxa" w:w="300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Microsoft Teams Origen</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w:t>
            </w:r>
          </w:p>
        </w:tc>
        <w:tc>
          <w:tcPr>
            <w:tcW w:type="dxa" w:w="3000"/>
            <w:shd w:fill="E2EFDA"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Microsoft Teams Destino</w:t>
            </w:r>
          </w:p>
        </w:tc>
      </w:tr>
    </w:tbl>
    <w:p>
      <w:pPr>
        <w:spacing w:after="160" w:before="200"/>
      </w:pPr>
      <w:r>
        <w:rPr>
          <w:rFonts w:ascii="Calibri" w:cs="Calibri" w:eastAsia="Calibri" w:hAnsi="Calibri"/>
          <w:b/>
          <w:bCs/>
          <w:i/>
          <w:iCs/>
          <w:color w:val="595959"/>
          <w:sz w:val="19"/>
          <w:szCs w:val="19"/>
        </w:rPr>
        <w:t xml:space="preserve">Nota: </w:t>
      </w:r>
      <w:r>
        <w:rPr>
          <w:rFonts w:ascii="Calibri" w:cs="Calibri" w:eastAsia="Calibri" w:hAnsi="Calibri"/>
          <w:i/>
          <w:iCs/>
          <w:color w:val="595959"/>
          <w:sz w:val="19"/>
          <w:szCs w:val="19"/>
        </w:rPr>
        <w:t xml:space="preserve">durante la ventana de coexistencia se habilitará enrutamiento de correo (mail routing) entre ambos tenants para garantizar la entrega sin pérdida de mensajes.</w:t>
      </w:r>
    </w:p>
    <w:p>
      <w:pPr>
        <w:pStyle w:val="Heading1"/>
        <w:pBdr>
          <w:bottom w:val="single" w:color="2E5395" w:sz="6" w:space="4"/>
        </w:pBdr>
        <w:spacing w:after="240" w:before="480"/>
      </w:pPr>
      <w:r>
        <w:rPr>
          <w:rFonts w:ascii="Calibri" w:cs="Calibri" w:eastAsia="Calibri" w:hAnsi="Calibri"/>
          <w:b/>
          <w:bCs/>
          <w:color w:val="1F3864"/>
          <w:sz w:val="30"/>
          <w:szCs w:val="30"/>
        </w:rPr>
        <w:t xml:space="preserve">4. Descripción de la Solución</w:t>
      </w:r>
    </w:p>
    <w:p>
      <w:pPr>
        <w:spacing w:after="160" w:line="276"/>
        <w:jc w:val="both"/>
      </w:pPr>
      <w:r>
        <w:rPr>
          <w:rFonts w:ascii="Calibri" w:cs="Calibri" w:eastAsia="Calibri" w:hAnsi="Calibri"/>
          <w:sz w:val="21"/>
          <w:szCs w:val="21"/>
        </w:rPr>
        <w:t xml:space="preserve">La solución propuesta se ejecuta en cuatro grandes frentes de trabajo, coordinados bajo una misma gobernanza de proyecto: (1) preparación y diseño, (2) migración de Active Directory, (3) migración del tenant Microsoft 365, y (4) corte, validación y cierre. Cada frente cuenta con actividades técnicas específicas, responsables y criterios de aceptación.</w:t>
      </w:r>
    </w:p>
    <w:p>
      <w:pPr>
        <w:pStyle w:val="Heading3"/>
        <w:spacing w:after="120" w:before="220"/>
      </w:pPr>
      <w:r>
        <w:rPr>
          <w:rFonts w:ascii="Calibri" w:cs="Calibri" w:eastAsia="Calibri" w:hAnsi="Calibri"/>
          <w:b/>
          <w:bCs/>
          <w:color w:val="595959"/>
          <w:sz w:val="22"/>
          <w:szCs w:val="22"/>
        </w:rPr>
        <w:t xml:space="preserve">Preparación y diseño</w:t>
      </w:r>
    </w:p>
    <w:p>
      <w:pPr>
        <w:spacing w:after="160" w:line="276"/>
        <w:jc w:val="both"/>
      </w:pPr>
      <w:r>
        <w:rPr>
          <w:rFonts w:ascii="Calibri" w:cs="Calibri" w:eastAsia="Calibri" w:hAnsi="Calibri"/>
          <w:sz w:val="21"/>
          <w:szCs w:val="21"/>
        </w:rPr>
        <w:t xml:space="preserve">Levantamiento del entorno actual, diseño del nuevo dominio AD y del nuevo tenant, definición de nomenclatura, topología de red y plan de comunicación.</w:t>
      </w:r>
    </w:p>
    <w:p>
      <w:pPr>
        <w:pStyle w:val="Heading3"/>
        <w:spacing w:after="120" w:before="220"/>
      </w:pPr>
      <w:r>
        <w:rPr>
          <w:rFonts w:ascii="Calibri" w:cs="Calibri" w:eastAsia="Calibri" w:hAnsi="Calibri"/>
          <w:b/>
          <w:bCs/>
          <w:color w:val="595959"/>
          <w:sz w:val="22"/>
          <w:szCs w:val="22"/>
        </w:rPr>
        <w:t xml:space="preserve">Migración de Active Directory</w:t>
      </w:r>
    </w:p>
    <w:p>
      <w:pPr>
        <w:spacing w:after="160" w:line="276"/>
        <w:jc w:val="both"/>
      </w:pPr>
      <w:r>
        <w:rPr>
          <w:rFonts w:ascii="Calibri" w:cs="Calibri" w:eastAsia="Calibri" w:hAnsi="Calibri"/>
          <w:sz w:val="21"/>
          <w:szCs w:val="21"/>
        </w:rPr>
        <w:t xml:space="preserve">Creación del nuevo bosque/dominio, migración o recreación de identidades, grupos y GPOs, y unión de equipos al nuevo dominio.</w:t>
      </w:r>
    </w:p>
    <w:p>
      <w:pPr>
        <w:pStyle w:val="Heading3"/>
        <w:spacing w:after="120" w:before="220"/>
      </w:pPr>
      <w:r>
        <w:rPr>
          <w:rFonts w:ascii="Calibri" w:cs="Calibri" w:eastAsia="Calibri" w:hAnsi="Calibri"/>
          <w:b/>
          <w:bCs/>
          <w:color w:val="595959"/>
          <w:sz w:val="22"/>
          <w:szCs w:val="22"/>
        </w:rPr>
        <w:t xml:space="preserve">Migración del tenant M365</w:t>
      </w:r>
    </w:p>
    <w:p>
      <w:pPr>
        <w:spacing w:after="160" w:line="276"/>
        <w:jc w:val="both"/>
      </w:pPr>
      <w:r>
        <w:rPr>
          <w:rFonts w:ascii="Calibri" w:cs="Calibri" w:eastAsia="Calibri" w:hAnsi="Calibri"/>
          <w:sz w:val="21"/>
          <w:szCs w:val="21"/>
        </w:rPr>
        <w:t xml:space="preserve">Aprovisionamiento del nuevo tenant Entra ID, configuración de dominios verificados, migración de correo (Exchange Online), SharePoint/OneDrive y Teams.</w:t>
      </w:r>
    </w:p>
    <w:p>
      <w:pPr>
        <w:pStyle w:val="Heading3"/>
        <w:spacing w:after="120" w:before="220"/>
      </w:pPr>
      <w:r>
        <w:rPr>
          <w:rFonts w:ascii="Calibri" w:cs="Calibri" w:eastAsia="Calibri" w:hAnsi="Calibri"/>
          <w:b/>
          <w:bCs/>
          <w:color w:val="595959"/>
          <w:sz w:val="22"/>
          <w:szCs w:val="22"/>
        </w:rPr>
        <w:t xml:space="preserve">Corte, validación y cierre</w:t>
      </w:r>
    </w:p>
    <w:p>
      <w:pPr>
        <w:spacing w:after="160" w:line="276"/>
        <w:jc w:val="both"/>
      </w:pPr>
      <w:r>
        <w:rPr>
          <w:rFonts w:ascii="Calibri" w:cs="Calibri" w:eastAsia="Calibri" w:hAnsi="Calibri"/>
          <w:sz w:val="21"/>
          <w:szCs w:val="21"/>
        </w:rPr>
        <w:t xml:space="preserve">Ventana de corte (cutover), validación funcional con usuarios clave, desconexión de dependencias con el tenant/dominio origen y cierre administrativo.</w:t>
      </w:r>
    </w:p>
    <w:p>
      <w:pPr>
        <w:pStyle w:val="Heading1"/>
        <w:pBdr>
          <w:bottom w:val="single" w:color="2E5395" w:sz="6" w:space="4"/>
        </w:pBdr>
        <w:spacing w:after="240" w:before="480"/>
      </w:pPr>
      <w:r>
        <w:rPr>
          <w:rFonts w:ascii="Calibri" w:cs="Calibri" w:eastAsia="Calibri" w:hAnsi="Calibri"/>
          <w:b/>
          <w:bCs/>
          <w:color w:val="1F3864"/>
          <w:sz w:val="30"/>
          <w:szCs w:val="30"/>
        </w:rPr>
        <w:t xml:space="preserve">5. Alcance</w:t>
      </w:r>
    </w:p>
    <w:p>
      <w:pPr>
        <w:spacing w:after="160" w:line="276"/>
        <w:jc w:val="both"/>
      </w:pPr>
      <w:r>
        <w:rPr>
          <w:rFonts w:ascii="Calibri" w:cs="Calibri" w:eastAsia="Calibri" w:hAnsi="Calibri"/>
          <w:sz w:val="21"/>
          <w:szCs w:val="21"/>
        </w:rPr>
        <w:t xml:space="preserve">El presente proyecto contempla las siguientes actividades y entregables dentro de su alcance:</w:t>
      </w:r>
    </w:p>
    <w:p>
      <w:pPr>
        <w:pStyle w:val="Heading2"/>
        <w:spacing w:after="160" w:before="320"/>
      </w:pPr>
      <w:r>
        <w:rPr>
          <w:rFonts w:ascii="Calibri" w:cs="Calibri" w:eastAsia="Calibri" w:hAnsi="Calibri"/>
          <w:b/>
          <w:bCs/>
          <w:color w:val="2E5395"/>
          <w:sz w:val="24"/>
          <w:szCs w:val="24"/>
        </w:rPr>
        <w:t xml:space="preserve">5.1 Alcance funcional</w:t>
      </w:r>
    </w:p>
    <w:p>
      <w:pPr>
        <w:pStyle w:val="ListParagraph"/>
        <w:numPr>
          <w:ilvl w:val="0"/>
          <w:numId w:val="2"/>
        </w:numPr>
        <w:spacing w:after="80"/>
      </w:pPr>
      <w:r>
        <w:rPr>
          <w:rFonts w:ascii="Calibri" w:cs="Calibri" w:eastAsia="Calibri" w:hAnsi="Calibri"/>
          <w:sz w:val="21"/>
          <w:szCs w:val="21"/>
        </w:rPr>
        <w:t xml:space="preserve">Diseño de la arquitectura del nuevo dominio de Active Directory para el área de Finanzas (nuevo bosque independiente).</w:t>
      </w:r>
    </w:p>
    <w:p>
      <w:pPr>
        <w:pStyle w:val="ListParagraph"/>
        <w:numPr>
          <w:ilvl w:val="0"/>
          <w:numId w:val="2"/>
        </w:numPr>
        <w:spacing w:after="80"/>
      </w:pPr>
      <w:r>
        <w:rPr>
          <w:rFonts w:ascii="Calibri" w:cs="Calibri" w:eastAsia="Calibri" w:hAnsi="Calibri"/>
          <w:sz w:val="21"/>
          <w:szCs w:val="21"/>
        </w:rPr>
        <w:t xml:space="preserve">Diseño y aprovisionamiento del nuevo tenant Microsoft Entra ID / Microsoft 365 para la entidad separada.</w:t>
      </w:r>
    </w:p>
    <w:p>
      <w:pPr>
        <w:pStyle w:val="ListParagraph"/>
        <w:numPr>
          <w:ilvl w:val="0"/>
          <w:numId w:val="2"/>
        </w:numPr>
        <w:spacing w:after="80"/>
      </w:pPr>
      <w:r>
        <w:rPr>
          <w:rFonts w:ascii="Calibri" w:cs="Calibri" w:eastAsia="Calibri" w:hAnsi="Calibri"/>
          <w:sz w:val="21"/>
          <w:szCs w:val="21"/>
        </w:rPr>
        <w:t xml:space="preserve">Migración de identidades de usuario (cuentas, atributos, grupos de seguridad y de distribución) del dominio origen al dominio destino.</w:t>
      </w:r>
    </w:p>
    <w:p>
      <w:pPr>
        <w:pStyle w:val="ListParagraph"/>
        <w:numPr>
          <w:ilvl w:val="0"/>
          <w:numId w:val="2"/>
        </w:numPr>
        <w:spacing w:after="80"/>
      </w:pPr>
      <w:r>
        <w:rPr>
          <w:rFonts w:ascii="Calibri" w:cs="Calibri" w:eastAsia="Calibri" w:hAnsi="Calibri"/>
          <w:sz w:val="21"/>
          <w:szCs w:val="21"/>
        </w:rPr>
        <w:t xml:space="preserve">Migración de buzones de correo de Exchange Online (correo, calendario, contactos) de los usuarios de Finanzas.</w:t>
      </w:r>
    </w:p>
    <w:p>
      <w:pPr>
        <w:pStyle w:val="ListParagraph"/>
        <w:numPr>
          <w:ilvl w:val="0"/>
          <w:numId w:val="2"/>
        </w:numPr>
        <w:spacing w:after="80"/>
      </w:pPr>
      <w:r>
        <w:rPr>
          <w:rFonts w:ascii="Calibri" w:cs="Calibri" w:eastAsia="Calibri" w:hAnsi="Calibri"/>
          <w:sz w:val="21"/>
          <w:szCs w:val="21"/>
        </w:rPr>
        <w:t xml:space="preserve">Migración de contenido de OneDrive for Business y sitios de SharePoint Online asociados a Finanzas.</w:t>
      </w:r>
    </w:p>
    <w:p>
      <w:pPr>
        <w:pStyle w:val="ListParagraph"/>
        <w:numPr>
          <w:ilvl w:val="0"/>
          <w:numId w:val="2"/>
        </w:numPr>
        <w:spacing w:after="80"/>
      </w:pPr>
      <w:r>
        <w:rPr>
          <w:rFonts w:ascii="Calibri" w:cs="Calibri" w:eastAsia="Calibri" w:hAnsi="Calibri"/>
          <w:sz w:val="21"/>
          <w:szCs w:val="21"/>
        </w:rPr>
        <w:t xml:space="preserve">Recreación / migración de equipos y canales de Microsoft Teams relevantes para Finanzas.</w:t>
      </w:r>
    </w:p>
    <w:p>
      <w:pPr>
        <w:pStyle w:val="ListParagraph"/>
        <w:numPr>
          <w:ilvl w:val="0"/>
          <w:numId w:val="2"/>
        </w:numPr>
        <w:spacing w:after="80"/>
      </w:pPr>
      <w:r>
        <w:rPr>
          <w:rFonts w:ascii="Calibri" w:cs="Calibri" w:eastAsia="Calibri" w:hAnsi="Calibri"/>
          <w:sz w:val="21"/>
          <w:szCs w:val="21"/>
        </w:rPr>
        <w:t xml:space="preserve">Reconfiguración de registros DNS (MX, SPF, DKIM, DMARC, autodiscover) para el nuevo dominio verificado.</w:t>
      </w:r>
    </w:p>
    <w:p>
      <w:pPr>
        <w:pStyle w:val="ListParagraph"/>
        <w:numPr>
          <w:ilvl w:val="0"/>
          <w:numId w:val="2"/>
        </w:numPr>
        <w:spacing w:after="80"/>
      </w:pPr>
      <w:r>
        <w:rPr>
          <w:rFonts w:ascii="Calibri" w:cs="Calibri" w:eastAsia="Calibri" w:hAnsi="Calibri"/>
          <w:sz w:val="21"/>
          <w:szCs w:val="21"/>
        </w:rPr>
        <w:t xml:space="preserve">Re-unión (rejoin) de estaciones de trabajo y laptops del personal de Finanzas al nuevo dominio AD / Entra ID.</w:t>
      </w:r>
    </w:p>
    <w:p>
      <w:pPr>
        <w:pStyle w:val="ListParagraph"/>
        <w:numPr>
          <w:ilvl w:val="0"/>
          <w:numId w:val="2"/>
        </w:numPr>
        <w:spacing w:after="80"/>
      </w:pPr>
      <w:r>
        <w:rPr>
          <w:rFonts w:ascii="Calibri" w:cs="Calibri" w:eastAsia="Calibri" w:hAnsi="Calibri"/>
          <w:sz w:val="21"/>
          <w:szCs w:val="21"/>
        </w:rPr>
        <w:t xml:space="preserve">Definición y aplicación de una ventana de coexistencia de correo (mail flow) entre tenant origen y destino durante la transición.</w:t>
      </w:r>
    </w:p>
    <w:p>
      <w:pPr>
        <w:pStyle w:val="ListParagraph"/>
        <w:numPr>
          <w:ilvl w:val="0"/>
          <w:numId w:val="2"/>
        </w:numPr>
        <w:spacing w:after="80"/>
      </w:pPr>
      <w:r>
        <w:rPr>
          <w:rFonts w:ascii="Calibri" w:cs="Calibri" w:eastAsia="Calibri" w:hAnsi="Calibri"/>
          <w:sz w:val="21"/>
          <w:szCs w:val="21"/>
        </w:rPr>
        <w:t xml:space="preserve">Gestión de licenciamiento M365/EMS/Intune para el nuevo tenant (asignación, adquisición o transferencia según aplique contractualmente).</w:t>
      </w:r>
    </w:p>
    <w:p>
      <w:pPr>
        <w:pStyle w:val="ListParagraph"/>
        <w:numPr>
          <w:ilvl w:val="0"/>
          <w:numId w:val="2"/>
        </w:numPr>
        <w:spacing w:after="80"/>
      </w:pPr>
      <w:r>
        <w:rPr>
          <w:rFonts w:ascii="Calibri" w:cs="Calibri" w:eastAsia="Calibri" w:hAnsi="Calibri"/>
          <w:sz w:val="21"/>
          <w:szCs w:val="21"/>
        </w:rPr>
        <w:t xml:space="preserve">Documentación técnica, bitácora de migración y sesión de transferencia de conocimiento (knowledge transfer) al equipo de TI de Finanzas.</w:t>
      </w:r>
    </w:p>
    <w:p>
      <w:pPr>
        <w:pStyle w:val="ListParagraph"/>
        <w:numPr>
          <w:ilvl w:val="0"/>
          <w:numId w:val="2"/>
        </w:numPr>
        <w:spacing w:after="80"/>
      </w:pPr>
      <w:r>
        <w:rPr>
          <w:rFonts w:ascii="Calibri" w:cs="Calibri" w:eastAsia="Calibri" w:hAnsi="Calibri"/>
          <w:sz w:val="21"/>
          <w:szCs w:val="21"/>
        </w:rPr>
        <w:t xml:space="preserve">Acompañamiento en la ventana de corte (cutover) y soporte post-migración (hypercare) durante el periodo definido en el cronograma.</w:t>
      </w:r>
    </w:p>
    <w:p>
      <w:pPr>
        <w:pStyle w:val="Heading1"/>
        <w:pBdr>
          <w:bottom w:val="single" w:color="2E5395" w:sz="6" w:space="4"/>
        </w:pBdr>
        <w:spacing w:after="240" w:before="480"/>
      </w:pPr>
      <w:r>
        <w:rPr>
          <w:rFonts w:ascii="Calibri" w:cs="Calibri" w:eastAsia="Calibri" w:hAnsi="Calibri"/>
          <w:b/>
          <w:bCs/>
          <w:color w:val="1F3864"/>
          <w:sz w:val="30"/>
          <w:szCs w:val="30"/>
        </w:rPr>
        <w:t xml:space="preserve">6. Fuera de Alcance</w:t>
      </w:r>
    </w:p>
    <w:p>
      <w:pPr>
        <w:spacing w:after="160" w:line="276"/>
        <w:jc w:val="both"/>
      </w:pPr>
      <w:r>
        <w:rPr>
          <w:rFonts w:ascii="Calibri" w:cs="Calibri" w:eastAsia="Calibri" w:hAnsi="Calibri"/>
          <w:sz w:val="21"/>
          <w:szCs w:val="21"/>
        </w:rPr>
        <w:t xml:space="preserve">Las siguientes actividades no forman parte del presente proyecto y, de requerirse, deberán ser cotizadas y planificadas como un esfuerzo adicional:</w:t>
      </w:r>
    </w:p>
    <w:p>
      <w:pPr>
        <w:pStyle w:val="ListParagraph"/>
        <w:numPr>
          <w:ilvl w:val="0"/>
          <w:numId w:val="2"/>
        </w:numPr>
        <w:spacing w:after="80"/>
      </w:pPr>
      <w:r>
        <w:rPr>
          <w:rFonts w:ascii="Calibri" w:cs="Calibri" w:eastAsia="Calibri" w:hAnsi="Calibri"/>
          <w:sz w:val="21"/>
          <w:szCs w:val="21"/>
        </w:rPr>
        <w:t xml:space="preserve">Migración o modernización de aplicaciones on-premises de línea de negocio (ERP, sistemas financieros, ETL) no relacionadas directamente con identidad o M365.</w:t>
      </w:r>
    </w:p>
    <w:p>
      <w:pPr>
        <w:pStyle w:val="ListParagraph"/>
        <w:numPr>
          <w:ilvl w:val="0"/>
          <w:numId w:val="2"/>
        </w:numPr>
        <w:spacing w:after="80"/>
      </w:pPr>
      <w:r>
        <w:rPr>
          <w:rFonts w:ascii="Calibri" w:cs="Calibri" w:eastAsia="Calibri" w:hAnsi="Calibri"/>
          <w:sz w:val="21"/>
          <w:szCs w:val="21"/>
        </w:rPr>
        <w:t xml:space="preserve">Migración de bases de datos, servidores de aplicaciones o cargas de trabajo en Azure/IaaS distintas a Active Directory.</w:t>
      </w:r>
    </w:p>
    <w:p>
      <w:pPr>
        <w:pStyle w:val="ListParagraph"/>
        <w:numPr>
          <w:ilvl w:val="0"/>
          <w:numId w:val="2"/>
        </w:numPr>
        <w:spacing w:after="80"/>
      </w:pPr>
      <w:r>
        <w:rPr>
          <w:rFonts w:ascii="Calibri" w:cs="Calibri" w:eastAsia="Calibri" w:hAnsi="Calibri"/>
          <w:sz w:val="21"/>
          <w:szCs w:val="21"/>
        </w:rPr>
        <w:t xml:space="preserve">Renovación o adquisición de hardware físico (servidores, switches, firewalls) para el nuevo centro de datos de Finanzas.</w:t>
      </w:r>
    </w:p>
    <w:p>
      <w:pPr>
        <w:pStyle w:val="ListParagraph"/>
        <w:numPr>
          <w:ilvl w:val="0"/>
          <w:numId w:val="2"/>
        </w:numPr>
        <w:spacing w:after="80"/>
      </w:pPr>
      <w:r>
        <w:rPr>
          <w:rFonts w:ascii="Calibri" w:cs="Calibri" w:eastAsia="Calibri" w:hAnsi="Calibri"/>
          <w:sz w:val="21"/>
          <w:szCs w:val="21"/>
        </w:rPr>
        <w:t xml:space="preserve">Diseño o implementación de la red WAN/LAN, VPN site-to-site o conectividad ISP del nuevo sitio de Finanzas.</w:t>
      </w:r>
    </w:p>
    <w:p>
      <w:pPr>
        <w:pStyle w:val="ListParagraph"/>
        <w:numPr>
          <w:ilvl w:val="0"/>
          <w:numId w:val="2"/>
        </w:numPr>
        <w:spacing w:after="80"/>
      </w:pPr>
      <w:r>
        <w:rPr>
          <w:rFonts w:ascii="Calibri" w:cs="Calibri" w:eastAsia="Calibri" w:hAnsi="Calibri"/>
          <w:sz w:val="21"/>
          <w:szCs w:val="21"/>
        </w:rPr>
        <w:t xml:space="preserve">Migración de buzones o datos de usuarios fuera del área de Finanzas definida en el alcance.</w:t>
      </w:r>
    </w:p>
    <w:p>
      <w:pPr>
        <w:pStyle w:val="ListParagraph"/>
        <w:numPr>
          <w:ilvl w:val="0"/>
          <w:numId w:val="2"/>
        </w:numPr>
        <w:spacing w:after="80"/>
      </w:pPr>
      <w:r>
        <w:rPr>
          <w:rFonts w:ascii="Calibri" w:cs="Calibri" w:eastAsia="Calibri" w:hAnsi="Calibri"/>
          <w:sz w:val="21"/>
          <w:szCs w:val="21"/>
        </w:rPr>
        <w:t xml:space="preserve">Desarrollo de nuevas automatizaciones, flujos de Power Automate o Power Apps no existentes previamente.</w:t>
      </w:r>
    </w:p>
    <w:p>
      <w:pPr>
        <w:pStyle w:val="ListParagraph"/>
        <w:numPr>
          <w:ilvl w:val="0"/>
          <w:numId w:val="2"/>
        </w:numPr>
        <w:spacing w:after="80"/>
      </w:pPr>
      <w:r>
        <w:rPr>
          <w:rFonts w:ascii="Calibri" w:cs="Calibri" w:eastAsia="Calibri" w:hAnsi="Calibri"/>
          <w:sz w:val="21"/>
          <w:szCs w:val="21"/>
        </w:rPr>
        <w:t xml:space="preserve">Capacitación funcional extensa a usuario final más allá de las sesiones de adopción/comunicación incluidas en el plan.</w:t>
      </w:r>
    </w:p>
    <w:p>
      <w:pPr>
        <w:pStyle w:val="ListParagraph"/>
        <w:numPr>
          <w:ilvl w:val="0"/>
          <w:numId w:val="2"/>
        </w:numPr>
        <w:spacing w:after="80"/>
      </w:pPr>
      <w:r>
        <w:rPr>
          <w:rFonts w:ascii="Calibri" w:cs="Calibri" w:eastAsia="Calibri" w:hAnsi="Calibri"/>
          <w:sz w:val="21"/>
          <w:szCs w:val="21"/>
        </w:rPr>
        <w:t xml:space="preserve">Auditoría legal, fiscal o contractual del proceso de escisión societaria (se asume gestionada por las áreas legal y de finanzas de la organización).</w:t>
      </w:r>
    </w:p>
    <w:p>
      <w:pPr>
        <w:pStyle w:val="ListParagraph"/>
        <w:numPr>
          <w:ilvl w:val="0"/>
          <w:numId w:val="2"/>
        </w:numPr>
        <w:spacing w:after="80"/>
      </w:pPr>
      <w:r>
        <w:rPr>
          <w:rFonts w:ascii="Calibri" w:cs="Calibri" w:eastAsia="Calibri" w:hAnsi="Calibri"/>
          <w:sz w:val="21"/>
          <w:szCs w:val="21"/>
        </w:rPr>
        <w:t xml:space="preserve">Soporte post-migración más allá del periodo de hypercare definido en el cronograma (soporte extendido se cotiza por separado).</w:t>
      </w:r>
    </w:p>
    <w:p>
      <w:pPr>
        <w:pStyle w:val="Heading1"/>
        <w:pBdr>
          <w:bottom w:val="single" w:color="2E5395" w:sz="6" w:space="4"/>
        </w:pBdr>
        <w:spacing w:after="240" w:before="480"/>
      </w:pPr>
      <w:r>
        <w:rPr>
          <w:rFonts w:ascii="Calibri" w:cs="Calibri" w:eastAsia="Calibri" w:hAnsi="Calibri"/>
          <w:b/>
          <w:bCs/>
          <w:color w:val="1F3864"/>
          <w:sz w:val="30"/>
          <w:szCs w:val="30"/>
        </w:rPr>
        <w:t xml:space="preserve">7. Requerimientos Técnicos y Humanos</w:t>
      </w:r>
    </w:p>
    <w:p>
      <w:pPr>
        <w:pStyle w:val="Heading2"/>
        <w:spacing w:after="160" w:before="320"/>
      </w:pPr>
      <w:r>
        <w:rPr>
          <w:rFonts w:ascii="Calibri" w:cs="Calibri" w:eastAsia="Calibri" w:hAnsi="Calibri"/>
          <w:b/>
          <w:bCs/>
          <w:color w:val="2E5395"/>
          <w:sz w:val="24"/>
          <w:szCs w:val="24"/>
        </w:rPr>
        <w:t xml:space="preserve">7.1 Requerimientos técnicos</w:t>
      </w:r>
    </w:p>
    <w:p>
      <w:pPr>
        <w:pStyle w:val="Heading3"/>
        <w:spacing w:after="120" w:before="220"/>
      </w:pPr>
      <w:r>
        <w:rPr>
          <w:rFonts w:ascii="Calibri" w:cs="Calibri" w:eastAsia="Calibri" w:hAnsi="Calibri"/>
          <w:b/>
          <w:bCs/>
          <w:color w:val="595959"/>
          <w:sz w:val="22"/>
          <w:szCs w:val="22"/>
        </w:rPr>
        <w:t xml:space="preserve">Infraestructura</w:t>
      </w:r>
    </w:p>
    <w:p>
      <w:pPr>
        <w:pStyle w:val="Heading3"/>
        <w:spacing w:after="120" w:before="220"/>
      </w:pPr>
      <w:r>
        <w:rPr>
          <w:rFonts w:ascii="Calibri" w:cs="Calibri" w:eastAsia="Calibri" w:hAnsi="Calibri"/>
          <w:b/>
          <w:bCs/>
          <w:color w:val="595959"/>
          <w:sz w:val="22"/>
          <w:szCs w:val="22"/>
        </w:rPr>
        <w:t xml:space="preserve">Licenciamiento M365</w:t>
      </w:r>
    </w:p>
    <w:p>
      <w:pPr>
        <w:pStyle w:val="Heading3"/>
        <w:spacing w:after="120" w:before="220"/>
      </w:pPr>
      <w:r>
        <w:rPr>
          <w:rFonts w:ascii="Calibri" w:cs="Calibri" w:eastAsia="Calibri" w:hAnsi="Calibri"/>
          <w:b/>
          <w:bCs/>
          <w:color w:val="595959"/>
          <w:sz w:val="22"/>
          <w:szCs w:val="22"/>
        </w:rPr>
        <w:t xml:space="preserve">Dominio público</w:t>
      </w:r>
    </w:p>
    <w:p>
      <w:pPr>
        <w:pStyle w:val="Heading3"/>
        <w:spacing w:after="120" w:before="220"/>
      </w:pPr>
      <w:r>
        <w:rPr>
          <w:rFonts w:ascii="Calibri" w:cs="Calibri" w:eastAsia="Calibri" w:hAnsi="Calibri"/>
          <w:b/>
          <w:bCs/>
          <w:color w:val="595959"/>
          <w:sz w:val="22"/>
          <w:szCs w:val="22"/>
        </w:rPr>
        <w:t xml:space="preserve">Herramientas de migración</w:t>
      </w:r>
    </w:p>
    <w:p>
      <w:pPr>
        <w:pStyle w:val="Heading3"/>
        <w:spacing w:after="120" w:before="220"/>
      </w:pPr>
      <w:r>
        <w:rPr>
          <w:rFonts w:ascii="Calibri" w:cs="Calibri" w:eastAsia="Calibri" w:hAnsi="Calibri"/>
          <w:b/>
          <w:bCs/>
          <w:color w:val="595959"/>
          <w:sz w:val="22"/>
          <w:szCs w:val="22"/>
        </w:rPr>
        <w:t xml:space="preserve">Conectividad</w:t>
      </w:r>
    </w:p>
    <w:p>
      <w:pPr>
        <w:pStyle w:val="Heading3"/>
        <w:spacing w:after="120" w:before="220"/>
      </w:pPr>
      <w:r>
        <w:rPr>
          <w:rFonts w:ascii="Calibri" w:cs="Calibri" w:eastAsia="Calibri" w:hAnsi="Calibri"/>
          <w:b/>
          <w:bCs/>
          <w:color w:val="595959"/>
          <w:sz w:val="22"/>
          <w:szCs w:val="22"/>
        </w:rPr>
        <w:t xml:space="preserve">Ambiente de pruebas</w:t>
      </w:r>
    </w:p>
    <w:p>
      <w:pPr>
        <w:pStyle w:val="Heading3"/>
        <w:spacing w:after="120" w:before="220"/>
      </w:pPr>
      <w:r>
        <w:rPr>
          <w:rFonts w:ascii="Calibri" w:cs="Calibri" w:eastAsia="Calibri" w:hAnsi="Calibri"/>
          <w:b/>
          <w:bCs/>
          <w:color w:val="595959"/>
          <w:sz w:val="22"/>
          <w:szCs w:val="22"/>
        </w:rPr>
        <w:t xml:space="preserve">Certificados y PKI</w:t>
      </w:r>
    </w:p>
    <w:p>
      <w:pPr>
        <w:pStyle w:val="Heading2"/>
        <w:spacing w:after="160" w:before="320"/>
      </w:pPr>
      <w:r>
        <w:rPr>
          <w:rFonts w:ascii="Calibri" w:cs="Calibri" w:eastAsia="Calibri" w:hAnsi="Calibri"/>
          <w:b/>
          <w:bCs/>
          <w:color w:val="2E5395"/>
          <w:sz w:val="24"/>
          <w:szCs w:val="24"/>
        </w:rPr>
        <w:t xml:space="preserve">7.2 Requerimientos humanos (roles del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Origen</w:t>
            </w:r>
          </w:p>
        </w:tc>
        <w:tc>
          <w:tcPr>
            <w:tcW w:type="dxa" w:w="4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Responsabilidad principal</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Patrocinador del proyecto (Sponsor)</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Ambas partes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Aprobar alcance, presupuesto y decisiones de negocio críticas.</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Gerente de proyecto (PM)</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Proveedor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Planeación, seguimiento, gestión de riesgos y comunicación ejecutiva.</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Arquitecto de identidad / AD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Proveedor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Diseño del nuevo dominio AD y estrategia de migración de identidades.</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Arquitecto M365 / Entra ID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Proveedor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Diseño y configuración del nuevo tenant, migración de cargas de trabajo M365.</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Ingeniero de migración de correo</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Proveedor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Ejecución técnica de la migración de buzones y coexistencia de correo.</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Administrador de AD / Infraestructura</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Cliente (Finanzas)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Provisión de servidores, redes y accesos administrativos en el entorno destino.</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Administrador M365 (origen)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Cliente (Organización)</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Otorgar accesos administrativos temporales al tenant origen para exportar datos.</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Mesa de servicio / Soporte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Ambas partes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Atención a incidentes de usuario final durante el corte e hypercare.</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Responsable de comunicación/adopción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Cliente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Comunicación a usuarios finales, gestión del cambio.</w:t>
            </w:r>
          </w:p>
        </w:tc>
      </w:tr>
    </w:tbl>
    <w:p>
      <w:pPr>
        <w:pStyle w:val="Heading1"/>
        <w:pBdr>
          <w:bottom w:val="single" w:color="2E5395" w:sz="6" w:space="4"/>
        </w:pBdr>
        <w:spacing w:after="240" w:before="480"/>
      </w:pPr>
      <w:r>
        <w:rPr>
          <w:rFonts w:ascii="Calibri" w:cs="Calibri" w:eastAsia="Calibri" w:hAnsi="Calibri"/>
          <w:b/>
          <w:bCs/>
          <w:color w:val="1F3864"/>
          <w:sz w:val="30"/>
          <w:szCs w:val="30"/>
        </w:rPr>
        <w:t xml:space="preserve">8. Supuestos</w:t>
      </w:r>
    </w:p>
    <w:p>
      <w:pPr>
        <w:pStyle w:val="ListParagraph"/>
        <w:numPr>
          <w:ilvl w:val="0"/>
          <w:numId w:val="2"/>
        </w:numPr>
        <w:spacing w:after="80"/>
      </w:pPr>
      <w:r>
        <w:rPr>
          <w:rFonts w:ascii="Calibri" w:cs="Calibri" w:eastAsia="Calibri" w:hAnsi="Calibri"/>
          <w:sz w:val="21"/>
          <w:szCs w:val="21"/>
        </w:rPr>
        <w:t xml:space="preserve">La organización cuenta con el respaldo legal/contractual formalizado para la separación del área de Finanzas antes del inicio del proyecto.</w:t>
      </w:r>
    </w:p>
    <w:p>
      <w:pPr>
        <w:pStyle w:val="ListParagraph"/>
        <w:numPr>
          <w:ilvl w:val="0"/>
          <w:numId w:val="2"/>
        </w:numPr>
        <w:spacing w:after="80"/>
      </w:pPr>
      <w:r>
        <w:rPr>
          <w:rFonts w:ascii="Calibri" w:cs="Calibri" w:eastAsia="Calibri" w:hAnsi="Calibri"/>
          <w:sz w:val="21"/>
          <w:szCs w:val="21"/>
        </w:rPr>
        <w:t xml:space="preserve">Se otorgarán oportunamente los accesos administrativos (Global Admin / Domain Admin) necesarios en el tenant y dominio origen para realizar exportaciones y configuraciones.</w:t>
      </w:r>
    </w:p>
    <w:p>
      <w:pPr>
        <w:pStyle w:val="ListParagraph"/>
        <w:numPr>
          <w:ilvl w:val="0"/>
          <w:numId w:val="2"/>
        </w:numPr>
        <w:spacing w:after="80"/>
      </w:pPr>
      <w:r>
        <w:rPr>
          <w:rFonts w:ascii="Calibri" w:cs="Calibri" w:eastAsia="Calibri" w:hAnsi="Calibri"/>
          <w:sz w:val="21"/>
          <w:szCs w:val="21"/>
        </w:rPr>
        <w:t xml:space="preserve">El área de Finanzas ya cuenta (o gestionará por su cuenta) la adquisición de un dominio público propio y de las licencias M365 requeridas para el tenant destino.</w:t>
      </w:r>
    </w:p>
    <w:p>
      <w:pPr>
        <w:pStyle w:val="ListParagraph"/>
        <w:numPr>
          <w:ilvl w:val="0"/>
          <w:numId w:val="2"/>
        </w:numPr>
        <w:spacing w:after="80"/>
      </w:pPr>
      <w:r>
        <w:rPr>
          <w:rFonts w:ascii="Calibri" w:cs="Calibri" w:eastAsia="Calibri" w:hAnsi="Calibri"/>
          <w:sz w:val="21"/>
          <w:szCs w:val="21"/>
        </w:rPr>
        <w:t xml:space="preserve">Existe disponibilidad de los usuarios clave de Finanzas para participar en pruebas piloto y validaciones funcionales durante la migración.</w:t>
      </w:r>
    </w:p>
    <w:p>
      <w:pPr>
        <w:pStyle w:val="ListParagraph"/>
        <w:numPr>
          <w:ilvl w:val="0"/>
          <w:numId w:val="2"/>
        </w:numPr>
        <w:spacing w:after="80"/>
      </w:pPr>
      <w:r>
        <w:rPr>
          <w:rFonts w:ascii="Calibri" w:cs="Calibri" w:eastAsia="Calibri" w:hAnsi="Calibri"/>
          <w:sz w:val="21"/>
          <w:szCs w:val="21"/>
        </w:rPr>
        <w:t xml:space="preserve">El volumen de datos a migrar (correo, OneDrive, SharePoint) se mantiene dentro de los rangos informados durante el levantamiento (Fase 0); variaciones significativas pueden impactar tiempos y costos.</w:t>
      </w:r>
    </w:p>
    <w:p>
      <w:pPr>
        <w:pStyle w:val="ListParagraph"/>
        <w:numPr>
          <w:ilvl w:val="0"/>
          <w:numId w:val="2"/>
        </w:numPr>
        <w:spacing w:after="80"/>
      </w:pPr>
      <w:r>
        <w:rPr>
          <w:rFonts w:ascii="Calibri" w:cs="Calibri" w:eastAsia="Calibri" w:hAnsi="Calibri"/>
          <w:sz w:val="21"/>
          <w:szCs w:val="21"/>
        </w:rPr>
        <w:t xml:space="preserve">La infraestructura de red (ancho de banda, VPN) necesaria para la migración estará disponible y dimensionada antes del inicio de las actividades de migración de datos.</w:t>
      </w:r>
    </w:p>
    <w:p>
      <w:pPr>
        <w:pStyle w:val="ListParagraph"/>
        <w:numPr>
          <w:ilvl w:val="0"/>
          <w:numId w:val="2"/>
        </w:numPr>
        <w:spacing w:after="80"/>
      </w:pPr>
      <w:r>
        <w:rPr>
          <w:rFonts w:ascii="Calibri" w:cs="Calibri" w:eastAsia="Calibri" w:hAnsi="Calibri"/>
          <w:sz w:val="21"/>
          <w:szCs w:val="21"/>
        </w:rPr>
        <w:t xml:space="preserve">No se contempla una migración de tipo 'cross-forest' con relación de confianza permanente; la relación entre dominios será temporal y únicamente durante la ventana de migración.</w:t>
      </w:r>
    </w:p>
    <w:p>
      <w:pPr>
        <w:pStyle w:val="ListParagraph"/>
        <w:numPr>
          <w:ilvl w:val="0"/>
          <w:numId w:val="2"/>
        </w:numPr>
        <w:spacing w:after="80"/>
      </w:pPr>
      <w:r>
        <w:rPr>
          <w:rFonts w:ascii="Calibri" w:cs="Calibri" w:eastAsia="Calibri" w:hAnsi="Calibri"/>
          <w:sz w:val="21"/>
          <w:szCs w:val="21"/>
        </w:rPr>
        <w:t xml:space="preserve">Las aplicaciones de línea de negocio utilizadas por Finanzas soportan autenticación federada/moderna (Modern Auth) o serán reconfiguradas por el cliente para el nuevo tenant.</w:t>
      </w:r>
    </w:p>
    <w:p>
      <w:pPr>
        <w:pStyle w:val="ListParagraph"/>
        <w:numPr>
          <w:ilvl w:val="0"/>
          <w:numId w:val="2"/>
        </w:numPr>
        <w:spacing w:after="80"/>
      </w:pPr>
      <w:r>
        <w:rPr>
          <w:rFonts w:ascii="Calibri" w:cs="Calibri" w:eastAsia="Calibri" w:hAnsi="Calibri"/>
          <w:sz w:val="21"/>
          <w:szCs w:val="21"/>
        </w:rPr>
        <w:t xml:space="preserve">El presente documento es una propuesta técnica preliminar; el alcance detallado, costos y cronograma final se ajustarán tras el levantamiento formal (Fase 0 – Discovery).</w:t>
      </w:r>
    </w:p>
    <w:p>
      <w:pPr>
        <w:pStyle w:val="Heading1"/>
        <w:pBdr>
          <w:bottom w:val="single" w:color="2E5395" w:sz="6" w:space="4"/>
        </w:pBdr>
        <w:spacing w:after="240" w:before="480"/>
      </w:pPr>
      <w:r>
        <w:rPr>
          <w:rFonts w:ascii="Calibri" w:cs="Calibri" w:eastAsia="Calibri" w:hAnsi="Calibri"/>
          <w:b/>
          <w:bCs/>
          <w:color w:val="1F3864"/>
          <w:sz w:val="30"/>
          <w:szCs w:val="30"/>
        </w:rPr>
        <w:t xml:space="preserve">9. Matriz de Riesgos</w:t>
      </w:r>
    </w:p>
    <w:p>
      <w:pPr>
        <w:spacing w:after="160" w:line="276"/>
        <w:jc w:val="both"/>
      </w:pPr>
      <w:r>
        <w:rPr>
          <w:rFonts w:ascii="Calibri" w:cs="Calibri" w:eastAsia="Calibri" w:hAnsi="Calibri"/>
          <w:sz w:val="21"/>
          <w:szCs w:val="21"/>
        </w:rPr>
        <w:t xml:space="preserve">A continuación se presenta la matriz de riesgos identificados para el proyecto, con su probabilidad, impacto y estrategia de mitigación.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700"/>
        <w:gridCol w:w="800"/>
        <w:gridCol w:w="900"/>
        <w:gridCol w:w="3400"/>
      </w:tblGrid>
      <w:tr>
        <w:trPr>
          <w:tblHeader/>
        </w:trPr>
        <w:tc>
          <w:tcPr>
            <w:tcW w:type="dxa" w:w="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Riesgo</w:t>
            </w:r>
          </w:p>
        </w:tc>
        <w:tc>
          <w:tcPr>
            <w:tcW w:type="dxa" w:w="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Prob.</w:t>
            </w:r>
          </w:p>
        </w:tc>
        <w:tc>
          <w:tcPr>
            <w:tcW w:type="dxa" w:w="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Impacto</w:t>
            </w:r>
          </w:p>
        </w:tc>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Severidad</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Mitigación</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Pérdida o corrupción de correo/datos durante la migración</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Alto</w:t>
            </w:r>
          </w:p>
        </w:tc>
        <w:tc>
          <w:tcPr>
            <w:tcW w:type="dxa" w:w="900"/>
            <w:shd w:fill="C000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Alto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Uso de herramientas de migración con validación de integridad (checksums/reportes), respaldo previo de buzones y OneDrive antes del corte.</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Interrupción del servicio de correo/colaboración durante el cutover</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Alto</w:t>
            </w:r>
          </w:p>
        </w:tc>
        <w:tc>
          <w:tcPr>
            <w:tcW w:type="dxa" w:w="900"/>
            <w:shd w:fill="C000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Alto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Ventana de corte fuera de horario laboral, plan de rollback definido y pruebas piloto previas con usuarios representativos.</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Retraso en la entrega de accesos administrativos por el tenant origen</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Medio</w:t>
            </w:r>
          </w:p>
        </w:tc>
        <w:tc>
          <w:tcPr>
            <w:tcW w:type="dxa" w:w="900"/>
            <w:shd w:fill="E2A1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Medio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Definir y firmar acuerdo de accesos temporales desde el arranque del proyecto (Fase 0), con SLA de atención.</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Aplicaciones dependientes de AD/Entra ID origen dejan de funcionar tras el corte</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Alto</w:t>
            </w:r>
          </w:p>
        </w:tc>
        <w:tc>
          <w:tcPr>
            <w:tcW w:type="dxa" w:w="900"/>
            <w:shd w:fill="C000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Alto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Inventario exhaustivo de aplicaciones e integraciones (SSO/LDAP) en Fase 0; plan de reconfiguración por aplicación antes del corte.</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Resistencia al cambio / confusión del usuario final</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Medio</w:t>
            </w:r>
          </w:p>
        </w:tc>
        <w:tc>
          <w:tcPr>
            <w:tcW w:type="dxa" w:w="900"/>
            <w:shd w:fill="E2A1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Medio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Plan de comunicación y gestión del cambio, guías de usuario, mesa de ayuda dedicada durante hypercare.</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6</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Conflictos de nombres (UPN, SMTP, SIP) entre tenant origen y destino</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Medio</w:t>
            </w:r>
          </w:p>
        </w:tc>
        <w:tc>
          <w:tcPr>
            <w:tcW w:type="dxa" w:w="900"/>
            <w:shd w:fill="E2A1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Medio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Validación y limpieza de duplicados en Fase 0; definición de convención de nombres única para el tenant destino.</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7</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Insuficiencia o mala planeación del licenciamiento en el tenant destino</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Baja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Alto</w:t>
            </w:r>
          </w:p>
        </w:tc>
        <w:tc>
          <w:tcPr>
            <w:tcW w:type="dxa" w:w="900"/>
            <w:shd w:fill="E2A1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Medio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Validar necesidades de licenciamiento (E3/E5, Intune, EMS) desde el diseño; adquisición anticipada antes del corte.</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Ventana de tiempo contractual de separación insuficiente para el alcance</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Media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Alto</w:t>
            </w:r>
          </w:p>
        </w:tc>
        <w:tc>
          <w:tcPr>
            <w:tcW w:type="dxa" w:w="900"/>
            <w:shd w:fill="C000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Alto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Priorizar migración de identidad y correo (crítico) sobre contenido histórico (SharePoint/OneDrive), que puede migrarse en oleadas posteriores.</w:t>
            </w:r>
          </w:p>
        </w:tc>
      </w:tr>
      <w:tr>
        <w:tc>
          <w:tcPr>
            <w:tcW w:type="dxa" w:w="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9</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Fuga de información o accesos indebidos entre ambas organizaciones durante coexistencia</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Baja</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Alto</w:t>
            </w:r>
          </w:p>
        </w:tc>
        <w:tc>
          <w:tcPr>
            <w:tcW w:type="dxa" w:w="900"/>
            <w:shd w:fill="E2A10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Medio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Segregar permisos administrativos, aplicar principio de mínimo privilegio y auditar accesos cruzados durante la coexistencia.</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10. Licenciamiento</w:t>
      </w:r>
    </w:p>
    <w:p>
      <w:pPr>
        <w:spacing w:after="160" w:line="276"/>
        <w:jc w:val="both"/>
      </w:pPr>
      <w:r>
        <w:rPr>
          <w:rFonts w:ascii="Calibri" w:cs="Calibri" w:eastAsia="Calibri" w:hAnsi="Calibri"/>
          <w:sz w:val="21"/>
          <w:szCs w:val="21"/>
        </w:rPr>
        <w:t xml:space="preserve">El licenciamiento del nuevo tenant destino deberá adquirirse de forma independiente al de la organización de origen, ya que ambas entidades operarán como organizaciones separadas ante Microsoft. Se recomienda validar en la Fase 0 el volumen exacto de usuarios y las funcionalidades requeridas para dimensionar correctamente el licenciamiento.</w:t>
      </w:r>
    </w:p>
    <w:p>
      <w:pPr>
        <w:pStyle w:val="Heading2"/>
        <w:spacing w:after="160" w:before="320"/>
      </w:pPr>
      <w:r>
        <w:rPr>
          <w:rFonts w:ascii="Calibri" w:cs="Calibri" w:eastAsia="Calibri" w:hAnsi="Calibri"/>
          <w:b/>
          <w:bCs/>
          <w:color w:val="2E5395"/>
          <w:sz w:val="24"/>
          <w:szCs w:val="24"/>
        </w:rPr>
        <w:t xml:space="preserve">10.1 Licenciamiento sugerido (a validar/dimensionar)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Componente</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Licencia sugerida</w:t>
            </w:r>
          </w:p>
        </w:tc>
        <w:tc>
          <w:tcPr>
            <w:tcW w:type="dxa" w:w="3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Justificación</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Identidad y colaboración base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Microsoft 365 E3 (o Business Premium si &lt; 300 usuarios)</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Incluye Exchange, SharePoint, OneDrive, Teams y Entra ID P1.</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Seguridad de identidad avanzada</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Microsoft Entra ID P1 o P2</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Acceso condicional, MFA, protección de identidad (P2 incluye Identity Protection).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Gestión de dispositivos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Microsoft Intune (incluido en E3/E5 o standalone)</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Gestión y cumplimiento de dispositivos del nuevo dominio/tenant.</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Seguridad avanzada de correo (opcional)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Microsoft Defender for Office 365 P1/P2</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Protección anti-phishing/anti-malware si se requiere nivel equivalente al origen.</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Migración temporal (herramienta de terceros)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Licencia por buzón/usuario del proveedor de migración elegido</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Costo adicional por el periodo de migración, no recurrente.</w:t>
            </w:r>
          </w:p>
        </w:tc>
      </w:tr>
    </w:tbl>
    <w:p>
      <w:pPr>
        <w:spacing w:before="200"/>
      </w:pPr>
      <w:r>
        <w:rPr>
          <w:rFonts w:ascii="Calibri" w:cs="Calibri" w:eastAsia="Calibri" w:hAnsi="Calibri"/>
          <w:b/>
          <w:bCs/>
          <w:i/>
          <w:iCs/>
          <w:color w:val="595959"/>
          <w:sz w:val="19"/>
          <w:szCs w:val="19"/>
        </w:rPr>
        <w:t xml:space="preserve">Nota: </w:t>
      </w:r>
      <w:r>
        <w:rPr>
          <w:rFonts w:ascii="Calibri" w:cs="Calibri" w:eastAsia="Calibri" w:hAnsi="Calibri"/>
          <w:i/>
          <w:iCs/>
          <w:color w:val="595959"/>
          <w:sz w:val="19"/>
          <w:szCs w:val="19"/>
        </w:rPr>
        <w:t xml:space="preserve">los precios de licenciamiento no se incluyen en este documento por ser variables según el acuerdo comercial (CSP, EA, NCE) y deberán cotizarse en conjunto con el partner/distribuidor Microsoft correspondiente.</w:t>
      </w:r>
    </w:p>
    <w:p>
      <w:pPr>
        <w:pStyle w:val="Heading1"/>
        <w:pBdr>
          <w:bottom w:val="single" w:color="2E5395" w:sz="6" w:space="4"/>
        </w:pBdr>
        <w:spacing w:after="240" w:before="480"/>
      </w:pPr>
      <w:r>
        <w:rPr>
          <w:rFonts w:ascii="Calibri" w:cs="Calibri" w:eastAsia="Calibri" w:hAnsi="Calibri"/>
          <w:b/>
          <w:bCs/>
          <w:color w:val="1F3864"/>
          <w:sz w:val="30"/>
          <w:szCs w:val="30"/>
        </w:rPr>
        <w:t xml:space="preserve">11. Estrategia de Migración de Active Directory</w:t>
      </w:r>
    </w:p>
    <w:p>
      <w:pPr>
        <w:spacing w:after="160" w:line="276"/>
        <w:jc w:val="both"/>
      </w:pPr>
      <w:r>
        <w:rPr>
          <w:rFonts w:ascii="Calibri" w:cs="Calibri" w:eastAsia="Calibri" w:hAnsi="Calibri"/>
          <w:sz w:val="21"/>
          <w:szCs w:val="21"/>
        </w:rPr>
        <w:t xml:space="preserve">Dado que se trata de una separación definitiva de entidades (no una fusión ni una reestructuración interna), se recomienda una estrategia de 'nuevo bosque' (New Forest / Clean Domain), en la cual se crea un dominio de Active Directory completamente nuevo e independiente para Finanzas, en lugar de realizar una migración inter-bosque con herramientas como ADMT sobre un dominio que continuará compartido.</w:t>
      </w:r>
    </w:p>
    <w:p>
      <w:pPr>
        <w:pStyle w:val="Heading2"/>
        <w:spacing w:after="160" w:before="320"/>
      </w:pPr>
      <w:r>
        <w:rPr>
          <w:rFonts w:ascii="Calibri" w:cs="Calibri" w:eastAsia="Calibri" w:hAnsi="Calibri"/>
          <w:b/>
          <w:bCs/>
          <w:color w:val="2E5395"/>
          <w:sz w:val="24"/>
          <w:szCs w:val="24"/>
        </w:rPr>
        <w:t xml:space="preserve">11.1 Opciones de estrategia evaluadas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0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Opción</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Descripción</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Recomendada</w:t>
            </w:r>
          </w:p>
        </w:tc>
      </w:tr>
      <w:tr>
        <w:tc>
          <w:tcPr>
            <w:tcW w:type="dxa" w:w="22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Nuevo bosque independiente (Clean Forest)</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 crea un nuevo bosque/dominio AD desde cero para Finanzas; las cuentas de usuario y equipos se recrean o migran vía ADMT con trust temporal.</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Sí</w:t>
            </w:r>
          </w:p>
        </w:tc>
      </w:tr>
      <w:tr>
        <w:tc>
          <w:tcPr>
            <w:tcW w:type="dxa" w:w="22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Migración inter-bosque con ADMT</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Uso de Active Directory Migration Tool para migrar objetos preservando SID history; requiere trust temporal entre bosques.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Complementaria (para SID history)</w:t>
            </w:r>
          </w:p>
        </w:tc>
      </w:tr>
      <w:tr>
        <w:tc>
          <w:tcPr>
            <w:tcW w:type="dxa" w:w="22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Domain split / restructuración in-place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División del dominio actual sin crear un nuevo bosque; no recomendable dado que ambas entidades deben quedar totalmente independientes.</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No</w:t>
            </w:r>
          </w:p>
        </w:tc>
      </w:tr>
    </w:tbl>
    <w:p>
      <w:pPr>
        <w:pStyle w:val="Heading2"/>
        <w:spacing w:after="160" w:before="320"/>
      </w:pPr>
      <w:r>
        <w:rPr>
          <w:rFonts w:ascii="Calibri" w:cs="Calibri" w:eastAsia="Calibri" w:hAnsi="Calibri"/>
          <w:b/>
          <w:bCs/>
          <w:color w:val="2E5395"/>
          <w:sz w:val="24"/>
          <w:szCs w:val="24"/>
        </w:rPr>
        <w:t xml:space="preserve">11.2 Fases de la migración de AD</w:t>
      </w:r>
    </w:p>
    <w:p>
      <w:pPr>
        <w:pStyle w:val="Heading3"/>
        <w:spacing w:after="120" w:before="220"/>
      </w:pPr>
      <w:r>
        <w:rPr>
          <w:rFonts w:ascii="Calibri" w:cs="Calibri" w:eastAsia="Calibri" w:hAnsi="Calibri"/>
          <w:b/>
          <w:bCs/>
          <w:color w:val="595959"/>
          <w:sz w:val="22"/>
          <w:szCs w:val="22"/>
        </w:rPr>
        <w:t xml:space="preserve">Fase 1 – Diseño del nuevo bosque</w:t>
      </w:r>
    </w:p>
    <w:p>
      <w:pPr>
        <w:spacing w:after="160" w:line="276"/>
        <w:jc w:val="both"/>
      </w:pPr>
      <w:r>
        <w:rPr>
          <w:rFonts w:ascii="Calibri" w:cs="Calibri" w:eastAsia="Calibri" w:hAnsi="Calibri"/>
          <w:sz w:val="21"/>
          <w:szCs w:val="21"/>
        </w:rPr>
        <w:t xml:space="preserve">Definición de nombre de dominio, estructura de OUs, política de nomenclatura, niveles funcionales, topología de sitios y replicación, y estrategia de GPOs base (seguridad, contraseñas, bloqueo de cuentas).</w:t>
      </w:r>
    </w:p>
    <w:p>
      <w:pPr>
        <w:pStyle w:val="Heading3"/>
        <w:spacing w:after="120" w:before="220"/>
      </w:pPr>
      <w:r>
        <w:rPr>
          <w:rFonts w:ascii="Calibri" w:cs="Calibri" w:eastAsia="Calibri" w:hAnsi="Calibri"/>
          <w:b/>
          <w:bCs/>
          <w:color w:val="595959"/>
          <w:sz w:val="22"/>
          <w:szCs w:val="22"/>
        </w:rPr>
        <w:t xml:space="preserve">Fase 2 – Aprovisionamiento de infraestructura</w:t>
      </w:r>
    </w:p>
    <w:p>
      <w:pPr>
        <w:spacing w:after="160" w:line="276"/>
        <w:jc w:val="both"/>
      </w:pPr>
      <w:r>
        <w:rPr>
          <w:rFonts w:ascii="Calibri" w:cs="Calibri" w:eastAsia="Calibri" w:hAnsi="Calibri"/>
          <w:sz w:val="21"/>
          <w:szCs w:val="21"/>
        </w:rPr>
        <w:t xml:space="preserve">Despliegue de al menos dos controladores de dominio (DC) redundantes en el nuevo entorno, configuración de DNS interno, sitios AD y servicios base (DHCP, si aplica).</w:t>
      </w:r>
    </w:p>
    <w:p>
      <w:pPr>
        <w:pStyle w:val="Heading3"/>
        <w:spacing w:after="120" w:before="220"/>
      </w:pPr>
      <w:r>
        <w:rPr>
          <w:rFonts w:ascii="Calibri" w:cs="Calibri" w:eastAsia="Calibri" w:hAnsi="Calibri"/>
          <w:b/>
          <w:bCs/>
          <w:color w:val="595959"/>
          <w:sz w:val="22"/>
          <w:szCs w:val="22"/>
        </w:rPr>
        <w:t xml:space="preserve">Fase 3 – Migración de identidades y grupos</w:t>
      </w:r>
    </w:p>
    <w:p>
      <w:pPr>
        <w:spacing w:after="160" w:line="276"/>
        <w:jc w:val="both"/>
      </w:pPr>
      <w:r>
        <w:rPr>
          <w:rFonts w:ascii="Calibri" w:cs="Calibri" w:eastAsia="Calibri" w:hAnsi="Calibri"/>
          <w:sz w:val="21"/>
          <w:szCs w:val="21"/>
        </w:rPr>
        <w:t xml:space="preserve">Establecimiento de un trust temporal unidireccional (o uso de ADMT) para migrar cuentas de usuario, grupos de seguridad/distribución y equipos, preservando SID history cuando sea posible para no afectar permisos sobre recursos compartidos.</w:t>
      </w:r>
    </w:p>
    <w:p>
      <w:pPr>
        <w:pStyle w:val="Heading3"/>
        <w:spacing w:after="120" w:before="220"/>
      </w:pPr>
      <w:r>
        <w:rPr>
          <w:rFonts w:ascii="Calibri" w:cs="Calibri" w:eastAsia="Calibri" w:hAnsi="Calibri"/>
          <w:b/>
          <w:bCs/>
          <w:color w:val="595959"/>
          <w:sz w:val="22"/>
          <w:szCs w:val="22"/>
        </w:rPr>
        <w:t xml:space="preserve">Fase 4 – Migración de GPOs y políticas</w:t>
      </w:r>
    </w:p>
    <w:p>
      <w:pPr>
        <w:spacing w:after="160" w:line="276"/>
        <w:jc w:val="both"/>
      </w:pPr>
      <w:r>
        <w:rPr>
          <w:rFonts w:ascii="Calibri" w:cs="Calibri" w:eastAsia="Calibri" w:hAnsi="Calibri"/>
          <w:sz w:val="21"/>
          <w:szCs w:val="21"/>
        </w:rPr>
        <w:t xml:space="preserve">Exportación de GPOs relevantes del dominio origen (seguridad, mapeo de unidades, impresoras, restricciones) y re-importación/adaptación en el nuevo dominio.</w:t>
      </w:r>
    </w:p>
    <w:p>
      <w:pPr>
        <w:pStyle w:val="Heading3"/>
        <w:spacing w:after="120" w:before="220"/>
      </w:pPr>
      <w:r>
        <w:rPr>
          <w:rFonts w:ascii="Calibri" w:cs="Calibri" w:eastAsia="Calibri" w:hAnsi="Calibri"/>
          <w:b/>
          <w:bCs/>
          <w:color w:val="595959"/>
          <w:sz w:val="22"/>
          <w:szCs w:val="22"/>
        </w:rPr>
        <w:t xml:space="preserve">Fase 5 – Re-unión de estaciones de trabajo (Domain Rejoin)</w:t>
      </w:r>
    </w:p>
    <w:p>
      <w:pPr>
        <w:spacing w:after="160" w:line="276"/>
        <w:jc w:val="both"/>
      </w:pPr>
      <w:r>
        <w:rPr>
          <w:rFonts w:ascii="Calibri" w:cs="Calibri" w:eastAsia="Calibri" w:hAnsi="Calibri"/>
          <w:sz w:val="21"/>
          <w:szCs w:val="21"/>
        </w:rPr>
        <w:t xml:space="preserve">Desconexión de equipos del dominio origen y unión (join) al nuevo dominio, en oleadas planificadas por área/ubicación para minimizar impacto operativo.</w:t>
      </w:r>
    </w:p>
    <w:p>
      <w:pPr>
        <w:pStyle w:val="Heading3"/>
        <w:spacing w:after="120" w:before="220"/>
      </w:pPr>
      <w:r>
        <w:rPr>
          <w:rFonts w:ascii="Calibri" w:cs="Calibri" w:eastAsia="Calibri" w:hAnsi="Calibri"/>
          <w:b/>
          <w:bCs/>
          <w:color w:val="595959"/>
          <w:sz w:val="22"/>
          <w:szCs w:val="22"/>
        </w:rPr>
        <w:t xml:space="preserve">Fase 6 – Retiro del trust temporal</w:t>
      </w:r>
    </w:p>
    <w:p>
      <w:pPr>
        <w:spacing w:after="160" w:line="276"/>
        <w:jc w:val="both"/>
      </w:pPr>
      <w:r>
        <w:rPr>
          <w:rFonts w:ascii="Calibri" w:cs="Calibri" w:eastAsia="Calibri" w:hAnsi="Calibri"/>
          <w:sz w:val="21"/>
          <w:szCs w:val="21"/>
        </w:rPr>
        <w:t xml:space="preserve">Una vez validada la migración y confirmada la operación estable, se elimina la relación de confianza temporal entre ambos bosques, garantizando el aislamiento definitivo.</w:t>
      </w:r>
    </w:p>
    <w:p>
      <w:pPr>
        <w:pStyle w:val="Heading2"/>
        <w:spacing w:after="160" w:before="320"/>
      </w:pPr>
      <w:r>
        <w:rPr>
          <w:rFonts w:ascii="Calibri" w:cs="Calibri" w:eastAsia="Calibri" w:hAnsi="Calibri"/>
          <w:b/>
          <w:bCs/>
          <w:color w:val="2E5395"/>
          <w:sz w:val="24"/>
          <w:szCs w:val="24"/>
        </w:rPr>
        <w:t xml:space="preserve">11.3 Consideraciones clave de AD</w:t>
      </w:r>
    </w:p>
    <w:p>
      <w:pPr>
        <w:pStyle w:val="ListParagraph"/>
        <w:numPr>
          <w:ilvl w:val="0"/>
          <w:numId w:val="2"/>
        </w:numPr>
        <w:spacing w:after="80"/>
      </w:pPr>
      <w:r>
        <w:rPr>
          <w:rFonts w:ascii="Calibri" w:cs="Calibri" w:eastAsia="Calibri" w:hAnsi="Calibri"/>
          <w:sz w:val="21"/>
          <w:szCs w:val="21"/>
        </w:rPr>
        <w:t xml:space="preserve">Preservar el SID history durante la migración evita tener que re-otorgar permisos NTFS/recursos compartidos manualmente para cada usuario migrado.</w:t>
      </w:r>
    </w:p>
    <w:p>
      <w:pPr>
        <w:pStyle w:val="ListParagraph"/>
        <w:numPr>
          <w:ilvl w:val="0"/>
          <w:numId w:val="2"/>
        </w:numPr>
        <w:spacing w:after="80"/>
      </w:pPr>
      <w:r>
        <w:rPr>
          <w:rFonts w:ascii="Calibri" w:cs="Calibri" w:eastAsia="Calibri" w:hAnsi="Calibri"/>
          <w:sz w:val="21"/>
          <w:szCs w:val="21"/>
        </w:rPr>
        <w:t xml:space="preserve">Los nombres de dominio (NetBIOS y FQDN) del entorno destino deben ser distintos e inequívocos respecto al origen para evitar conflictos de resolución de nombres.</w:t>
      </w:r>
    </w:p>
    <w:p>
      <w:pPr>
        <w:pStyle w:val="ListParagraph"/>
        <w:numPr>
          <w:ilvl w:val="0"/>
          <w:numId w:val="2"/>
        </w:numPr>
        <w:spacing w:after="80"/>
      </w:pPr>
      <w:r>
        <w:rPr>
          <w:rFonts w:ascii="Calibri" w:cs="Calibri" w:eastAsia="Calibri" w:hAnsi="Calibri"/>
          <w:sz w:val="21"/>
          <w:szCs w:val="21"/>
        </w:rPr>
        <w:t xml:space="preserve">Se recomienda ejecutar la migración de AD en un ambiente de laboratorio/piloto antes de tocar el ambiente productivo.</w:t>
      </w:r>
    </w:p>
    <w:p>
      <w:pPr>
        <w:pStyle w:val="ListParagraph"/>
        <w:numPr>
          <w:ilvl w:val="0"/>
          <w:numId w:val="2"/>
        </w:numPr>
        <w:spacing w:after="80"/>
      </w:pPr>
      <w:r>
        <w:rPr>
          <w:rFonts w:ascii="Calibri" w:cs="Calibri" w:eastAsia="Calibri" w:hAnsi="Calibri"/>
          <w:sz w:val="21"/>
          <w:szCs w:val="21"/>
        </w:rPr>
        <w:t xml:space="preserve">Definir con anticipación qué cuentas de servicio, aplicaciones LDAP y integraciones dependen del dominio origen para planificar su reconfiguración.</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12. Estrategia de Migración del Tenant Microsoft 365</w:t>
      </w:r>
    </w:p>
    <w:p>
      <w:pPr>
        <w:spacing w:after="160" w:line="276"/>
        <w:jc w:val="both"/>
      </w:pPr>
      <w:r>
        <w:rPr>
          <w:rFonts w:ascii="Calibri" w:cs="Calibri" w:eastAsia="Calibri" w:hAnsi="Calibri"/>
          <w:sz w:val="21"/>
          <w:szCs w:val="21"/>
        </w:rPr>
        <w:t xml:space="preserve">La migración de tenant a tenant (tenant-to-tenant migration) seguirá un enfoque de oleadas (wave-based), priorizando primero identidad y correo (servicios críticos), seguido de OneDrive/SharePoint y finalmente Teams, minimizando el tiempo de indisponibilidad percibido por el usuario final.</w:t>
      </w:r>
    </w:p>
    <w:p>
      <w:pPr>
        <w:pStyle w:val="Heading2"/>
        <w:spacing w:after="160" w:before="320"/>
      </w:pPr>
      <w:r>
        <w:rPr>
          <w:rFonts w:ascii="Calibri" w:cs="Calibri" w:eastAsia="Calibri" w:hAnsi="Calibri"/>
          <w:b/>
          <w:bCs/>
          <w:color w:val="2E5395"/>
          <w:sz w:val="24"/>
          <w:szCs w:val="24"/>
        </w:rPr>
        <w:t xml:space="preserve">12.1 Fases de la migración M365</w:t>
      </w:r>
    </w:p>
    <w:p>
      <w:pPr>
        <w:pStyle w:val="Heading3"/>
        <w:spacing w:after="120" w:before="220"/>
      </w:pPr>
      <w:r>
        <w:rPr>
          <w:rFonts w:ascii="Calibri" w:cs="Calibri" w:eastAsia="Calibri" w:hAnsi="Calibri"/>
          <w:b/>
          <w:bCs/>
          <w:color w:val="595959"/>
          <w:sz w:val="22"/>
          <w:szCs w:val="22"/>
        </w:rPr>
        <w:t xml:space="preserve">Fase 1 – Aprovisionamiento del tenant destino</w:t>
      </w:r>
    </w:p>
    <w:p>
      <w:pPr>
        <w:spacing w:after="160" w:line="276"/>
        <w:jc w:val="both"/>
      </w:pPr>
      <w:r>
        <w:rPr>
          <w:rFonts w:ascii="Calibri" w:cs="Calibri" w:eastAsia="Calibri" w:hAnsi="Calibri"/>
          <w:sz w:val="21"/>
          <w:szCs w:val="21"/>
        </w:rPr>
        <w:t xml:space="preserve">Creación del nuevo tenant Microsoft Entra ID, configuración de dominio personalizado (verificación DNS TXT/MX), configuración de seguridad base (MFA, Conditional Access, Defender).</w:t>
      </w:r>
    </w:p>
    <w:p>
      <w:pPr>
        <w:pStyle w:val="Heading3"/>
        <w:spacing w:after="120" w:before="220"/>
      </w:pPr>
      <w:r>
        <w:rPr>
          <w:rFonts w:ascii="Calibri" w:cs="Calibri" w:eastAsia="Calibri" w:hAnsi="Calibri"/>
          <w:b/>
          <w:bCs/>
          <w:color w:val="595959"/>
          <w:sz w:val="22"/>
          <w:szCs w:val="22"/>
        </w:rPr>
        <w:t xml:space="preserve">Fase 2 – Sincronización de identidad destino</w:t>
      </w:r>
    </w:p>
    <w:p>
      <w:pPr>
        <w:spacing w:after="160" w:line="276"/>
        <w:jc w:val="both"/>
      </w:pPr>
      <w:r>
        <w:rPr>
          <w:rFonts w:ascii="Calibri" w:cs="Calibri" w:eastAsia="Calibri" w:hAnsi="Calibri"/>
          <w:sz w:val="21"/>
          <w:szCs w:val="21"/>
        </w:rPr>
        <w:t xml:space="preserve">Instalación de Microsoft Entra Connect apuntando al nuevo dominio AD, validación de atributos sincronizados (UPN, proxyAddresses, mail) y asignación de licencias.</w:t>
      </w:r>
    </w:p>
    <w:p>
      <w:pPr>
        <w:pStyle w:val="Heading3"/>
        <w:spacing w:after="120" w:before="220"/>
      </w:pPr>
      <w:r>
        <w:rPr>
          <w:rFonts w:ascii="Calibri" w:cs="Calibri" w:eastAsia="Calibri" w:hAnsi="Calibri"/>
          <w:b/>
          <w:bCs/>
          <w:color w:val="595959"/>
          <w:sz w:val="22"/>
          <w:szCs w:val="22"/>
        </w:rPr>
        <w:t xml:space="preserve">Fase 3 – Migración de correo (Exchange Online)</w:t>
      </w:r>
    </w:p>
    <w:p>
      <w:pPr>
        <w:spacing w:after="160" w:line="276"/>
        <w:jc w:val="both"/>
      </w:pPr>
      <w:r>
        <w:rPr>
          <w:rFonts w:ascii="Calibri" w:cs="Calibri" w:eastAsia="Calibri" w:hAnsi="Calibri"/>
          <w:sz w:val="21"/>
          <w:szCs w:val="21"/>
        </w:rPr>
        <w:t xml:space="preserve">Migración de buzones vía herramienta de migración tenant-to-tenant (ej. MigrationWiz, Quest, o exportación/importación PST como respaldo), con sincronización incremental hasta el corte final.</w:t>
      </w:r>
    </w:p>
    <w:p>
      <w:pPr>
        <w:pStyle w:val="Heading3"/>
        <w:spacing w:after="120" w:before="220"/>
      </w:pPr>
      <w:r>
        <w:rPr>
          <w:rFonts w:ascii="Calibri" w:cs="Calibri" w:eastAsia="Calibri" w:hAnsi="Calibri"/>
          <w:b/>
          <w:bCs/>
          <w:color w:val="595959"/>
          <w:sz w:val="22"/>
          <w:szCs w:val="22"/>
        </w:rPr>
        <w:t xml:space="preserve">Fase 4 – Coexistencia y enrutamiento de correo</w:t>
      </w:r>
    </w:p>
    <w:p>
      <w:pPr>
        <w:spacing w:after="160" w:line="276"/>
        <w:jc w:val="both"/>
      </w:pPr>
      <w:r>
        <w:rPr>
          <w:rFonts w:ascii="Calibri" w:cs="Calibri" w:eastAsia="Calibri" w:hAnsi="Calibri"/>
          <w:sz w:val="21"/>
          <w:szCs w:val="21"/>
        </w:rPr>
        <w:t xml:space="preserve">Configuración de mail routing/forwarding entre ambos tenants durante la ventana de transición, para que ningún correo se pierda mientras ambas organizaciones operan en paralelo.</w:t>
      </w:r>
    </w:p>
    <w:p>
      <w:pPr>
        <w:pStyle w:val="Heading3"/>
        <w:spacing w:after="120" w:before="220"/>
      </w:pPr>
      <w:r>
        <w:rPr>
          <w:rFonts w:ascii="Calibri" w:cs="Calibri" w:eastAsia="Calibri" w:hAnsi="Calibri"/>
          <w:b/>
          <w:bCs/>
          <w:color w:val="595959"/>
          <w:sz w:val="22"/>
          <w:szCs w:val="22"/>
        </w:rPr>
        <w:t xml:space="preserve">Fase 5 – Migración de OneDrive y SharePoint</w:t>
      </w:r>
    </w:p>
    <w:p>
      <w:pPr>
        <w:spacing w:after="160" w:line="276"/>
        <w:jc w:val="both"/>
      </w:pPr>
      <w:r>
        <w:rPr>
          <w:rFonts w:ascii="Calibri" w:cs="Calibri" w:eastAsia="Calibri" w:hAnsi="Calibri"/>
          <w:sz w:val="21"/>
          <w:szCs w:val="21"/>
        </w:rPr>
        <w:t xml:space="preserve">Migración de contenido (documentos, metadatos, permisos) de los sitios y bibliotecas asociadas a Finanzas hacia el nuevo tenant, en oleadas por área/prioridad.</w:t>
      </w:r>
    </w:p>
    <w:p>
      <w:pPr>
        <w:pStyle w:val="Heading3"/>
        <w:spacing w:after="120" w:before="220"/>
      </w:pPr>
      <w:r>
        <w:rPr>
          <w:rFonts w:ascii="Calibri" w:cs="Calibri" w:eastAsia="Calibri" w:hAnsi="Calibri"/>
          <w:b/>
          <w:bCs/>
          <w:color w:val="595959"/>
          <w:sz w:val="22"/>
          <w:szCs w:val="22"/>
        </w:rPr>
        <w:t xml:space="preserve">Fase 6 – Migración/recreación de Microsoft Teams</w:t>
      </w:r>
    </w:p>
    <w:p>
      <w:pPr>
        <w:spacing w:after="160" w:line="276"/>
        <w:jc w:val="both"/>
      </w:pPr>
      <w:r>
        <w:rPr>
          <w:rFonts w:ascii="Calibri" w:cs="Calibri" w:eastAsia="Calibri" w:hAnsi="Calibri"/>
          <w:sz w:val="21"/>
          <w:szCs w:val="21"/>
        </w:rPr>
        <w:t xml:space="preserve">Recreación de equipos y canales relevantes en el tenant destino; migración de archivos y, cuando la herramienta lo soporte, del historial de chat/canal.</w:t>
      </w:r>
    </w:p>
    <w:p>
      <w:pPr>
        <w:pStyle w:val="Heading3"/>
        <w:spacing w:after="120" w:before="220"/>
      </w:pPr>
      <w:r>
        <w:rPr>
          <w:rFonts w:ascii="Calibri" w:cs="Calibri" w:eastAsia="Calibri" w:hAnsi="Calibri"/>
          <w:b/>
          <w:bCs/>
          <w:color w:val="595959"/>
          <w:sz w:val="22"/>
          <w:szCs w:val="22"/>
        </w:rPr>
        <w:t xml:space="preserve">Fase 7 – Corte final (Cutover) de DNS y correo</w:t>
      </w:r>
    </w:p>
    <w:p>
      <w:pPr>
        <w:spacing w:after="160" w:line="276"/>
        <w:jc w:val="both"/>
      </w:pPr>
      <w:r>
        <w:rPr>
          <w:rFonts w:ascii="Calibri" w:cs="Calibri" w:eastAsia="Calibri" w:hAnsi="Calibri"/>
          <w:sz w:val="21"/>
          <w:szCs w:val="21"/>
        </w:rPr>
        <w:t xml:space="preserve">Actualización de registros MX, SPF, DKIM, DMARC y autodiscover para apuntar de forma definitiva al nuevo tenant; desactivación del enrutamiento temporal.</w:t>
      </w:r>
    </w:p>
    <w:p>
      <w:pPr>
        <w:pStyle w:val="Heading3"/>
        <w:spacing w:after="120" w:before="220"/>
      </w:pPr>
      <w:r>
        <w:rPr>
          <w:rFonts w:ascii="Calibri" w:cs="Calibri" w:eastAsia="Calibri" w:hAnsi="Calibri"/>
          <w:b/>
          <w:bCs/>
          <w:color w:val="595959"/>
          <w:sz w:val="22"/>
          <w:szCs w:val="22"/>
        </w:rPr>
        <w:t xml:space="preserve">Fase 8 – Hypercare y cierre</w:t>
      </w:r>
    </w:p>
    <w:p>
      <w:pPr>
        <w:spacing w:after="160" w:line="276"/>
        <w:jc w:val="both"/>
      </w:pPr>
      <w:r>
        <w:rPr>
          <w:rFonts w:ascii="Calibri" w:cs="Calibri" w:eastAsia="Calibri" w:hAnsi="Calibri"/>
          <w:sz w:val="21"/>
          <w:szCs w:val="21"/>
        </w:rPr>
        <w:t xml:space="preserve">Soporte reforzado durante 1–2 semanas posteriores al corte, atención a incidentes, validación de reportes de migración y firma de aceptación del cliente.</w:t>
      </w:r>
    </w:p>
    <w:p>
      <w:pPr>
        <w:pStyle w:val="Heading2"/>
        <w:spacing w:after="160" w:before="320"/>
      </w:pPr>
      <w:r>
        <w:rPr>
          <w:rFonts w:ascii="Calibri" w:cs="Calibri" w:eastAsia="Calibri" w:hAnsi="Calibri"/>
          <w:b/>
          <w:bCs/>
          <w:color w:val="2E5395"/>
          <w:sz w:val="24"/>
          <w:szCs w:val="24"/>
        </w:rPr>
        <w:t xml:space="preserve">12.2 Consideraciones clave de M365</w:t>
      </w:r>
    </w:p>
    <w:p>
      <w:pPr>
        <w:pStyle w:val="ListParagraph"/>
        <w:numPr>
          <w:ilvl w:val="0"/>
          <w:numId w:val="2"/>
        </w:numPr>
        <w:spacing w:after="80"/>
      </w:pPr>
      <w:r>
        <w:rPr>
          <w:rFonts w:ascii="Calibri" w:cs="Calibri" w:eastAsia="Calibri" w:hAnsi="Calibri"/>
          <w:sz w:val="21"/>
          <w:szCs w:val="21"/>
        </w:rPr>
        <w:t xml:space="preserve">Validar la propiedad y verificación DNS del nuevo dominio público antes de iniciar la migración de correo.</w:t>
      </w:r>
    </w:p>
    <w:p>
      <w:pPr>
        <w:pStyle w:val="ListParagraph"/>
        <w:numPr>
          <w:ilvl w:val="0"/>
          <w:numId w:val="2"/>
        </w:numPr>
        <w:spacing w:after="80"/>
      </w:pPr>
      <w:r>
        <w:rPr>
          <w:rFonts w:ascii="Calibri" w:cs="Calibri" w:eastAsia="Calibri" w:hAnsi="Calibri"/>
          <w:sz w:val="21"/>
          <w:szCs w:val="21"/>
        </w:rPr>
        <w:t xml:space="preserve">Definir el manejo de calendarios compartidos, delegados y permisos de buzón (full access/send-as) que crucen entre ambas organizaciones.</w:t>
      </w:r>
    </w:p>
    <w:p>
      <w:pPr>
        <w:pStyle w:val="ListParagraph"/>
        <w:numPr>
          <w:ilvl w:val="0"/>
          <w:numId w:val="2"/>
        </w:numPr>
        <w:spacing w:after="80"/>
      </w:pPr>
      <w:r>
        <w:rPr>
          <w:rFonts w:ascii="Calibri" w:cs="Calibri" w:eastAsia="Calibri" w:hAnsi="Calibri"/>
          <w:sz w:val="21"/>
          <w:szCs w:val="21"/>
        </w:rPr>
        <w:t xml:space="preserve">Revisar licenciamiento de Teams Phone / Direct Routing si el área de Finanzas utiliza telefonía integrada en Teams.</w:t>
      </w:r>
    </w:p>
    <w:p>
      <w:pPr>
        <w:pStyle w:val="ListParagraph"/>
        <w:numPr>
          <w:ilvl w:val="0"/>
          <w:numId w:val="2"/>
        </w:numPr>
        <w:spacing w:after="80"/>
      </w:pPr>
      <w:r>
        <w:rPr>
          <w:rFonts w:ascii="Calibri" w:cs="Calibri" w:eastAsia="Calibri" w:hAnsi="Calibri"/>
          <w:sz w:val="21"/>
          <w:szCs w:val="21"/>
        </w:rPr>
        <w:t xml:space="preserve">Establecer una política clara de retención/archivo de datos históricos que permanecen en el tenant origen tras el corte, conforme a requerimientos legales o de auditoría.</w:t>
      </w:r>
    </w:p>
    <w:p>
      <w:pPr>
        <w:pStyle w:val="ListParagraph"/>
        <w:numPr>
          <w:ilvl w:val="0"/>
          <w:numId w:val="2"/>
        </w:numPr>
        <w:spacing w:after="80"/>
      </w:pPr>
      <w:r>
        <w:rPr>
          <w:rFonts w:ascii="Calibri" w:cs="Calibri" w:eastAsia="Calibri" w:hAnsi="Calibri"/>
          <w:sz w:val="21"/>
          <w:szCs w:val="21"/>
        </w:rPr>
        <w:t xml:space="preserve">Configurar la gobernanza de seguridad del nuevo tenant desde el diseño (MFA obligatorio, Conditional Access, Defender for Office 365) en lugar de replicar configuraciones heredadas sin revisión.</w:t>
      </w:r>
    </w:p>
    <w:p>
      <w:pPr>
        <w:pStyle w:val="Heading1"/>
        <w:pBdr>
          <w:bottom w:val="single" w:color="2E5395" w:sz="6" w:space="4"/>
        </w:pBdr>
        <w:spacing w:after="240" w:before="480"/>
      </w:pPr>
      <w:r>
        <w:rPr>
          <w:rFonts w:ascii="Calibri" w:cs="Calibri" w:eastAsia="Calibri" w:hAnsi="Calibri"/>
          <w:b/>
          <w:bCs/>
          <w:color w:val="1F3864"/>
          <w:sz w:val="30"/>
          <w:szCs w:val="30"/>
        </w:rPr>
        <w:t xml:space="preserve">13. Tiempos de Ejecución</w:t>
      </w:r>
    </w:p>
    <w:p>
      <w:pPr>
        <w:spacing w:after="160" w:line="276"/>
        <w:jc w:val="both"/>
      </w:pPr>
      <w:r>
        <w:rPr>
          <w:rFonts w:ascii="Calibri" w:cs="Calibri" w:eastAsia="Calibri" w:hAnsi="Calibri"/>
          <w:sz w:val="21"/>
          <w:szCs w:val="21"/>
        </w:rPr>
        <w:t xml:space="preserve">Se estima un plazo total de 10 a 14 semanas para la ejecución completa del proyecto, sujeto a la confirmación del volumen real de usuarios y datos durante la Fase 0. El siguiente cronograma es de carácter referencial y deberá ajustarse tras el levantamiento inicial.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200"/>
      </w:tblGrid>
      <w:tr>
        <w:trPr>
          <w:tblHeader/>
        </w:trPr>
        <w:tc>
          <w:tcPr>
            <w:tcW w:type="dxa" w:w="4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Fase</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Duración estimada</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Semana(s)</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0 – Levantamiento y diseño (Discovery)</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 semanas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 – 2</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1 – Aprovisionamiento de infraestructura AD destino</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1.5 semanas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 – 3</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2 – Aprovisionamiento del tenant M365 destino</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 semana</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 – 4</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3 – Migración de identidades, grupos y GPOs (AD)</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 semanas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 – 6</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4 – Migración de correo (Exchange Online) y coexistencia</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 semanas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 – 7</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5 – Migración de OneDrive / SharePoint</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 semanas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7 – 9</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6 – Migración/recreación de Microsoft Teams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 semana</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9 – 10</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7 – Re-unión de equipos al nuevo dominio (oleadas)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1.5 semanas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9 – 11</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8 – Corte final (Cutover DNS/correo) y validación</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 – 3 días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11</w:t>
            </w:r>
          </w:p>
        </w:tc>
      </w:tr>
      <w:tr>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Fase 9 – Hypercare y cierre del proyecto</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 semanas</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12 – 14</w:t>
            </w:r>
          </w:p>
        </w:tc>
      </w:tr>
    </w:tbl>
    <w:p>
      <w:pPr>
        <w:spacing w:before="200"/>
      </w:pPr>
      <w:r>
        <w:rPr>
          <w:rFonts w:ascii="Calibri" w:cs="Calibri" w:eastAsia="Calibri" w:hAnsi="Calibri"/>
          <w:b/>
          <w:bCs/>
          <w:i/>
          <w:iCs/>
          <w:color w:val="595959"/>
          <w:sz w:val="19"/>
          <w:szCs w:val="19"/>
        </w:rPr>
        <w:t xml:space="preserve">Nota: </w:t>
      </w:r>
      <w:r>
        <w:rPr>
          <w:rFonts w:ascii="Calibri" w:cs="Calibri" w:eastAsia="Calibri" w:hAnsi="Calibri"/>
          <w:i/>
          <w:iCs/>
          <w:color w:val="595959"/>
          <w:sz w:val="19"/>
          <w:szCs w:val="19"/>
        </w:rPr>
        <w:t xml:space="preserve">las fases 3 a 7 pueden ejecutarse de forma parcialmente traslapada (en paralelo) para optimizar el tiempo total, dependiendo de la disponibilidad de recursos técnicos de ambas partes.</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14. Conclusiones y Próximos Pasos</w:t>
      </w:r>
    </w:p>
    <w:p>
      <w:pPr>
        <w:spacing w:after="160" w:line="276"/>
        <w:jc w:val="both"/>
      </w:pPr>
      <w:r>
        <w:rPr>
          <w:rFonts w:ascii="Calibri" w:cs="Calibri" w:eastAsia="Calibri" w:hAnsi="Calibri"/>
          <w:sz w:val="21"/>
          <w:szCs w:val="21"/>
        </w:rPr>
        <w:t xml:space="preserve">La separación del área de Finanzas hacia una infraestructura de identidad y colaboración independiente es un proyecto de complejidad media-alta que requiere coordinación estrecha entre ambas organizaciones, especialmente en materia de accesos administrativos, tiempos contractuales y continuidad del negocio. La estrategia de 'nuevo bosque' para Active Directory, combinada con una migración de tenant a tenant por oleadas para Microsoft 365, ofrece el mejor balance entre independencia total, seguridad y minimización de riesgo operativo.</w:t>
      </w:r>
    </w:p>
    <w:p>
      <w:pPr>
        <w:spacing w:after="160" w:line="276"/>
        <w:jc w:val="both"/>
      </w:pPr>
      <w:r>
        <w:rPr>
          <w:rFonts w:ascii="Calibri" w:cs="Calibri" w:eastAsia="Calibri" w:hAnsi="Calibri"/>
          <w:sz w:val="21"/>
          <w:szCs w:val="21"/>
        </w:rPr>
        <w:t xml:space="preserve">Se recomienda iniciar de inmediato con la Fase 0 (levantamiento/discovery) para:</w:t>
      </w:r>
    </w:p>
    <w:p>
      <w:pPr>
        <w:pStyle w:val="ListParagraph"/>
        <w:numPr>
          <w:ilvl w:val="0"/>
          <w:numId w:val="2"/>
        </w:numPr>
        <w:spacing w:after="80"/>
      </w:pPr>
      <w:r>
        <w:rPr>
          <w:rFonts w:ascii="Calibri" w:cs="Calibri" w:eastAsia="Calibri" w:hAnsi="Calibri"/>
          <w:sz w:val="21"/>
          <w:szCs w:val="21"/>
        </w:rPr>
        <w:t xml:space="preserve">Confirmar el número exacto de usuarios, buzones, volumen de datos (OneDrive/SharePoint) y equipos a migrar.</w:t>
      </w:r>
    </w:p>
    <w:p>
      <w:pPr>
        <w:pStyle w:val="ListParagraph"/>
        <w:numPr>
          <w:ilvl w:val="0"/>
          <w:numId w:val="2"/>
        </w:numPr>
        <w:spacing w:after="80"/>
      </w:pPr>
      <w:r>
        <w:rPr>
          <w:rFonts w:ascii="Calibri" w:cs="Calibri" w:eastAsia="Calibri" w:hAnsi="Calibri"/>
          <w:sz w:val="21"/>
          <w:szCs w:val="21"/>
        </w:rPr>
        <w:t xml:space="preserve">Validar la disponibilidad del dominio público y del licenciamiento M365 para el tenant destino.</w:t>
      </w:r>
    </w:p>
    <w:p>
      <w:pPr>
        <w:pStyle w:val="ListParagraph"/>
        <w:numPr>
          <w:ilvl w:val="0"/>
          <w:numId w:val="2"/>
        </w:numPr>
        <w:spacing w:after="80"/>
      </w:pPr>
      <w:r>
        <w:rPr>
          <w:rFonts w:ascii="Calibri" w:cs="Calibri" w:eastAsia="Calibri" w:hAnsi="Calibri"/>
          <w:sz w:val="21"/>
          <w:szCs w:val="21"/>
        </w:rPr>
        <w:t xml:space="preserve">Formalizar el acuerdo de accesos administrativos temporales entre ambas organizaciones.</w:t>
      </w:r>
    </w:p>
    <w:p>
      <w:pPr>
        <w:pStyle w:val="ListParagraph"/>
        <w:numPr>
          <w:ilvl w:val="0"/>
          <w:numId w:val="2"/>
        </w:numPr>
        <w:spacing w:after="80"/>
      </w:pPr>
      <w:r>
        <w:rPr>
          <w:rFonts w:ascii="Calibri" w:cs="Calibri" w:eastAsia="Calibri" w:hAnsi="Calibri"/>
          <w:sz w:val="21"/>
          <w:szCs w:val="21"/>
        </w:rPr>
        <w:t xml:space="preserve">Definir la fecha límite contractual de separación para calibrar el cronograma final.</w:t>
      </w:r>
    </w:p>
    <w:p>
      <w:pPr>
        <w:spacing w:after="160" w:line="276"/>
        <w:jc w:val="both"/>
      </w:pPr>
      <w:r>
        <w:rPr>
          <w:rFonts w:ascii="Calibri" w:cs="Calibri" w:eastAsia="Calibri" w:hAnsi="Calibri"/>
          <w:sz w:val="21"/>
          <w:szCs w:val="21"/>
        </w:rPr>
        <w:t xml:space="preserve">Quedamos atentos a sus comentarios para agendar una sesión de revisión de esta propuesta y definir en conjunto los siguientes pasos.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Confidencial | 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Propuesta de Servicio – Migración AD / Microsoft 365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2026-07-31T06:03:23.804Z</dcterms:created>
  <dcterms:modified xsi:type="dcterms:W3CDTF">2026-07-31T06:03:23.869Z</dcterms:modified>
</cp:coreProperties>
</file>

<file path=docProps/custom.xml><?xml version="1.0" encoding="utf-8"?>
<Properties xmlns="http://schemas.openxmlformats.org/officeDocument/2006/custom-properties" xmlns:vt="http://schemas.openxmlformats.org/officeDocument/2006/docPropsVTypes"/>
</file>