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Hallazgos Health Check M365 – Depuración del tenant full cloud (Supra Terra)</w:t>
      </w:r>
    </w:p>
    <w:p>
      <w:pPr/>
      <w:r>
        <w:t xml:space="preserve">Oct 18, 2026</w:t>
      </w:r>
      <w:r>
        <w:t xml:space="preserve"> · </w:t>
      </w:r>
      <w:r>
        <w:t xml:space="preserve">@Someone</w:t>
      </w:r>
    </w:p>
    <w:p>
      <w:pPr>
        <w:pStyle w:val="Heading2"/>
      </w:pPr>
      <w:r>
        <w:t xml:space="preserve">Resumen ejecutivo</w:t>
      </w:r>
    </w:p>
    <w:p>
      <w:pPr/>
      <w:r>
        <w:t xml:space="preserve">El tenant </w:t>
      </w:r>
      <w:r>
        <w:rPr>
          <w:b/>
        </w:rPr>
        <w:t xml:space="preserve">supraterra.onmicrosoft.com</w:t>
      </w:r>
      <w:r>
        <w:t xml:space="preserve"> ya opera full cloud: el AD local y Entra Connect (servidor SPSSVR15) ya no existen. Con eso dejan de aplicar la validación de PHS y la limpieza desde AD. Ahora la depuración se hace directamente en Entra y Exchange Online, en cuatro fases reversibles: </w:t>
      </w:r>
      <w:r>
        <w:rPr>
          <w:b/>
        </w:rPr>
        <w:t xml:space="preserve">identificación, etiquetado, deshabilitación y eliminación</w:t>
      </w:r>
      <w:r>
        <w:t xml:space="preserve">. Cada fase tiene su script de PowerShell.</w:t>
      </w:r>
    </w:p>
    <w:p>
      <w:pPr/>
      <w:r>
        <w:t xml:space="preserve">Antes de la Fase 1 hay un paso obligatorio: confirmar que la marca de sincronización del tenant (</w:t>
      </w:r>
      <w:r>
        <w:rPr>
          <w:rStyle w:val="CodeChar"/>
        </w:rPr>
        <w:t xml:space="preserve">OnPremisesSyncEnabled</w:t>
      </w:r>
      <w:r>
        <w:t xml:space="preserve">) está apagada. Si quedó encendida al retirar el servidor, los 345 usuarios antes sincronizados siguen siendo de solo lectura y no se pueden deshabilitar ni eliminar desde la nube.</w:t>
      </w:r>
    </w:p>
    <w:tbl>
      <w:tblPr>
        <w:tblStyle w:val="TableGrid"/>
        <w:tblW w:w="0" w:type="auto"/>
        <w:tblLayout w:type="fixed"/>
        <w:tblLook w:val="04A0" w:firstRow="1" w:lastRow="0" w:firstColumn="0" w:lastColumn="0" w:noHBand="0" w:noVBand="1"/>
      </w:tblPr>
      <w:tblGrid>
        <w:gridCol w:w="3388"/>
        <w:gridCol w:w="2922"/>
        <w:gridCol w:w="3050"/>
      </w:tblGrid>
      <w:tr>
        <w:trPr>
          <w:tblHeader/>
        </w:trPr>
        <w:tc>
          <w:tcPr>
            <w:tcW w:w="3388" w:type="dxa"/>
            <w:shd w:val="clear" w:color="auto" w:fill="F2F2F2"/>
          </w:tcPr>
          <w:p>
            <w:pPr/>
            <w:r>
              <w:t xml:space="preserve">Elemento</w:t>
            </w:r>
          </w:p>
        </w:tc>
        <w:tc>
          <w:tcPr>
            <w:tcW w:w="2922" w:type="dxa"/>
            <w:shd w:val="clear" w:color="auto" w:fill="F2F2F2"/>
          </w:tcPr>
          <w:p>
            <w:pPr/>
            <w:r>
              <w:t xml:space="preserve">Health Check (01/10/2026)</w:t>
            </w:r>
          </w:p>
        </w:tc>
        <w:tc>
          <w:tcPr>
            <w:tcW w:w="3050" w:type="dxa"/>
            <w:shd w:val="clear" w:color="auto" w:fill="F2F2F2"/>
          </w:tcPr>
          <w:p>
            <w:pPr/>
            <w:r>
              <w:t xml:space="preserve">Estado actual</w:t>
            </w:r>
          </w:p>
        </w:tc>
      </w:tr>
      <w:tr>
        <w:tc>
          <w:tcPr>
            <w:tcW w:w="3388" w:type="dxa"/>
          </w:tcPr>
          <w:p>
            <w:pPr/>
            <w:r>
              <w:t xml:space="preserve">Sincronización con AD</w:t>
            </w:r>
          </w:p>
        </w:tc>
        <w:tc>
          <w:tcPr>
            <w:tcW w:w="2922" w:type="dxa"/>
          </w:tcPr>
          <w:p>
            <w:pPr/>
            <w:r>
              <w:t xml:space="preserve">Activa (SPSSVR15)</w:t>
            </w:r>
          </w:p>
        </w:tc>
        <w:tc>
          <w:tcPr>
            <w:tcW w:w="3050" w:type="dxa"/>
          </w:tcPr>
          <w:p>
            <w:pPr/>
            <w:r>
              <w:t xml:space="preserve">Retirada; confirmar marca del tenant</w:t>
            </w:r>
          </w:p>
        </w:tc>
      </w:tr>
      <w:tr>
        <w:tc>
          <w:tcPr>
            <w:tcW w:w="3388" w:type="dxa"/>
          </w:tcPr>
          <w:p>
            <w:pPr/>
            <w:r>
              <w:t xml:space="preserve">Usuarios miembro antes sincronizados</w:t>
            </w:r>
          </w:p>
        </w:tc>
        <w:tc>
          <w:tcPr>
            <w:tcW w:w="2922" w:type="dxa"/>
          </w:tcPr>
          <w:p>
            <w:pPr/>
            <w:r>
              <w:t xml:space="preserve">345 (338 habilitados)</w:t>
            </w:r>
          </w:p>
        </w:tc>
        <w:tc>
          <w:tcPr>
            <w:tcW w:w="3050" w:type="dxa"/>
          </w:tcPr>
          <w:p>
            <w:pPr/>
            <w:r>
              <w:t xml:space="preserve">Ahora son cuentas de nube</w:t>
            </w:r>
          </w:p>
        </w:tc>
      </w:tr>
      <w:tr>
        <w:tc>
          <w:tcPr>
            <w:tcW w:w="3388" w:type="dxa"/>
          </w:tcPr>
          <w:p>
            <w:pPr/>
            <w:r>
              <w:t xml:space="preserve">Usuarios miembro solo nube</w:t>
            </w:r>
          </w:p>
        </w:tc>
        <w:tc>
          <w:tcPr>
            <w:tcW w:w="2922" w:type="dxa"/>
          </w:tcPr>
          <w:p>
            <w:pPr/>
            <w:r>
              <w:t xml:space="preserve">69</w:t>
            </w:r>
          </w:p>
        </w:tc>
        <w:tc>
          <w:tcPr>
            <w:tcW w:w="3050" w:type="dxa"/>
          </w:tcPr>
          <w:p>
            <w:pPr/>
            <w:r>
              <w:t xml:space="preserve">Sin cambio</w:t>
            </w:r>
          </w:p>
        </w:tc>
      </w:tr>
      <w:tr>
        <w:tc>
          <w:tcPr>
            <w:tcW w:w="3388" w:type="dxa"/>
          </w:tcPr>
          <w:p>
            <w:pPr/>
            <w:r>
              <w:t xml:space="preserve">Invitados</w:t>
            </w:r>
          </w:p>
        </w:tc>
        <w:tc>
          <w:tcPr>
            <w:tcW w:w="2922" w:type="dxa"/>
          </w:tcPr>
          <w:p>
            <w:pPr/>
            <w:r>
              <w:t xml:space="preserve">26</w:t>
            </w:r>
          </w:p>
        </w:tc>
        <w:tc>
          <w:tcPr>
            <w:tcW w:w="3050" w:type="dxa"/>
          </w:tcPr>
          <w:p>
            <w:pPr/>
            <w:r>
              <w:t xml:space="preserve">Sin cambio</w:t>
            </w:r>
          </w:p>
        </w:tc>
      </w:tr>
      <w:tr>
        <w:tc>
          <w:tcPr>
            <w:tcW w:w="3388" w:type="dxa"/>
          </w:tcPr>
          <w:p>
            <w:pPr/>
            <w:r>
              <w:t xml:space="preserve">Grupos de seguridad heredados de AD</w:t>
            </w:r>
          </w:p>
        </w:tc>
        <w:tc>
          <w:tcPr>
            <w:tcW w:w="2922" w:type="dxa"/>
          </w:tcPr>
          <w:p>
            <w:pPr/>
            <w:r>
              <w:t xml:space="preserve">45</w:t>
            </w:r>
          </w:p>
        </w:tc>
        <w:tc>
          <w:tcPr>
            <w:tcW w:w="3050" w:type="dxa"/>
          </w:tcPr>
          <w:p>
            <w:pPr/>
            <w:r>
              <w:t xml:space="preserve">Ahora son grupos de nube</w:t>
            </w:r>
          </w:p>
        </w:tc>
      </w:tr>
      <w:tr>
        <w:tc>
          <w:tcPr>
            <w:tcW w:w="3388" w:type="dxa"/>
          </w:tcPr>
          <w:p>
            <w:pPr/>
            <w:r>
              <w:t xml:space="preserve">Grupos de Microsoft 365</w:t>
            </w:r>
          </w:p>
        </w:tc>
        <w:tc>
          <w:tcPr>
            <w:tcW w:w="2922" w:type="dxa"/>
          </w:tcPr>
          <w:p>
            <w:pPr/>
            <w:r>
              <w:t xml:space="preserve">232</w:t>
            </w:r>
          </w:p>
        </w:tc>
        <w:tc>
          <w:tcPr>
            <w:tcW w:w="3050" w:type="dxa"/>
          </w:tcPr>
          <w:p>
            <w:pPr/>
            <w:r>
              <w:t xml:space="preserve">Sin cambio</w:t>
            </w:r>
          </w:p>
        </w:tc>
      </w:tr>
      <w:tr>
        <w:tc>
          <w:tcPr>
            <w:tcW w:w="3388" w:type="dxa"/>
          </w:tcPr>
          <w:p>
            <w:pPr/>
            <w:r>
              <w:t xml:space="preserve">Candidatos a baja estimados</w:t>
            </w:r>
          </w:p>
        </w:tc>
        <w:tc>
          <w:tcPr>
            <w:tcW w:w="2922" w:type="dxa"/>
          </w:tcPr>
          <w:p>
            <w:pPr/>
            <w:r>
              <w:t xml:space="preserve">~140 usuarios (130 sin licencia ni buzón, 7 deshabilitados, 3 cuentas nube sin uso)</w:t>
            </w:r>
          </w:p>
        </w:tc>
        <w:tc>
          <w:tcPr>
            <w:tcW w:w="3050" w:type="dxa"/>
          </w:tcPr>
          <w:p>
            <w:pPr/>
            <w:r>
              <w:t xml:space="preserve">Se confirman en la Fase 1</w:t>
            </w:r>
          </w:p>
        </w:tc>
      </w:tr>
      <w:tr>
        <w:tc>
          <w:tcPr>
            <w:tcW w:w="3388" w:type="dxa"/>
          </w:tcPr>
          <w:p>
            <w:pPr/>
            <w:r>
              <w:t xml:space="preserve">Secure Score</w:t>
            </w:r>
          </w:p>
        </w:tc>
        <w:tc>
          <w:tcPr>
            <w:tcW w:w="2922" w:type="dxa"/>
          </w:tcPr>
          <w:p>
            <w:pPr/>
            <w:r>
              <w:t xml:space="preserve">117.88 de 278 (42%)</w:t>
            </w:r>
          </w:p>
        </w:tc>
        <w:tc>
          <w:tcPr>
            <w:tcW w:w="3050" w:type="dxa"/>
          </w:tcPr>
          <w:p>
            <w:pPr/>
            <w:r>
              <w:t xml:space="preserve">Volver a medir al terminar</w:t>
            </w:r>
          </w:p>
        </w:tc>
      </w:tr>
    </w:tbl>
    <w:p>
      <w:pPr>
        <w:pStyle w:val="Heading2"/>
      </w:pPr>
      <w:r>
        <w:t xml:space="preserve">Hallazgos críticos</w:t>
      </w:r>
    </w:p>
    <w:p>
      <w:pPr/>
      <w:r>
        <w:t xml:space="preserve">Con el AD retirado, el riesgo ya no es perder el acceso en un corte. Ahora es quedarse con objetos huérfanos o bloqueados que nadie puede administrar.</w:t>
      </w:r>
    </w:p>
    <w:tbl>
      <w:tblPr>
        <w:tblStyle w:val="TableGrid"/>
        <w:tblW w:w="0" w:type="auto"/>
        <w:tblLayout w:type="fixed"/>
        <w:tblLook w:val="04A0" w:firstRow="1" w:lastRow="0" w:firstColumn="0" w:lastColumn="0" w:noHBand="0" w:noVBand="1"/>
      </w:tblPr>
      <w:tblGrid>
        <w:gridCol w:w="720"/>
        <w:gridCol w:w="2340"/>
        <w:gridCol w:w="3208"/>
        <w:gridCol w:w="3092"/>
      </w:tblGrid>
      <w:tr>
        <w:trPr>
          <w:tblHeader/>
        </w:trPr>
        <w:tc>
          <w:tcPr>
            <w:tcW w:w="720" w:type="dxa"/>
            <w:shd w:val="clear" w:color="auto" w:fill="F2F2F2"/>
          </w:tcPr>
          <w:p>
            <w:pPr/>
            <w:r>
              <w:t xml:space="preserve">#</w:t>
            </w:r>
          </w:p>
        </w:tc>
        <w:tc>
          <w:tcPr>
            <w:tcW w:w="2340" w:type="dxa"/>
            <w:shd w:val="clear" w:color="auto" w:fill="F2F2F2"/>
          </w:tcPr>
          <w:p>
            <w:pPr/>
            <w:r>
              <w:t xml:space="preserve">Hallazgo</w:t>
            </w:r>
          </w:p>
        </w:tc>
        <w:tc>
          <w:tcPr>
            <w:tcW w:w="3208" w:type="dxa"/>
            <w:shd w:val="clear" w:color="auto" w:fill="F2F2F2"/>
          </w:tcPr>
          <w:p>
            <w:pPr/>
            <w:r>
              <w:t xml:space="preserve">Evidencia</w:t>
            </w:r>
          </w:p>
        </w:tc>
        <w:tc>
          <w:tcPr>
            <w:tcW w:w="3092" w:type="dxa"/>
            <w:shd w:val="clear" w:color="auto" w:fill="F2F2F2"/>
          </w:tcPr>
          <w:p>
            <w:pPr/>
            <w:r>
              <w:t xml:space="preserve">Riesgo si no se atiende</w:t>
            </w:r>
          </w:p>
        </w:tc>
      </w:tr>
      <w:tr>
        <w:tc>
          <w:tcPr>
            <w:tcW w:w="720" w:type="dxa"/>
          </w:tcPr>
          <w:p>
            <w:pPr/>
            <w:r>
              <w:t xml:space="preserve">1</w:t>
            </w:r>
          </w:p>
        </w:tc>
        <w:tc>
          <w:tcPr>
            <w:tcW w:w="2340" w:type="dxa"/>
          </w:tcPr>
          <w:p>
            <w:pPr/>
            <w:r>
              <w:t xml:space="preserve">Marca de sincronización del tenant sin confirmar</w:t>
            </w:r>
          </w:p>
        </w:tc>
        <w:tc>
          <w:tcPr>
            <w:tcW w:w="3208" w:type="dxa"/>
          </w:tcPr>
          <w:p>
            <w:pPr/>
            <w:r>
              <w:t xml:space="preserve">Retirar el servidor no apaga </w:t>
            </w:r>
            <w:r>
              <w:rPr>
                <w:rStyle w:val="CodeChar"/>
              </w:rPr>
              <w:t xml:space="preserve">OnPremisesSyncEnabled</w:t>
            </w:r>
          </w:p>
        </w:tc>
        <w:tc>
          <w:tcPr>
            <w:tcW w:w="3092" w:type="dxa"/>
          </w:tcPr>
          <w:p>
            <w:pPr/>
            <w:r>
              <w:t xml:space="preserve">Usuarios, grupos y dispositivos antes sincronizados siguen de solo lectura; los scripts de baja fallan</w:t>
            </w:r>
          </w:p>
        </w:tc>
      </w:tr>
      <w:tr>
        <w:tc>
          <w:tcPr>
            <w:tcW w:w="720" w:type="dxa"/>
          </w:tcPr>
          <w:p>
            <w:pPr/>
            <w:r>
              <w:t xml:space="preserve">2</w:t>
            </w:r>
          </w:p>
        </w:tc>
        <w:tc>
          <w:tcPr>
            <w:tcW w:w="2340" w:type="dxa"/>
          </w:tcPr>
          <w:p>
            <w:pPr/>
            <w:r>
              <w:t xml:space="preserve">Restos de Entra Connect</w:t>
            </w:r>
          </w:p>
        </w:tc>
        <w:tc>
          <w:tcPr>
            <w:tcW w:w="3208" w:type="dxa"/>
          </w:tcPr>
          <w:p>
            <w:pPr/>
            <w:r>
              <w:t xml:space="preserve">Cuenta </w:t>
            </w:r>
            <w:r>
              <w:rPr>
                <w:rStyle w:val="CodeChar"/>
              </w:rPr>
              <w:t xml:space="preserve">Sync_SPSSVR15_79e3f12c17ff</w:t>
            </w:r>
            <w:r>
              <w:t xml:space="preserve"> con rol Directory Synchronization Accounts</w:t>
            </w:r>
          </w:p>
        </w:tc>
        <w:tc>
          <w:tcPr>
            <w:tcW w:w="3092" w:type="dxa"/>
          </w:tcPr>
          <w:p>
            <w:pPr/>
            <w:r>
              <w:t xml:space="preserve">Cuenta privilegiada sin dueño y sin uso</w:t>
            </w:r>
          </w:p>
        </w:tc>
      </w:tr>
      <w:tr>
        <w:tc>
          <w:tcPr>
            <w:tcW w:w="720" w:type="dxa"/>
          </w:tcPr>
          <w:p>
            <w:pPr/>
            <w:r>
              <w:t xml:space="preserve">3</w:t>
            </w:r>
          </w:p>
        </w:tc>
        <w:tc>
          <w:tcPr>
            <w:tcW w:w="2340" w:type="dxa"/>
          </w:tcPr>
          <w:p>
            <w:pPr/>
            <w:r>
              <w:t xml:space="preserve">Dispositivos con unión híbrida sin AD</w:t>
            </w:r>
          </w:p>
        </w:tc>
        <w:tc>
          <w:tcPr>
            <w:tcW w:w="3208" w:type="dxa"/>
          </w:tcPr>
          <w:p>
            <w:pPr/>
            <w:r>
              <w:rPr>
                <w:rStyle w:val="CodeChar"/>
              </w:rPr>
              <w:t xml:space="preserve">Folder_Redirection</w:t>
            </w:r>
            <w:r>
              <w:t xml:space="preserve"> y GPO indican PCs unidas al dominio; sin AD ya no renuevan su registro</w:t>
            </w:r>
          </w:p>
        </w:tc>
        <w:tc>
          <w:tcPr>
            <w:tcW w:w="3092" w:type="dxa"/>
          </w:tcPr>
          <w:p>
            <w:pPr/>
            <w:r>
              <w:t xml:space="preserve">Equipos que pierden SSO y acceso condicional; claves BitLocker que se pierden si se borra el objeto sin respaldarlas</w:t>
            </w:r>
          </w:p>
        </w:tc>
      </w:tr>
      <w:tr>
        <w:tc>
          <w:tcPr>
            <w:tcW w:w="720" w:type="dxa"/>
          </w:tcPr>
          <w:p>
            <w:pPr/>
            <w:r>
              <w:t xml:space="preserve">4</w:t>
            </w:r>
          </w:p>
        </w:tc>
        <w:tc>
          <w:tcPr>
            <w:tcW w:w="2340" w:type="dxa"/>
          </w:tcPr>
          <w:p>
            <w:pPr/>
            <w:r>
              <w:t xml:space="preserve">123 cuentas con UPN </w:t>
            </w:r>
            <w:r>
              <w:rPr>
                <w:rStyle w:val="CodeChar"/>
              </w:rPr>
              <w:t xml:space="preserve">@supraterra.onmicrosoft.com</w:t>
            </w:r>
          </w:p>
        </w:tc>
        <w:tc>
          <w:tcPr>
            <w:tcW w:w="3208" w:type="dxa"/>
          </w:tcPr>
          <w:p>
            <w:pPr/>
            <w:r>
              <w:t xml:space="preserve">122 sin licencia, 103 sin correo; 20 con correo en dominio propio</w:t>
            </w:r>
          </w:p>
        </w:tc>
        <w:tc>
          <w:tcPr>
            <w:tcW w:w="3092" w:type="dxa"/>
          </w:tcPr>
          <w:p>
            <w:pPr/>
            <w:r>
              <w:t xml:space="preserve">Cuentas basura y usuarios reales con un UPN distinto a su correo</w:t>
            </w:r>
          </w:p>
        </w:tc>
      </w:tr>
      <w:tr>
        <w:tc>
          <w:tcPr>
            <w:tcW w:w="720" w:type="dxa"/>
          </w:tcPr>
          <w:p>
            <w:pPr/>
            <w:r>
              <w:t xml:space="preserve">5</w:t>
            </w:r>
          </w:p>
        </w:tc>
        <w:tc>
          <w:tcPr>
            <w:tcW w:w="2340" w:type="dxa"/>
          </w:tcPr>
          <w:p>
            <w:pPr/>
            <w:r>
              <w:t xml:space="preserve">Seguridad de identidad débil</w:t>
            </w:r>
          </w:p>
        </w:tc>
        <w:tc>
          <w:tcPr>
            <w:tcW w:w="3208" w:type="dxa"/>
          </w:tcPr>
          <w:p>
            <w:pPr/>
            <w:r>
              <w:t xml:space="preserve">Security Defaults desactivados; acceso condicional no visible; Secure Score 42%</w:t>
            </w:r>
          </w:p>
        </w:tc>
        <w:tc>
          <w:tcPr>
            <w:tcW w:w="3092" w:type="dxa"/>
          </w:tcPr>
          <w:p>
            <w:pPr/>
            <w:r>
              <w:t xml:space="preserve">La nube es ahora la única barrera de identidad</w:t>
            </w:r>
          </w:p>
        </w:tc>
      </w:tr>
      <w:tr>
        <w:tc>
          <w:tcPr>
            <w:tcW w:w="720" w:type="dxa"/>
          </w:tcPr>
          <w:p>
            <w:pPr/>
            <w:r>
              <w:t xml:space="preserve">6</w:t>
            </w:r>
          </w:p>
        </w:tc>
        <w:tc>
          <w:tcPr>
            <w:tcW w:w="2340" w:type="dxa"/>
          </w:tcPr>
          <w:p>
            <w:pPr/>
            <w:r>
              <w:t xml:space="preserve">Grupos heredados de AD sin uso</w:t>
            </w:r>
          </w:p>
        </w:tc>
        <w:tc>
          <w:tcPr>
            <w:tcW w:w="3208" w:type="dxa"/>
          </w:tcPr>
          <w:p>
            <w:pPr/>
            <w:r>
              <w:t xml:space="preserve">45 grupos (Wi-Fi, GPO, SQL, respaldos, Intelisis) que servían a sistemas locales</w:t>
            </w:r>
          </w:p>
        </w:tc>
        <w:tc>
          <w:tcPr>
            <w:tcW w:w="3092" w:type="dxa"/>
          </w:tcPr>
          <w:p>
            <w:pPr/>
            <w:r>
              <w:t xml:space="preserve">Grupos que dan permisos sin control o que ya no sirven</w:t>
            </w:r>
          </w:p>
        </w:tc>
      </w:tr>
    </w:tbl>
    <w:p>
      <w:pPr/>
      <w:r>
        <w:t xml:space="preserve">Los grupos heredados conservan el atributo </w:t>
      </w:r>
      <w:r>
        <w:rPr>
          <w:rStyle w:val="CodeChar"/>
        </w:rPr>
        <w:t xml:space="preserve">onPremisesLastSyncDateTime</w:t>
      </w:r>
      <w:r>
        <w:t xml:space="preserve">; el script de identificación lo usa para marcarlos (motivo GR02).</w:t>
      </w:r>
    </w:p>
    <w:p>
      <w:pPr>
        <w:pStyle w:val="Heading2"/>
      </w:pPr>
      <w:r>
        <w:t xml:space="preserve">Hallazgos de limpieza e higiene</w:t>
      </w:r>
    </w:p>
    <w:p>
      <w:pPr/>
      <w:r>
        <w:t xml:space="preserve">No bloquean el corte, pero conviene resolverlos antes para no heredar desorden a la nube.</w:t>
      </w:r>
    </w:p>
    <w:tbl>
      <w:tblPr>
        <w:tblStyle w:val="TableGrid"/>
        <w:tblW w:w="0" w:type="auto"/>
        <w:tblLayout w:type="fixed"/>
        <w:tblLook w:val="04A0" w:firstRow="1" w:lastRow="0" w:firstColumn="0" w:lastColumn="0" w:noHBand="0" w:noVBand="1"/>
      </w:tblPr>
      <w:tblGrid>
        <w:gridCol w:w="1945"/>
        <w:gridCol w:w="4694"/>
        <w:gridCol w:w="2721"/>
      </w:tblGrid>
      <w:tr>
        <w:trPr>
          <w:tblHeader/>
        </w:trPr>
        <w:tc>
          <w:tcPr>
            <w:tcW w:w="1945" w:type="dxa"/>
            <w:shd w:val="clear" w:color="auto" w:fill="F2F2F2"/>
          </w:tcPr>
          <w:p>
            <w:pPr/>
            <w:r>
              <w:t xml:space="preserve">Área</w:t>
            </w:r>
          </w:p>
        </w:tc>
        <w:tc>
          <w:tcPr>
            <w:tcW w:w="4694" w:type="dxa"/>
            <w:shd w:val="clear" w:color="auto" w:fill="F2F2F2"/>
          </w:tcPr>
          <w:p>
            <w:pPr/>
            <w:r>
              <w:t xml:space="preserve">Hallazgo</w:t>
            </w:r>
          </w:p>
        </w:tc>
        <w:tc>
          <w:tcPr>
            <w:tcW w:w="2721" w:type="dxa"/>
            <w:shd w:val="clear" w:color="auto" w:fill="F2F2F2"/>
          </w:tcPr>
          <w:p>
            <w:pPr/>
            <w:r>
              <w:t xml:space="preserve">Acción sugerida</w:t>
            </w:r>
          </w:p>
        </w:tc>
      </w:tr>
      <w:tr>
        <w:tc>
          <w:tcPr>
            <w:tcW w:w="1945" w:type="dxa"/>
          </w:tcPr>
          <w:p>
            <w:pPr/>
            <w:r>
              <w:t xml:space="preserve">Usuarios</w:t>
            </w:r>
          </w:p>
        </w:tc>
        <w:tc>
          <w:tcPr>
            <w:tcW w:w="4694" w:type="dxa"/>
          </w:tcPr>
          <w:p>
            <w:pPr/>
            <w:r>
              <w:t xml:space="preserve">130 antes sincronizados, habilitados, sin licencia y sin buzón</w:t>
            </w:r>
          </w:p>
        </w:tc>
        <w:tc>
          <w:tcPr>
            <w:tcW w:w="2721" w:type="dxa"/>
          </w:tcPr>
          <w:p>
            <w:pPr/>
            <w:r>
              <w:t xml:space="preserve">Validar último inicio de sesión y dar de baja</w:t>
            </w:r>
          </w:p>
        </w:tc>
      </w:tr>
      <w:tr>
        <w:tc>
          <w:tcPr>
            <w:tcW w:w="1945" w:type="dxa"/>
          </w:tcPr>
          <w:p>
            <w:pPr/>
            <w:r>
              <w:t xml:space="preserve">Usuarios</w:t>
            </w:r>
          </w:p>
        </w:tc>
        <w:tc>
          <w:tcPr>
            <w:tcW w:w="4694" w:type="dxa"/>
          </w:tcPr>
          <w:p>
            <w:pPr/>
            <w:r>
              <w:t xml:space="preserve">7 deshabilitados; Maria Guadalupe Garcia Ledezma conserva 3 licencias</w:t>
            </w:r>
          </w:p>
        </w:tc>
        <w:tc>
          <w:tcPr>
            <w:tcW w:w="2721" w:type="dxa"/>
          </w:tcPr>
          <w:p>
            <w:pPr/>
            <w:r>
              <w:t xml:space="preserve">Liberar licencias y eliminar</w:t>
            </w:r>
          </w:p>
        </w:tc>
      </w:tr>
      <w:tr>
        <w:tc>
          <w:tcPr>
            <w:tcW w:w="1945" w:type="dxa"/>
          </w:tcPr>
          <w:p>
            <w:pPr/>
            <w:r>
              <w:t xml:space="preserve">Usuarios</w:t>
            </w:r>
          </w:p>
        </w:tc>
        <w:tc>
          <w:tcPr>
            <w:tcW w:w="4694" w:type="dxa"/>
          </w:tcPr>
          <w:p>
            <w:pPr/>
            <w:r>
              <w:t xml:space="preserve">Cuentas nube sin uso: </w:t>
            </w:r>
            <w:r>
              <w:rPr>
                <w:rStyle w:val="CodeChar"/>
              </w:rPr>
              <w:t xml:space="preserve">REVISARMIPLATAFORMASH</w:t>
            </w:r>
            <w:r>
              <w:t xml:space="preserve"> y 2 copias (reenvían a gtorres@nuevorefugio.com), </w:t>
            </w:r>
            <w:r>
              <w:rPr>
                <w:rStyle w:val="CodeChar"/>
              </w:rPr>
              <w:t xml:space="preserve">ambiental@</w:t>
            </w:r>
            <w:r>
              <w:t xml:space="preserve"> deshabilitada</w:t>
            </w:r>
          </w:p>
        </w:tc>
        <w:tc>
          <w:tcPr>
            <w:tcW w:w="2721" w:type="dxa"/>
          </w:tcPr>
          <w:p>
            <w:pPr/>
            <w:r>
              <w:t xml:space="preserve">Confirmar con el dueño y eliminar</w:t>
            </w:r>
          </w:p>
        </w:tc>
      </w:tr>
      <w:tr>
        <w:tc>
          <w:tcPr>
            <w:tcW w:w="1945" w:type="dxa"/>
          </w:tcPr>
          <w:p>
            <w:pPr/>
            <w:r>
              <w:t xml:space="preserve">Licencias</w:t>
            </w:r>
          </w:p>
        </w:tc>
        <w:tc>
          <w:tcPr>
            <w:tcW w:w="4694" w:type="dxa"/>
          </w:tcPr>
          <w:p>
            <w:pPr/>
            <w:r>
              <w:t xml:space="preserve">SPB 28/28, Business Standard 96/96, Business Basic 81/81: sin margen</w:t>
            </w:r>
          </w:p>
        </w:tc>
        <w:tc>
          <w:tcPr>
            <w:tcW w:w="2721" w:type="dxa"/>
          </w:tcPr>
          <w:p>
            <w:pPr/>
            <w:r>
              <w:t xml:space="preserve">Reasignar licencias liberadas en la limpieza</w:t>
            </w:r>
          </w:p>
        </w:tc>
      </w:tr>
      <w:tr>
        <w:tc>
          <w:tcPr>
            <w:tcW w:w="1945" w:type="dxa"/>
          </w:tcPr>
          <w:p>
            <w:pPr/>
            <w:r>
              <w:t xml:space="preserve">Licencias</w:t>
            </w:r>
          </w:p>
        </w:tc>
        <w:tc>
          <w:tcPr>
            <w:tcW w:w="4694" w:type="dxa"/>
          </w:tcPr>
          <w:p>
            <w:pPr/>
            <w:r>
              <w:t xml:space="preserve">4 buzones compartidos con licencia: aruiz, pblanco, bcobranza, becarioadmon</w:t>
            </w:r>
          </w:p>
        </w:tc>
        <w:tc>
          <w:tcPr>
            <w:tcW w:w="2721" w:type="dxa"/>
          </w:tcPr>
          <w:p>
            <w:pPr/>
            <w:r>
              <w:t xml:space="preserve">Quitar licencia salvo que superen 50 GB o usen archivo</w:t>
            </w:r>
          </w:p>
        </w:tc>
      </w:tr>
      <w:tr>
        <w:tc>
          <w:tcPr>
            <w:tcW w:w="1945" w:type="dxa"/>
          </w:tcPr>
          <w:p>
            <w:pPr/>
            <w:r>
              <w:t xml:space="preserve">Administradores</w:t>
            </w:r>
          </w:p>
        </w:tc>
        <w:tc>
          <w:tcPr>
            <w:tcW w:w="4694" w:type="dxa"/>
          </w:tcPr>
          <w:p>
            <w:pPr/>
            <w:r>
              <w:t xml:space="preserve">4 Global Admin, incluido </w:t>
            </w:r>
            <w:r>
              <w:rPr>
                <w:rStyle w:val="CodeChar"/>
              </w:rPr>
              <w:t xml:space="preserve">admin@supraterra.onmicrosoft.com</w:t>
            </w:r>
            <w:r>
              <w:t xml:space="preserve"> ("Migration Wiz")</w:t>
            </w:r>
          </w:p>
        </w:tc>
        <w:tc>
          <w:tcPr>
            <w:tcW w:w="2721" w:type="dxa"/>
          </w:tcPr>
          <w:p>
            <w:pPr/>
            <w:r>
              <w:t xml:space="preserve">Crear 2 cuentas de emergencia solo nube; revisar la cuenta de migración</w:t>
            </w:r>
          </w:p>
        </w:tc>
      </w:tr>
      <w:tr>
        <w:tc>
          <w:tcPr>
            <w:tcW w:w="1945" w:type="dxa"/>
          </w:tcPr>
          <w:p>
            <w:pPr/>
            <w:r>
              <w:t xml:space="preserve">Aplicaciones</w:t>
            </w:r>
          </w:p>
        </w:tc>
        <w:tc>
          <w:tcPr>
            <w:tcW w:w="4694" w:type="dxa"/>
          </w:tcPr>
          <w:p>
            <w:pPr/>
            <w:r>
              <w:t xml:space="preserve">Restos de MigrationWiz (app registrada, apps de SharePoint, grupo)</w:t>
            </w:r>
          </w:p>
        </w:tc>
        <w:tc>
          <w:tcPr>
            <w:tcW w:w="2721" w:type="dxa"/>
          </w:tcPr>
          <w:p>
            <w:pPr/>
            <w:r>
              <w:t xml:space="preserve">Eliminar</w:t>
            </w:r>
          </w:p>
        </w:tc>
      </w:tr>
      <w:tr>
        <w:tc>
          <w:tcPr>
            <w:tcW w:w="1945" w:type="dxa"/>
          </w:tcPr>
          <w:p>
            <w:pPr/>
            <w:r>
              <w:t xml:space="preserve">Aplicaciones</w:t>
            </w:r>
          </w:p>
        </w:tc>
        <w:tc>
          <w:tcPr>
            <w:tcW w:w="4694" w:type="dxa"/>
          </w:tcPr>
          <w:p>
            <w:pPr/>
            <w:r>
              <w:t xml:space="preserve">Consentimiento para toda la organización a ChatGPT, Fillout forms y Apple Internet Accounts</w:t>
            </w:r>
          </w:p>
        </w:tc>
        <w:tc>
          <w:tcPr>
            <w:tcW w:w="2721" w:type="dxa"/>
          </w:tcPr>
          <w:p>
            <w:pPr/>
            <w:r>
              <w:t xml:space="preserve">Revisar y restringir el consentimiento de usuarios</w:t>
            </w:r>
          </w:p>
        </w:tc>
      </w:tr>
      <w:tr>
        <w:tc>
          <w:tcPr>
            <w:tcW w:w="1945" w:type="dxa"/>
          </w:tcPr>
          <w:p>
            <w:pPr/>
            <w:r>
              <w:t xml:space="preserve">Correo</w:t>
            </w:r>
          </w:p>
        </w:tc>
        <w:tc>
          <w:tcPr>
            <w:tcW w:w="4694" w:type="dxa"/>
          </w:tcPr>
          <w:p>
            <w:pPr/>
            <w:r>
              <w:t xml:space="preserve">Ninguno de los 11 dominios tiene DMARC ni DKIM</w:t>
            </w:r>
          </w:p>
        </w:tc>
        <w:tc>
          <w:tcPr>
            <w:tcW w:w="2721" w:type="dxa"/>
          </w:tcPr>
          <w:p>
            <w:pPr/>
            <w:r>
              <w:t xml:space="preserve">Publicar DKIM y DMARC (iniciar en </w:t>
            </w:r>
            <w:r>
              <w:rPr>
                <w:rStyle w:val="CodeChar"/>
              </w:rPr>
              <w:t xml:space="preserve">p=none</w:t>
            </w:r>
            <w:r>
              <w:t xml:space="preserve">)</w:t>
            </w:r>
          </w:p>
        </w:tc>
      </w:tr>
      <w:tr>
        <w:tc>
          <w:tcPr>
            <w:tcW w:w="1945" w:type="dxa"/>
          </w:tcPr>
          <w:p>
            <w:pPr/>
            <w:r>
              <w:t xml:space="preserve">Correo</w:t>
            </w:r>
          </w:p>
        </w:tc>
        <w:tc>
          <w:tcPr>
            <w:tcW w:w="4694" w:type="dxa"/>
          </w:tcPr>
          <w:p>
            <w:pPr/>
            <w:r>
              <w:rPr>
                <w:rStyle w:val="CodeChar"/>
              </w:rPr>
              <w:t xml:space="preserve">golf@zirandaro.com.mx</w:t>
            </w:r>
            <w:r>
              <w:t xml:space="preserve"> reenvía a una cuenta de Gmail</w:t>
            </w:r>
          </w:p>
        </w:tc>
        <w:tc>
          <w:tcPr>
            <w:tcW w:w="2721" w:type="dxa"/>
          </w:tcPr>
          <w:p>
            <w:pPr/>
            <w:r>
              <w:t xml:space="preserve">Validar o eliminar el reenvío externo</w:t>
            </w:r>
          </w:p>
        </w:tc>
      </w:tr>
      <w:tr>
        <w:tc>
          <w:tcPr>
            <w:tcW w:w="1945" w:type="dxa"/>
          </w:tcPr>
          <w:p>
            <w:pPr/>
            <w:r>
              <w:t xml:space="preserve">Cumplimiento</w:t>
            </w:r>
          </w:p>
        </w:tc>
        <w:tc>
          <w:tcPr>
            <w:tcW w:w="4694" w:type="dxa"/>
          </w:tcPr>
          <w:p>
            <w:pPr/>
            <w:r>
              <w:t xml:space="preserve">Única política DLP en modo prueba; ningún buzón con retención por litigio</w:t>
            </w:r>
          </w:p>
        </w:tc>
        <w:tc>
          <w:tcPr>
            <w:tcW w:w="2721" w:type="dxa"/>
          </w:tcPr>
          <w:p>
            <w:pPr/>
            <w:r>
              <w:t xml:space="preserve">Definir políticas según necesidad</w:t>
            </w:r>
          </w:p>
        </w:tc>
      </w:tr>
    </w:tbl>
    <w:p>
      <w:pPr/>
      <w:r>
        <w:t xml:space="preserve">Veeam Data Cloud y DigitalKeeperSIEM son apps de nube y no dependían del AD; hay que validar que sigan respaldando y recibiendo eventos al terminar cada fase.</w:t>
      </w:r>
    </w:p>
    <w:p>
      <w:pPr>
        <w:pStyle w:val="Heading2"/>
      </w:pPr>
      <w:r>
        <w:t xml:space="preserve">Estrategia por fases</w:t>
      </w:r>
    </w:p>
    <w:p>
      <w:pPr/>
      <w:r>
        <w:t xml:space="preserve">Cada objeto avanza de fase solo si fue aprobado y cumplió el tiempo de espera de la fase anterior. Una etiqueta en el propio objeto lleva el control: los scripts la leen y se niegan a saltar fases. Todos los scripts simulan por defecto y solo aplican cambios con </w:t>
      </w:r>
      <w:r>
        <w:rPr>
          <w:rStyle w:val="CodeChar"/>
        </w:rPr>
        <w:t xml:space="preserve">-Ejecutar</w:t>
      </w:r>
      <w:r>
        <w:t xml:space="preserve">.</w:t>
      </w:r>
    </w:p>
    <w:tbl>
      <w:tblPr>
        <w:tblStyle w:val="TableGrid"/>
        <w:tblW w:w="0" w:type="auto"/>
        <w:tblLayout w:type="fixed"/>
        <w:tblLook w:val="04A0" w:firstRow="1" w:lastRow="0" w:firstColumn="0" w:lastColumn="0" w:noHBand="0" w:noVBand="1"/>
      </w:tblPr>
      <w:tblGrid>
        <w:gridCol w:w="1701"/>
        <w:gridCol w:w="2161"/>
        <w:gridCol w:w="1872"/>
        <w:gridCol w:w="1754"/>
        <w:gridCol w:w="1872"/>
      </w:tblGrid>
      <w:tr>
        <w:trPr>
          <w:tblHeader/>
        </w:trPr>
        <w:tc>
          <w:tcPr>
            <w:tcW w:w="1701" w:type="dxa"/>
            <w:shd w:val="clear" w:color="auto" w:fill="F2F2F2"/>
          </w:tcPr>
          <w:p>
            <w:pPr/>
            <w:r>
              <w:t xml:space="preserve">Fase</w:t>
            </w:r>
          </w:p>
        </w:tc>
        <w:tc>
          <w:tcPr>
            <w:tcW w:w="2161" w:type="dxa"/>
            <w:shd w:val="clear" w:color="auto" w:fill="F2F2F2"/>
          </w:tcPr>
          <w:p>
            <w:pPr/>
            <w:r>
              <w:t xml:space="preserve">Objetivo</w:t>
            </w:r>
          </w:p>
        </w:tc>
        <w:tc>
          <w:tcPr>
            <w:tcW w:w="1872" w:type="dxa"/>
            <w:shd w:val="clear" w:color="auto" w:fill="F2F2F2"/>
          </w:tcPr>
          <w:p>
            <w:pPr/>
            <w:r>
              <w:t xml:space="preserve">Script</w:t>
            </w:r>
          </w:p>
        </w:tc>
        <w:tc>
          <w:tcPr>
            <w:tcW w:w="1754" w:type="dxa"/>
            <w:shd w:val="clear" w:color="auto" w:fill="F2F2F2"/>
          </w:tcPr>
          <w:p>
            <w:pPr/>
            <w:r>
              <w:t xml:space="preserve">Condición para avanzar</w:t>
            </w:r>
          </w:p>
        </w:tc>
        <w:tc>
          <w:tcPr>
            <w:tcW w:w="1872" w:type="dxa"/>
            <w:shd w:val="clear" w:color="auto" w:fill="F2F2F2"/>
          </w:tcPr>
          <w:p>
            <w:pPr/>
            <w:r>
              <w:t xml:space="preserve">Reversión</w:t>
            </w:r>
          </w:p>
        </w:tc>
      </w:tr>
      <w:tr>
        <w:tc>
          <w:tcPr>
            <w:tcW w:w="1701" w:type="dxa"/>
          </w:tcPr>
          <w:p>
            <w:pPr/>
            <w:r>
              <w:t xml:space="preserve">0. Prerrequisitos</w:t>
            </w:r>
          </w:p>
        </w:tc>
        <w:tc>
          <w:tcPr>
            <w:tcW w:w="2161" w:type="dxa"/>
          </w:tcPr>
          <w:p>
            <w:pPr/>
            <w:r>
              <w:t xml:space="preserve">Confirmar que el tenant es 100% nube y que hay cuentas de emergencia</w:t>
            </w:r>
          </w:p>
        </w:tc>
        <w:tc>
          <w:tcPr>
            <w:tcW w:w="1872" w:type="dxa"/>
          </w:tcPr>
          <w:p>
            <w:pPr/>
            <w:r>
              <w:rPr>
                <w:rStyle w:val="CodeChar"/>
              </w:rPr>
              <w:t xml:space="preserve">00-Prerrequisitos.ps1</w:t>
            </w:r>
          </w:p>
        </w:tc>
        <w:tc>
          <w:tcPr>
            <w:tcW w:w="1754" w:type="dxa"/>
          </w:tcPr>
          <w:p>
            <w:pPr/>
            <w:r>
              <w:t xml:space="preserve">Marca de sincronización apagada; 0 objetos sincronizados</w:t>
            </w:r>
          </w:p>
        </w:tc>
        <w:tc>
          <w:tcPr>
            <w:tcW w:w="1872" w:type="dxa"/>
          </w:tcPr>
          <w:p>
            <w:pPr/>
            <w:r>
              <w:t xml:space="preserve">No aplica</w:t>
            </w:r>
          </w:p>
        </w:tc>
      </w:tr>
      <w:tr>
        <w:tc>
          <w:tcPr>
            <w:tcW w:w="1701" w:type="dxa"/>
          </w:tcPr>
          <w:p>
            <w:pPr/>
            <w:r>
              <w:t xml:space="preserve">1. Identificación</w:t>
            </w:r>
          </w:p>
        </w:tc>
        <w:tc>
          <w:tcPr>
            <w:tcW w:w="2161" w:type="dxa"/>
          </w:tcPr>
          <w:p>
            <w:pPr/>
            <w:r>
              <w:t xml:space="preserve">Inventariar y clasificar usuarios, invitados, grupos y dispositivos (solo lectura)</w:t>
            </w:r>
          </w:p>
        </w:tc>
        <w:tc>
          <w:tcPr>
            <w:tcW w:w="1872" w:type="dxa"/>
          </w:tcPr>
          <w:p>
            <w:pPr/>
            <w:r>
              <w:rPr>
                <w:rStyle w:val="CodeChar"/>
              </w:rPr>
              <w:t xml:space="preserve">01-Identificacion.ps1</w:t>
            </w:r>
          </w:p>
        </w:tc>
        <w:tc>
          <w:tcPr>
            <w:tcW w:w="1754" w:type="dxa"/>
          </w:tcPr>
          <w:p>
            <w:pPr/>
            <w:r>
              <w:t xml:space="preserve">CSV revisado y firmado por el cliente (</w:t>
            </w:r>
            <w:r>
              <w:rPr>
                <w:rStyle w:val="CodeChar"/>
              </w:rPr>
              <w:t xml:space="preserve">Aprobado = SI</w:t>
            </w:r>
            <w:r>
              <w:t xml:space="preserve">)</w:t>
            </w:r>
          </w:p>
        </w:tc>
        <w:tc>
          <w:tcPr>
            <w:tcW w:w="1872" w:type="dxa"/>
          </w:tcPr>
          <w:p>
            <w:pPr/>
            <w:r>
              <w:t xml:space="preserve">No cambia nada</w:t>
            </w:r>
          </w:p>
        </w:tc>
      </w:tr>
      <w:tr>
        <w:tc>
          <w:tcPr>
            <w:tcW w:w="1701" w:type="dxa"/>
          </w:tcPr>
          <w:p>
            <w:pPr/>
            <w:r>
              <w:t xml:space="preserve">2. Etiquetar</w:t>
            </w:r>
          </w:p>
        </w:tc>
        <w:tc>
          <w:tcPr>
            <w:tcW w:w="2161" w:type="dxa"/>
          </w:tcPr>
          <w:p>
            <w:pPr/>
            <w:r>
              <w:t xml:space="preserve">Marcar los aprobados y avisar a jefes y propietarios</w:t>
            </w:r>
          </w:p>
        </w:tc>
        <w:tc>
          <w:tcPr>
            <w:tcW w:w="1872" w:type="dxa"/>
          </w:tcPr>
          <w:p>
            <w:pPr/>
            <w:r>
              <w:rPr>
                <w:rStyle w:val="CodeChar"/>
              </w:rPr>
              <w:t xml:space="preserve">02-Etiquetar.ps1</w:t>
            </w:r>
          </w:p>
        </w:tc>
        <w:tc>
          <w:tcPr>
            <w:tcW w:w="1754" w:type="dxa"/>
          </w:tcPr>
          <w:p>
            <w:pPr/>
            <w:r>
              <w:t xml:space="preserve">7 a 14 días de aviso sin objeciones</w:t>
            </w:r>
          </w:p>
        </w:tc>
        <w:tc>
          <w:tcPr>
            <w:tcW w:w="1872" w:type="dxa"/>
          </w:tcPr>
          <w:p>
            <w:pPr/>
            <w:r>
              <w:t xml:space="preserve">Quitar etiqueta (</w:t>
            </w:r>
            <w:r>
              <w:rPr>
                <w:rStyle w:val="CodeChar"/>
              </w:rPr>
              <w:t xml:space="preserve">03b-Revertir.ps1 -QuitarEtiqueta</w:t>
            </w:r>
            <w:r>
              <w:t xml:space="preserve">)</w:t>
            </w:r>
          </w:p>
        </w:tc>
      </w:tr>
      <w:tr>
        <w:tc>
          <w:tcPr>
            <w:tcW w:w="1701" w:type="dxa"/>
          </w:tcPr>
          <w:p>
            <w:pPr/>
            <w:r>
              <w:t xml:space="preserve">3. Deshabilitar</w:t>
            </w:r>
          </w:p>
        </w:tc>
        <w:tc>
          <w:tcPr>
            <w:tcW w:w="2161" w:type="dxa"/>
          </w:tcPr>
          <w:p>
            <w:pPr/>
            <w:r>
              <w:t xml:space="preserve">Cortar el acceso sin borrar datos</w:t>
            </w:r>
          </w:p>
        </w:tc>
        <w:tc>
          <w:tcPr>
            <w:tcW w:w="1872" w:type="dxa"/>
          </w:tcPr>
          <w:p>
            <w:pPr/>
            <w:r>
              <w:rPr>
                <w:rStyle w:val="CodeChar"/>
              </w:rPr>
              <w:t xml:space="preserve">03-Deshabilitar.ps1</w:t>
            </w:r>
          </w:p>
        </w:tc>
        <w:tc>
          <w:tcPr>
            <w:tcW w:w="1754" w:type="dxa"/>
          </w:tcPr>
          <w:p>
            <w:pPr/>
            <w:r>
              <w:t xml:space="preserve">30 días de cuarentena sin reclamos</w:t>
            </w:r>
          </w:p>
        </w:tc>
        <w:tc>
          <w:tcPr>
            <w:tcW w:w="1872" w:type="dxa"/>
          </w:tcPr>
          <w:p>
            <w:pPr/>
            <w:r>
              <w:rPr>
                <w:rStyle w:val="CodeChar"/>
              </w:rPr>
              <w:t xml:space="preserve">03b-Revertir.ps1</w:t>
            </w:r>
          </w:p>
        </w:tc>
      </w:tr>
      <w:tr>
        <w:tc>
          <w:tcPr>
            <w:tcW w:w="1701" w:type="dxa"/>
          </w:tcPr>
          <w:p>
            <w:pPr/>
            <w:r>
              <w:t xml:space="preserve">4. Eliminar</w:t>
            </w:r>
          </w:p>
        </w:tc>
        <w:tc>
          <w:tcPr>
            <w:tcW w:w="2161" w:type="dxa"/>
          </w:tcPr>
          <w:p>
            <w:pPr/>
            <w:r>
              <w:t xml:space="preserve">Borrar o convertir a compartido</w:t>
            </w:r>
          </w:p>
        </w:tc>
        <w:tc>
          <w:tcPr>
            <w:tcW w:w="1872" w:type="dxa"/>
          </w:tcPr>
          <w:p>
            <w:pPr/>
            <w:r>
              <w:rPr>
                <w:rStyle w:val="CodeChar"/>
              </w:rPr>
              <w:t xml:space="preserve">04-Eliminar.ps1</w:t>
            </w:r>
          </w:p>
        </w:tc>
        <w:tc>
          <w:tcPr>
            <w:tcW w:w="1754" w:type="dxa"/>
          </w:tcPr>
          <w:p>
            <w:pPr/>
            <w:r>
              <w:t xml:space="preserve">Fin del proyecto</w:t>
            </w:r>
          </w:p>
        </w:tc>
        <w:tc>
          <w:tcPr>
            <w:tcW w:w="1872" w:type="dxa"/>
          </w:tcPr>
          <w:p>
            <w:pPr/>
            <w:r>
              <w:rPr>
                <w:rStyle w:val="CodeChar"/>
              </w:rPr>
              <w:t xml:space="preserve">04b-Restaurar.ps1</w:t>
            </w:r>
            <w:r>
              <w:t xml:space="preserve"> (30 días, solo usuarios y grupos M365)</w:t>
            </w:r>
          </w:p>
        </w:tc>
      </w:tr>
      <w:tr>
        <w:tc>
          <w:tcPr>
            <w:tcW w:w="1701" w:type="dxa"/>
          </w:tcPr>
          <w:p>
            <w:pPr/>
            <w:r>
              <w:t xml:space="preserve">Ajustes</w:t>
            </w:r>
          </w:p>
        </w:tc>
        <w:tc>
          <w:tcPr>
            <w:tcW w:w="2161" w:type="dxa"/>
          </w:tcPr>
          <w:p>
            <w:pPr/>
            <w:r>
              <w:t xml:space="preserve">Corregir lo que se conserva: UPN, licencias, buzones compartidos</w:t>
            </w:r>
          </w:p>
        </w:tc>
        <w:tc>
          <w:tcPr>
            <w:tcW w:w="1872" w:type="dxa"/>
          </w:tcPr>
          <w:p>
            <w:pPr/>
            <w:r>
              <w:rPr>
                <w:rStyle w:val="CodeChar"/>
              </w:rPr>
              <w:t xml:space="preserve">05-Ajustes.ps1</w:t>
            </w:r>
          </w:p>
        </w:tc>
        <w:tc>
          <w:tcPr>
            <w:tcW w:w="1754" w:type="dxa"/>
          </w:tcPr>
          <w:p>
            <w:pPr/>
            <w:r>
              <w:t xml:space="preserve">En paralelo a las fases 2 y 3</w:t>
            </w:r>
          </w:p>
        </w:tc>
        <w:tc>
          <w:tcPr>
            <w:tcW w:w="1872" w:type="dxa"/>
          </w:tcPr>
          <w:p>
            <w:pPr/>
            <w:r>
              <w:t xml:space="preserve">Respaldo con el UPN anterior</w:t>
            </w:r>
          </w:p>
        </w:tc>
      </w:tr>
    </w:tbl>
    <w:p>
      <w:pPr/>
      <w:r>
        <w:t xml:space="preserve">La ruta completa de una baja es de unos 40 a 45 días: aviso de 7 a 14 días, más 30 de cuarentena.</w:t>
      </w:r>
    </w:p>
    <w:p>
      <w:pPr>
        <w:pStyle w:val="Heading2"/>
      </w:pPr>
      <w:r>
        <w:t xml:space="preserve">Fase 0 – Prerrequisitos</w:t>
      </w:r>
    </w:p>
    <w:p>
      <w:pPr/>
      <w:r>
        <w:t xml:space="preserve">Esta fase confirma que la nube es la única fuente de identidad. Ningún script de baja corre si la marca de sincronización sigue encendida: todos validan esa condición al iniciar.</w:t>
      </w:r>
    </w:p>
    <w:p>
      <w:pPr>
        <w:pStyle w:val="Code"/>
      </w:pPr>
      <w:bookmarkStart w:id="1" w:name="bongo_lang_powershell_1"/>
      <w:bookmarkEnd w:id="1"/>
      <w:r>
        <w:t xml:space="preserve">.\00-Prerrequisitos.ps1 -InstalarModulos          # diagnóstico</w:t>
        <w:br/>
        <w:t xml:space="preserve">.\00-Prerrequisitos.ps1 -DesactivarSincronizacion -Ejecutar   # solo si la marca sigue en True</w:t>
      </w:r>
    </w:p>
    <w:p>
      <w:pPr/>
      <w:r>
        <w:t xml:space="preserve">El script revisa:</w:t>
      </w:r>
    </w:p>
    <w:p>
      <w:pPr>
        <w:pStyle w:val="ListParagraph"/>
        <w:numPr>
          <w:ilvl w:val="0"/>
          <w:numId w:val="2"/>
        </w:numPr>
      </w:pPr>
      <w:r>
        <w:rPr>
          <w:rStyle w:val="CodeChar"/>
        </w:rPr>
        <w:t xml:space="preserve">OnPremisesSyncEnabled</w:t>
      </w:r>
      <w:r>
        <w:t xml:space="preserve"> del tenant y la fecha de la última sincronización. Si sigue en </w:t>
      </w:r>
      <w:r>
        <w:rPr>
          <w:rStyle w:val="CodeChar"/>
        </w:rPr>
        <w:t xml:space="preserve">True</w:t>
      </w:r>
      <w:r>
        <w:t xml:space="preserve">, la apaga con </w:t>
      </w:r>
      <w:r>
        <w:rPr>
          <w:rStyle w:val="CodeChar"/>
        </w:rPr>
        <w:t xml:space="preserve">-DesactivarSincronizacion -Ejecutar</w:t>
      </w:r>
      <w:r>
        <w:t xml:space="preserve">; el cambio puede tardar hasta 72 horas.</w:t>
      </w:r>
    </w:p>
    <w:p>
      <w:pPr>
        <w:pStyle w:val="ListParagraph"/>
        <w:numPr>
          <w:ilvl w:val="0"/>
          <w:numId w:val="2"/>
        </w:numPr>
      </w:pPr>
      <w:r>
        <w:t xml:space="preserve">Cuántos usuarios, grupos y dispositivos siguen marcados como sincronizados (deben ser 0).</w:t>
      </w:r>
    </w:p>
    <w:p>
      <w:pPr>
        <w:pStyle w:val="ListParagraph"/>
        <w:numPr>
          <w:ilvl w:val="0"/>
          <w:numId w:val="2"/>
        </w:numPr>
      </w:pPr>
      <w:r>
        <w:t xml:space="preserve">La cuenta </w:t>
      </w:r>
      <w:r>
        <w:rPr>
          <w:rStyle w:val="CodeChar"/>
        </w:rPr>
        <w:t xml:space="preserve">Sync_*</w:t>
      </w:r>
      <w:r>
        <w:t xml:space="preserve"> y el rol Directory Synchronization Accounts, que se dan de baja en la Fase 1 (motivo U07).</w:t>
      </w:r>
    </w:p>
    <w:p>
      <w:pPr>
        <w:pStyle w:val="ListParagraph"/>
        <w:numPr>
          <w:ilvl w:val="0"/>
          <w:numId w:val="2"/>
        </w:numPr>
      </w:pPr>
      <w:r>
        <w:t xml:space="preserve">Los administradores globales y si existen al menos 2.</w:t>
      </w:r>
    </w:p>
    <w:p>
      <w:pPr>
        <w:pStyle w:val="ListParagraph"/>
        <w:numPr>
          <w:ilvl w:val="0"/>
          <w:numId w:val="2"/>
        </w:numPr>
      </w:pPr>
      <w:r>
        <w:t xml:space="preserve">Lo que hay hoy en la papelera, para no confundirlo con lo que se borre después.</w:t>
      </w:r>
    </w:p>
    <w:p>
      <w:pPr/>
      <w:r>
        <w:rPr>
          <w:b/>
        </w:rPr>
        <w:t xml:space="preserve">Lista de verificación</w:t>
      </w:r>
    </w:p>
    <w:p>
      <w:pPr>
        <w:pStyle w:val="ListParagraph"/>
        <w:numPr>
          <w:ilvl w:val="0"/>
          <w:numId w:val="3"/>
        </w:numPr>
      </w:pPr>
      <w:r>
        <w:t xml:space="preserve">☐ Marca de sincronización apagada y 0 objetos sincronizados</w:t>
      </w:r>
    </w:p>
    <w:p>
      <w:pPr>
        <w:pStyle w:val="ListParagraph"/>
        <w:numPr>
          <w:ilvl w:val="0"/>
          <w:numId w:val="3"/>
        </w:numPr>
      </w:pPr>
      <w:r>
        <w:t xml:space="preserve">☐ 2 cuentas de emergencia solo nube con Global Administrator, registradas en </w:t>
      </w:r>
      <w:r>
        <w:rPr>
          <w:rStyle w:val="CodeChar"/>
        </w:rPr>
        <w:t xml:space="preserve">exclusiones.csv</w:t>
      </w:r>
      <w:r>
        <w:t xml:space="preserve"> y fuera del acceso condicional</w:t>
      </w:r>
    </w:p>
    <w:p>
      <w:pPr>
        <w:pStyle w:val="ListParagraph"/>
        <w:numPr>
          <w:ilvl w:val="0"/>
          <w:numId w:val="3"/>
        </w:numPr>
      </w:pPr>
      <w:r>
        <w:t xml:space="preserve">☐ Respaldo de Veeam Data Cloud vigente para buzones y OneDrive</w:t>
      </w:r>
    </w:p>
    <w:p>
      <w:pPr>
        <w:pStyle w:val="ListParagraph"/>
        <w:numPr>
          <w:ilvl w:val="0"/>
          <w:numId w:val="3"/>
        </w:numPr>
      </w:pPr>
      <w:r>
        <w:t xml:space="preserve">☐ Retención de OneDrive de usuarios eliminados revisada en el centro de SharePoint (30 días por defecto)</w:t>
      </w:r>
    </w:p>
    <w:p>
      <w:pPr>
        <w:pStyle w:val="ListParagraph"/>
        <w:numPr>
          <w:ilvl w:val="0"/>
          <w:numId w:val="3"/>
        </w:numPr>
      </w:pPr>
      <w:r>
        <w:t xml:space="preserve">☐ PowerShell 7 y módulos Microsoft.Graph, Microsoft.Graph.Beta.Identity.DirectoryManagement y ExchangeOnlineManagement</w:t>
      </w:r>
    </w:p>
    <w:p>
      <w:pPr>
        <w:pStyle w:val="ListParagraph"/>
        <w:numPr>
          <w:ilvl w:val="0"/>
          <w:numId w:val="3"/>
        </w:numPr>
      </w:pPr>
      <w:r>
        <w:t xml:space="preserve">☐ Operador con los roles del Anexo</w:t>
      </w:r>
    </w:p>
    <w:p>
      <w:pPr>
        <w:pStyle w:val="ListParagraph"/>
        <w:numPr>
          <w:ilvl w:val="0"/>
          <w:numId w:val="3"/>
        </w:numPr>
      </w:pPr>
      <w:r>
        <w:t xml:space="preserve">☐ Aprobación formal del cliente para iniciar</w:t>
      </w:r>
    </w:p>
    <w:p>
      <w:pPr>
        <w:pStyle w:val="Heading2"/>
      </w:pPr>
      <w:r>
        <w:t xml:space="preserve">Fase 1 – Identificación</w:t>
      </w:r>
    </w:p>
    <w:p>
      <w:pPr/>
      <w:r>
        <w:t xml:space="preserve">El script es de solo lectura. Genera tres CSV con todos los objetos del tenant, cada uno con sus motivos y una acción propuesta. El cliente revisa los archivos y marca </w:t>
      </w:r>
      <w:r>
        <w:rPr>
          <w:rStyle w:val="CodeChar"/>
        </w:rPr>
        <w:t xml:space="preserve">Aprobado = SI</w:t>
      </w:r>
      <w:r>
        <w:t xml:space="preserve"> en lo que autoriza; las fases siguientes solo actúan sobre esas filas.</w:t>
      </w:r>
    </w:p>
    <w:p>
      <w:pPr>
        <w:pStyle w:val="Code"/>
      </w:pPr>
      <w:bookmarkStart w:id="2" w:name="bongo_lang_powershell_2"/>
      <w:bookmarkEnd w:id="2"/>
      <w:r>
        <w:t xml:space="preserve">.\01-Identificacion.ps1 -DiasInactividad 90 -ArchivoExclusiones .\exclusiones.csv</w:t>
      </w:r>
    </w:p>
    <w:p>
      <w:pPr/>
      <w:r>
        <w:rPr>
          <w:b/>
        </w:rPr>
        <w:t xml:space="preserve">Archivos de salida</w:t>
      </w:r>
      <w:r>
        <w:t xml:space="preserve"> (carpeta </w:t>
      </w:r>
      <w:r>
        <w:rPr>
          <w:rStyle w:val="CodeChar"/>
        </w:rPr>
        <w:t xml:space="preserve">salida</w:t>
      </w:r>
      <w:r>
        <w:t xml:space="preserve">): </w:t>
      </w:r>
      <w:r>
        <w:rPr>
          <w:rStyle w:val="CodeChar"/>
        </w:rPr>
        <w:t xml:space="preserve">Candidatos_Usuarios_&lt;fecha&gt;.csv</w:t>
      </w:r>
      <w:r>
        <w:t xml:space="preserve">, </w:t>
      </w:r>
      <w:r>
        <w:rPr>
          <w:rStyle w:val="CodeChar"/>
        </w:rPr>
        <w:t xml:space="preserve">Candidatos_Grupos_&lt;fecha&gt;.csv</w:t>
      </w:r>
      <w:r>
        <w:t xml:space="preserve"> y </w:t>
      </w:r>
      <w:r>
        <w:rPr>
          <w:rStyle w:val="CodeChar"/>
        </w:rPr>
        <w:t xml:space="preserve">Candidatos_Dispositivos_&lt;fecha&gt;.csv</w:t>
      </w:r>
      <w:r>
        <w:t xml:space="preserve">. Columnas que llena el cliente: </w:t>
      </w:r>
      <w:r>
        <w:rPr>
          <w:rStyle w:val="CodeChar"/>
        </w:rPr>
        <w:t xml:space="preserve">Aprobado</w:t>
      </w:r>
      <w:r>
        <w:t xml:space="preserve"> (SI/NO), </w:t>
      </w:r>
      <w:r>
        <w:rPr>
          <w:rStyle w:val="CodeChar"/>
        </w:rPr>
        <w:t xml:space="preserve">ConservarBuzon</w:t>
      </w:r>
      <w:r>
        <w:t xml:space="preserve"> (SI cuando el buzón debe quedar como compartido) y </w:t>
      </w:r>
      <w:r>
        <w:rPr>
          <w:rStyle w:val="CodeChar"/>
        </w:rPr>
        <w:t xml:space="preserve">Comentario</w:t>
      </w:r>
      <w:r>
        <w:t xml:space="preserve">. En usuarios, </w:t>
      </w:r>
      <w:r>
        <w:rPr>
          <w:rStyle w:val="CodeChar"/>
        </w:rPr>
        <w:t xml:space="preserve">NuevoUPN</w:t>
      </w:r>
      <w:r>
        <w:t xml:space="preserve"> trae la propuesta de UPN.</w:t>
      </w:r>
    </w:p>
    <w:p>
      <w:pPr/>
      <w:r>
        <w:rPr>
          <w:b/>
        </w:rPr>
        <w:t xml:space="preserve">Criterios y códigos de motivo</w:t>
      </w:r>
    </w:p>
    <w:tbl>
      <w:tblPr>
        <w:tblStyle w:val="TableGrid"/>
        <w:tblW w:w="0" w:type="auto"/>
        <w:tblLayout w:type="fixed"/>
        <w:tblLook w:val="04A0" w:firstRow="1" w:lastRow="0" w:firstColumn="0" w:lastColumn="0" w:noHBand="0" w:noVBand="1"/>
      </w:tblPr>
      <w:tblGrid>
        <w:gridCol w:w="961"/>
        <w:gridCol w:w="1470"/>
        <w:gridCol w:w="4920"/>
        <w:gridCol w:w="2009"/>
      </w:tblGrid>
      <w:tr>
        <w:trPr>
          <w:tblHeader/>
        </w:trPr>
        <w:tc>
          <w:tcPr>
            <w:tcW w:w="961" w:type="dxa"/>
            <w:shd w:val="clear" w:color="auto" w:fill="F2F2F2"/>
          </w:tcPr>
          <w:p>
            <w:pPr/>
            <w:r>
              <w:t xml:space="preserve">Código</w:t>
            </w:r>
          </w:p>
        </w:tc>
        <w:tc>
          <w:tcPr>
            <w:tcW w:w="1470" w:type="dxa"/>
            <w:shd w:val="clear" w:color="auto" w:fill="F2F2F2"/>
          </w:tcPr>
          <w:p>
            <w:pPr/>
            <w:r>
              <w:t xml:space="preserve">Objeto</w:t>
            </w:r>
          </w:p>
        </w:tc>
        <w:tc>
          <w:tcPr>
            <w:tcW w:w="4920" w:type="dxa"/>
            <w:shd w:val="clear" w:color="auto" w:fill="F2F2F2"/>
          </w:tcPr>
          <w:p>
            <w:pPr/>
            <w:r>
              <w:t xml:space="preserve">Criterio</w:t>
            </w:r>
          </w:p>
        </w:tc>
        <w:tc>
          <w:tcPr>
            <w:tcW w:w="2009" w:type="dxa"/>
            <w:shd w:val="clear" w:color="auto" w:fill="F2F2F2"/>
          </w:tcPr>
          <w:p>
            <w:pPr/>
            <w:r>
              <w:t xml:space="preserve">Acción propuesta</w:t>
            </w:r>
          </w:p>
        </w:tc>
      </w:tr>
      <w:tr>
        <w:tc>
          <w:tcPr>
            <w:tcW w:w="961" w:type="dxa"/>
          </w:tcPr>
          <w:p>
            <w:pPr/>
            <w:r>
              <w:t xml:space="preserve">U01</w:t>
            </w:r>
          </w:p>
        </w:tc>
        <w:tc>
          <w:tcPr>
            <w:tcW w:w="1470" w:type="dxa"/>
          </w:tcPr>
          <w:p>
            <w:pPr/>
            <w:r>
              <w:t xml:space="preserve">Usuario</w:t>
            </w:r>
          </w:p>
        </w:tc>
        <w:tc>
          <w:tcPr>
            <w:tcW w:w="4920" w:type="dxa"/>
          </w:tcPr>
          <w:p>
            <w:pPr/>
            <w:r>
              <w:t xml:space="preserve">Cuenta deshabilitada (no compartida)</w:t>
            </w:r>
          </w:p>
        </w:tc>
        <w:tc>
          <w:tcPr>
            <w:tcW w:w="2009" w:type="dxa"/>
          </w:tcPr>
          <w:p>
            <w:pPr/>
            <w:r>
              <w:t xml:space="preserve">Baja</w:t>
            </w:r>
          </w:p>
        </w:tc>
      </w:tr>
      <w:tr>
        <w:tc>
          <w:tcPr>
            <w:tcW w:w="961" w:type="dxa"/>
          </w:tcPr>
          <w:p>
            <w:pPr/>
            <w:r>
              <w:t xml:space="preserve">U02</w:t>
            </w:r>
          </w:p>
        </w:tc>
        <w:tc>
          <w:tcPr>
            <w:tcW w:w="1470" w:type="dxa"/>
          </w:tcPr>
          <w:p>
            <w:pPr/>
            <w:r>
              <w:t xml:space="preserve">Usuario</w:t>
            </w:r>
          </w:p>
        </w:tc>
        <w:tc>
          <w:tcPr>
            <w:tcW w:w="4920" w:type="dxa"/>
          </w:tcPr>
          <w:p>
            <w:pPr/>
            <w:r>
              <w:t xml:space="preserve">Sin inicio de sesión interactivo ni no interactivo en 90 días, o nunca y creada hace más de 90</w:t>
            </w:r>
          </w:p>
        </w:tc>
        <w:tc>
          <w:tcPr>
            <w:tcW w:w="2009" w:type="dxa"/>
          </w:tcPr>
          <w:p>
            <w:pPr/>
            <w:r>
              <w:t xml:space="preserve">Baja</w:t>
            </w:r>
          </w:p>
        </w:tc>
      </w:tr>
      <w:tr>
        <w:tc>
          <w:tcPr>
            <w:tcW w:w="961" w:type="dxa"/>
          </w:tcPr>
          <w:p>
            <w:pPr/>
            <w:r>
              <w:t xml:space="preserve">U03</w:t>
            </w:r>
          </w:p>
        </w:tc>
        <w:tc>
          <w:tcPr>
            <w:tcW w:w="1470" w:type="dxa"/>
          </w:tcPr>
          <w:p>
            <w:pPr/>
            <w:r>
              <w:t xml:space="preserve">Usuario</w:t>
            </w:r>
          </w:p>
        </w:tc>
        <w:tc>
          <w:tcPr>
            <w:tcW w:w="4920" w:type="dxa"/>
          </w:tcPr>
          <w:p>
            <w:pPr/>
            <w:r>
              <w:t xml:space="preserve">Habilitado, sin licencia y sin buzón</w:t>
            </w:r>
          </w:p>
        </w:tc>
        <w:tc>
          <w:tcPr>
            <w:tcW w:w="2009" w:type="dxa"/>
          </w:tcPr>
          <w:p>
            <w:pPr/>
            <w:r>
              <w:t xml:space="preserve">Revisar (Baja si también tiene U02)</w:t>
            </w:r>
          </w:p>
        </w:tc>
      </w:tr>
      <w:tr>
        <w:tc>
          <w:tcPr>
            <w:tcW w:w="961" w:type="dxa"/>
          </w:tcPr>
          <w:p>
            <w:pPr/>
            <w:r>
              <w:t xml:space="preserve">U04</w:t>
            </w:r>
          </w:p>
        </w:tc>
        <w:tc>
          <w:tcPr>
            <w:tcW w:w="1470" w:type="dxa"/>
          </w:tcPr>
          <w:p>
            <w:pPr/>
            <w:r>
              <w:t xml:space="preserve">Usuario</w:t>
            </w:r>
          </w:p>
        </w:tc>
        <w:tc>
          <w:tcPr>
            <w:tcW w:w="4920" w:type="dxa"/>
          </w:tcPr>
          <w:p>
            <w:pPr/>
            <w:r>
              <w:t xml:space="preserve">Buzón compartido o sala con inicio de sesión habilitado</w:t>
            </w:r>
          </w:p>
        </w:tc>
        <w:tc>
          <w:tcPr>
            <w:tcW w:w="2009" w:type="dxa"/>
          </w:tcPr>
          <w:p>
            <w:pPr/>
            <w:r>
              <w:t xml:space="preserve">BloquearInicio</w:t>
            </w:r>
          </w:p>
        </w:tc>
      </w:tr>
      <w:tr>
        <w:tc>
          <w:tcPr>
            <w:tcW w:w="961" w:type="dxa"/>
          </w:tcPr>
          <w:p>
            <w:pPr/>
            <w:r>
              <w:t xml:space="preserve">U05</w:t>
            </w:r>
          </w:p>
        </w:tc>
        <w:tc>
          <w:tcPr>
            <w:tcW w:w="1470" w:type="dxa"/>
          </w:tcPr>
          <w:p>
            <w:pPr/>
            <w:r>
              <w:t xml:space="preserve">Usuario</w:t>
            </w:r>
          </w:p>
        </w:tc>
        <w:tc>
          <w:tcPr>
            <w:tcW w:w="4920" w:type="dxa"/>
          </w:tcPr>
          <w:p>
            <w:pPr/>
            <w:r>
              <w:t xml:space="preserve">Buzón compartido con licencia</w:t>
            </w:r>
          </w:p>
        </w:tc>
        <w:tc>
          <w:tcPr>
            <w:tcW w:w="2009" w:type="dxa"/>
          </w:tcPr>
          <w:p>
            <w:pPr/>
            <w:r>
              <w:t xml:space="preserve">QuitarLicencia</w:t>
            </w:r>
          </w:p>
        </w:tc>
      </w:tr>
      <w:tr>
        <w:tc>
          <w:tcPr>
            <w:tcW w:w="961" w:type="dxa"/>
          </w:tcPr>
          <w:p>
            <w:pPr/>
            <w:r>
              <w:t xml:space="preserve">U06</w:t>
            </w:r>
          </w:p>
        </w:tc>
        <w:tc>
          <w:tcPr>
            <w:tcW w:w="1470" w:type="dxa"/>
          </w:tcPr>
          <w:p>
            <w:pPr/>
            <w:r>
              <w:t xml:space="preserve">Usuario</w:t>
            </w:r>
          </w:p>
        </w:tc>
        <w:tc>
          <w:tcPr>
            <w:tcW w:w="4920" w:type="dxa"/>
          </w:tcPr>
          <w:p>
            <w:pPr/>
            <w:r>
              <w:t xml:space="preserve">UPN </w:t>
            </w:r>
            <w:r>
              <w:rPr>
                <w:rStyle w:val="CodeChar"/>
              </w:rPr>
              <w:t xml:space="preserve">@onmicrosoft.com</w:t>
            </w:r>
            <w:r>
              <w:t xml:space="preserve"> con correo en dominio propio</w:t>
            </w:r>
          </w:p>
        </w:tc>
        <w:tc>
          <w:tcPr>
            <w:tcW w:w="2009" w:type="dxa"/>
          </w:tcPr>
          <w:p>
            <w:pPr/>
            <w:r>
              <w:t xml:space="preserve">CorregirUPN</w:t>
            </w:r>
          </w:p>
        </w:tc>
      </w:tr>
      <w:tr>
        <w:tc>
          <w:tcPr>
            <w:tcW w:w="961" w:type="dxa"/>
          </w:tcPr>
          <w:p>
            <w:pPr/>
            <w:r>
              <w:t xml:space="preserve">U07</w:t>
            </w:r>
          </w:p>
        </w:tc>
        <w:tc>
          <w:tcPr>
            <w:tcW w:w="1470" w:type="dxa"/>
          </w:tcPr>
          <w:p>
            <w:pPr/>
            <w:r>
              <w:t xml:space="preserve">Usuario</w:t>
            </w:r>
          </w:p>
        </w:tc>
        <w:tc>
          <w:tcPr>
            <w:tcW w:w="4920" w:type="dxa"/>
          </w:tcPr>
          <w:p>
            <w:pPr/>
            <w:r>
              <w:t xml:space="preserve">Cuenta </w:t>
            </w:r>
            <w:r>
              <w:rPr>
                <w:rStyle w:val="CodeChar"/>
              </w:rPr>
              <w:t xml:space="preserve">Sync_*</w:t>
            </w:r>
            <w:r>
              <w:t xml:space="preserve"> de Entra Connect</w:t>
            </w:r>
          </w:p>
        </w:tc>
        <w:tc>
          <w:tcPr>
            <w:tcW w:w="2009" w:type="dxa"/>
          </w:tcPr>
          <w:p>
            <w:pPr/>
            <w:r>
              <w:t xml:space="preserve">Baja</w:t>
            </w:r>
          </w:p>
        </w:tc>
      </w:tr>
      <w:tr>
        <w:tc>
          <w:tcPr>
            <w:tcW w:w="961" w:type="dxa"/>
          </w:tcPr>
          <w:p>
            <w:pPr/>
            <w:r>
              <w:t xml:space="preserve">U08</w:t>
            </w:r>
          </w:p>
        </w:tc>
        <w:tc>
          <w:tcPr>
            <w:tcW w:w="1470" w:type="dxa"/>
          </w:tcPr>
          <w:p>
            <w:pPr/>
            <w:r>
              <w:t xml:space="preserve">Usuario</w:t>
            </w:r>
          </w:p>
        </w:tc>
        <w:tc>
          <w:tcPr>
            <w:tcW w:w="4920" w:type="dxa"/>
          </w:tcPr>
          <w:p>
            <w:pPr/>
            <w:r>
              <w:t xml:space="preserve">Reenvío a un correo externo</w:t>
            </w:r>
          </w:p>
        </w:tc>
        <w:tc>
          <w:tcPr>
            <w:tcW w:w="2009" w:type="dxa"/>
          </w:tcPr>
          <w:p>
            <w:pPr/>
            <w:r>
              <w:t xml:space="preserve">Informativo</w:t>
            </w:r>
          </w:p>
        </w:tc>
      </w:tr>
      <w:tr>
        <w:tc>
          <w:tcPr>
            <w:tcW w:w="961" w:type="dxa"/>
          </w:tcPr>
          <w:p>
            <w:pPr/>
            <w:r>
              <w:t xml:space="preserve">I01</w:t>
            </w:r>
          </w:p>
        </w:tc>
        <w:tc>
          <w:tcPr>
            <w:tcW w:w="1470" w:type="dxa"/>
          </w:tcPr>
          <w:p>
            <w:pPr/>
            <w:r>
              <w:t xml:space="preserve">Invitado</w:t>
            </w:r>
          </w:p>
        </w:tc>
        <w:tc>
          <w:tcPr>
            <w:tcW w:w="4920" w:type="dxa"/>
          </w:tcPr>
          <w:p>
            <w:pPr/>
            <w:r>
              <w:t xml:space="preserve">Invitación pendiente hace más de 30 días</w:t>
            </w:r>
          </w:p>
        </w:tc>
        <w:tc>
          <w:tcPr>
            <w:tcW w:w="2009" w:type="dxa"/>
          </w:tcPr>
          <w:p>
            <w:pPr/>
            <w:r>
              <w:t xml:space="preserve">Baja</w:t>
            </w:r>
          </w:p>
        </w:tc>
      </w:tr>
      <w:tr>
        <w:tc>
          <w:tcPr>
            <w:tcW w:w="961" w:type="dxa"/>
          </w:tcPr>
          <w:p>
            <w:pPr/>
            <w:r>
              <w:t xml:space="preserve">I02</w:t>
            </w:r>
          </w:p>
        </w:tc>
        <w:tc>
          <w:tcPr>
            <w:tcW w:w="1470" w:type="dxa"/>
          </w:tcPr>
          <w:p>
            <w:pPr/>
            <w:r>
              <w:t xml:space="preserve">Invitado</w:t>
            </w:r>
          </w:p>
        </w:tc>
        <w:tc>
          <w:tcPr>
            <w:tcW w:w="4920" w:type="dxa"/>
          </w:tcPr>
          <w:p>
            <w:pPr/>
            <w:r>
              <w:t xml:space="preserve">Sin inicio de sesión en 90 días</w:t>
            </w:r>
          </w:p>
        </w:tc>
        <w:tc>
          <w:tcPr>
            <w:tcW w:w="2009" w:type="dxa"/>
          </w:tcPr>
          <w:p>
            <w:pPr/>
            <w:r>
              <w:t xml:space="preserve">Baja</w:t>
            </w:r>
          </w:p>
        </w:tc>
      </w:tr>
      <w:tr>
        <w:tc>
          <w:tcPr>
            <w:tcW w:w="961" w:type="dxa"/>
          </w:tcPr>
          <w:p>
            <w:pPr/>
            <w:r>
              <w:t xml:space="preserve">GR01</w:t>
            </w:r>
          </w:p>
        </w:tc>
        <w:tc>
          <w:tcPr>
            <w:tcW w:w="1470" w:type="dxa"/>
          </w:tcPr>
          <w:p>
            <w:pPr/>
            <w:r>
              <w:t xml:space="preserve">Grupo</w:t>
            </w:r>
          </w:p>
        </w:tc>
        <w:tc>
          <w:tcPr>
            <w:tcW w:w="4920" w:type="dxa"/>
          </w:tcPr>
          <w:p>
            <w:pPr/>
            <w:r>
              <w:t xml:space="preserve">Sin miembros</w:t>
            </w:r>
          </w:p>
        </w:tc>
        <w:tc>
          <w:tcPr>
            <w:tcW w:w="2009" w:type="dxa"/>
          </w:tcPr>
          <w:p>
            <w:pPr/>
            <w:r>
              <w:t xml:space="preserve">Baja</w:t>
            </w:r>
          </w:p>
        </w:tc>
      </w:tr>
      <w:tr>
        <w:tc>
          <w:tcPr>
            <w:tcW w:w="961" w:type="dxa"/>
          </w:tcPr>
          <w:p>
            <w:pPr/>
            <w:r>
              <w:t xml:space="preserve">GR02</w:t>
            </w:r>
          </w:p>
        </w:tc>
        <w:tc>
          <w:tcPr>
            <w:tcW w:w="1470" w:type="dxa"/>
          </w:tcPr>
          <w:p>
            <w:pPr/>
            <w:r>
              <w:t xml:space="preserve">Grupo</w:t>
            </w:r>
          </w:p>
        </w:tc>
        <w:tc>
          <w:tcPr>
            <w:tcW w:w="4920" w:type="dxa"/>
          </w:tcPr>
          <w:p>
            <w:pPr/>
            <w:r>
              <w:t xml:space="preserve">Heredado de AD</w:t>
            </w:r>
          </w:p>
        </w:tc>
        <w:tc>
          <w:tcPr>
            <w:tcW w:w="2009" w:type="dxa"/>
          </w:tcPr>
          <w:p>
            <w:pPr/>
            <w:r>
              <w:t xml:space="preserve">Revisar</w:t>
            </w:r>
          </w:p>
        </w:tc>
      </w:tr>
      <w:tr>
        <w:tc>
          <w:tcPr>
            <w:tcW w:w="961" w:type="dxa"/>
          </w:tcPr>
          <w:p>
            <w:pPr/>
            <w:r>
              <w:t xml:space="preserve">GR03</w:t>
            </w:r>
          </w:p>
        </w:tc>
        <w:tc>
          <w:tcPr>
            <w:tcW w:w="1470" w:type="dxa"/>
          </w:tcPr>
          <w:p>
            <w:pPr/>
            <w:r>
              <w:t xml:space="preserve">Grupo</w:t>
            </w:r>
          </w:p>
        </w:tc>
        <w:tc>
          <w:tcPr>
            <w:tcW w:w="4920" w:type="dxa"/>
          </w:tcPr>
          <w:p>
            <w:pPr/>
            <w:r>
              <w:t xml:space="preserve">Grupo local de SQL Server (</w:t>
            </w:r>
            <w:r>
              <w:rPr>
                <w:rStyle w:val="CodeChar"/>
              </w:rPr>
              <w:t xml:space="preserve">SQLAccessGroup</w:t>
            </w:r>
            <w:r>
              <w:t xml:space="preserve">, </w:t>
            </w:r>
            <w:r>
              <w:rPr>
                <w:rStyle w:val="CodeChar"/>
              </w:rPr>
              <w:t xml:space="preserve">ReportingGroup</w:t>
            </w:r>
            <w:r>
              <w:t xml:space="preserve">, </w:t>
            </w:r>
            <w:r>
              <w:rPr>
                <w:rStyle w:val="CodeChar"/>
              </w:rPr>
              <w:t xml:space="preserve">PrivUserGroup</w:t>
            </w:r>
            <w:r>
              <w:t xml:space="preserve">, </w:t>
            </w:r>
            <w:r>
              <w:rPr>
                <w:rStyle w:val="CodeChar"/>
              </w:rPr>
              <w:t xml:space="preserve">PrivReportingGroup</w:t>
            </w:r>
            <w:r>
              <w:t xml:space="preserve">)</w:t>
            </w:r>
          </w:p>
        </w:tc>
        <w:tc>
          <w:tcPr>
            <w:tcW w:w="2009" w:type="dxa"/>
          </w:tcPr>
          <w:p>
            <w:pPr/>
            <w:r>
              <w:t xml:space="preserve">Baja</w:t>
            </w:r>
          </w:p>
        </w:tc>
      </w:tr>
      <w:tr>
        <w:tc>
          <w:tcPr>
            <w:tcW w:w="961" w:type="dxa"/>
          </w:tcPr>
          <w:p>
            <w:pPr/>
            <w:r>
              <w:t xml:space="preserve">GR04</w:t>
            </w:r>
          </w:p>
        </w:tc>
        <w:tc>
          <w:tcPr>
            <w:tcW w:w="1470" w:type="dxa"/>
          </w:tcPr>
          <w:p>
            <w:pPr/>
            <w:r>
              <w:t xml:space="preserve">Grupo M365</w:t>
            </w:r>
          </w:p>
        </w:tc>
        <w:tc>
          <w:tcPr>
            <w:tcW w:w="4920" w:type="dxa"/>
          </w:tcPr>
          <w:p>
            <w:pPr/>
            <w:r>
              <w:t xml:space="preserve">Sin propietario</w:t>
            </w:r>
          </w:p>
        </w:tc>
        <w:tc>
          <w:tcPr>
            <w:tcW w:w="2009" w:type="dxa"/>
          </w:tcPr>
          <w:p>
            <w:pPr/>
            <w:r>
              <w:t xml:space="preserve">Revisar</w:t>
            </w:r>
          </w:p>
        </w:tc>
      </w:tr>
      <w:tr>
        <w:tc>
          <w:tcPr>
            <w:tcW w:w="961" w:type="dxa"/>
          </w:tcPr>
          <w:p>
            <w:pPr/>
            <w:r>
              <w:t xml:space="preserve">GR05</w:t>
            </w:r>
          </w:p>
        </w:tc>
        <w:tc>
          <w:tcPr>
            <w:tcW w:w="1470" w:type="dxa"/>
          </w:tcPr>
          <w:p>
            <w:pPr/>
            <w:r>
              <w:t xml:space="preserve">Grupo</w:t>
            </w:r>
          </w:p>
        </w:tc>
        <w:tc>
          <w:tcPr>
            <w:tcW w:w="4920" w:type="dxa"/>
          </w:tcPr>
          <w:p>
            <w:pPr/>
            <w:r>
              <w:t xml:space="preserve">Resto de MigrationWiz</w:t>
            </w:r>
          </w:p>
        </w:tc>
        <w:tc>
          <w:tcPr>
            <w:tcW w:w="2009" w:type="dxa"/>
          </w:tcPr>
          <w:p>
            <w:pPr/>
            <w:r>
              <w:t xml:space="preserve">Baja</w:t>
            </w:r>
          </w:p>
        </w:tc>
      </w:tr>
      <w:tr>
        <w:tc>
          <w:tcPr>
            <w:tcW w:w="961" w:type="dxa"/>
          </w:tcPr>
          <w:p>
            <w:pPr/>
            <w:r>
              <w:t xml:space="preserve">GR06</w:t>
            </w:r>
          </w:p>
        </w:tc>
        <w:tc>
          <w:tcPr>
            <w:tcW w:w="1470" w:type="dxa"/>
          </w:tcPr>
          <w:p>
            <w:pPr/>
            <w:r>
              <w:t xml:space="preserve">Grupo M365</w:t>
            </w:r>
          </w:p>
        </w:tc>
        <w:tc>
          <w:tcPr>
            <w:tcW w:w="4920" w:type="dxa"/>
          </w:tcPr>
          <w:p>
            <w:pPr/>
            <w:r>
              <w:t xml:space="preserve">Sin actividad en 180 días</w:t>
            </w:r>
          </w:p>
        </w:tc>
        <w:tc>
          <w:tcPr>
            <w:tcW w:w="2009" w:type="dxa"/>
          </w:tcPr>
          <w:p>
            <w:pPr/>
            <w:r>
              <w:t xml:space="preserve">Revisar</w:t>
            </w:r>
          </w:p>
        </w:tc>
      </w:tr>
      <w:tr>
        <w:tc>
          <w:tcPr>
            <w:tcW w:w="961" w:type="dxa"/>
          </w:tcPr>
          <w:p>
            <w:pPr/>
            <w:r>
              <w:t xml:space="preserve">GR07</w:t>
            </w:r>
          </w:p>
        </w:tc>
        <w:tc>
          <w:tcPr>
            <w:tcW w:w="1470" w:type="dxa"/>
          </w:tcPr>
          <w:p>
            <w:pPr/>
            <w:r>
              <w:t xml:space="preserve">Grupo</w:t>
            </w:r>
          </w:p>
        </w:tc>
        <w:tc>
          <w:tcPr>
            <w:tcW w:w="4920" w:type="dxa"/>
          </w:tcPr>
          <w:p>
            <w:pPr/>
            <w:r>
              <w:t xml:space="preserve">Asigna licencias</w:t>
            </w:r>
          </w:p>
        </w:tc>
        <w:tc>
          <w:tcPr>
            <w:tcW w:w="2009" w:type="dxa"/>
          </w:tcPr>
          <w:p>
            <w:pPr/>
            <w:r>
              <w:t xml:space="preserve">Conservar siempre</w:t>
            </w:r>
          </w:p>
        </w:tc>
      </w:tr>
      <w:tr>
        <w:tc>
          <w:tcPr>
            <w:tcW w:w="961" w:type="dxa"/>
          </w:tcPr>
          <w:p>
            <w:pPr/>
            <w:r>
              <w:t xml:space="preserve">D01</w:t>
            </w:r>
          </w:p>
        </w:tc>
        <w:tc>
          <w:tcPr>
            <w:tcW w:w="1470" w:type="dxa"/>
          </w:tcPr>
          <w:p>
            <w:pPr/>
            <w:r>
              <w:t xml:space="preserve">Dispositivo</w:t>
            </w:r>
          </w:p>
        </w:tc>
        <w:tc>
          <w:tcPr>
            <w:tcW w:w="4920" w:type="dxa"/>
          </w:tcPr>
          <w:p>
            <w:pPr/>
            <w:r>
              <w:t xml:space="preserve">Sin actividad en 90 días</w:t>
            </w:r>
          </w:p>
        </w:tc>
        <w:tc>
          <w:tcPr>
            <w:tcW w:w="2009" w:type="dxa"/>
          </w:tcPr>
          <w:p>
            <w:pPr/>
            <w:r>
              <w:t xml:space="preserve">Baja</w:t>
            </w:r>
          </w:p>
        </w:tc>
      </w:tr>
      <w:tr>
        <w:tc>
          <w:tcPr>
            <w:tcW w:w="961" w:type="dxa"/>
          </w:tcPr>
          <w:p>
            <w:pPr/>
            <w:r>
              <w:t xml:space="preserve">D02</w:t>
            </w:r>
          </w:p>
        </w:tc>
        <w:tc>
          <w:tcPr>
            <w:tcW w:w="1470" w:type="dxa"/>
          </w:tcPr>
          <w:p>
            <w:pPr/>
            <w:r>
              <w:t xml:space="preserve">Dispositivo</w:t>
            </w:r>
          </w:p>
        </w:tc>
        <w:tc>
          <w:tcPr>
            <w:tcW w:w="4920" w:type="dxa"/>
          </w:tcPr>
          <w:p>
            <w:pPr/>
            <w:r>
              <w:t xml:space="preserve">Unión híbrida (</w:t>
            </w:r>
            <w:r>
              <w:rPr>
                <w:rStyle w:val="CodeChar"/>
              </w:rPr>
              <w:t xml:space="preserve">ServerAd</w:t>
            </w:r>
            <w:r>
              <w:t xml:space="preserve">) sin AD</w:t>
            </w:r>
          </w:p>
        </w:tc>
        <w:tc>
          <w:tcPr>
            <w:tcW w:w="2009" w:type="dxa"/>
          </w:tcPr>
          <w:p>
            <w:pPr/>
            <w:r>
              <w:t xml:space="preserve">Revisar (reunir a Entra)</w:t>
            </w:r>
          </w:p>
        </w:tc>
      </w:tr>
      <w:tr>
        <w:tc>
          <w:tcPr>
            <w:tcW w:w="961" w:type="dxa"/>
          </w:tcPr>
          <w:p>
            <w:pPr/>
            <w:r>
              <w:t xml:space="preserve">D03</w:t>
            </w:r>
          </w:p>
        </w:tc>
        <w:tc>
          <w:tcPr>
            <w:tcW w:w="1470" w:type="dxa"/>
          </w:tcPr>
          <w:p>
            <w:pPr/>
            <w:r>
              <w:t xml:space="preserve">Dispositivo</w:t>
            </w:r>
          </w:p>
        </w:tc>
        <w:tc>
          <w:tcPr>
            <w:tcW w:w="4920" w:type="dxa"/>
          </w:tcPr>
          <w:p>
            <w:pPr/>
            <w:r>
              <w:t xml:space="preserve">Registrado en Autopilot</w:t>
            </w:r>
          </w:p>
        </w:tc>
        <w:tc>
          <w:tcPr>
            <w:tcW w:w="2009" w:type="dxa"/>
          </w:tcPr>
          <w:p>
            <w:pPr/>
            <w:r>
              <w:t xml:space="preserve">Revisar; nunca se borra</w:t>
            </w:r>
          </w:p>
        </w:tc>
      </w:tr>
      <w:tr>
        <w:tc>
          <w:tcPr>
            <w:tcW w:w="961" w:type="dxa"/>
          </w:tcPr>
          <w:p>
            <w:pPr/>
            <w:r>
              <w:t xml:space="preserve">X00</w:t>
            </w:r>
          </w:p>
        </w:tc>
        <w:tc>
          <w:tcPr>
            <w:tcW w:w="1470" w:type="dxa"/>
          </w:tcPr>
          <w:p>
            <w:pPr/>
            <w:r>
              <w:t xml:space="preserve">Cualquiera</w:t>
            </w:r>
          </w:p>
        </w:tc>
        <w:tc>
          <w:tcPr>
            <w:tcW w:w="4920" w:type="dxa"/>
          </w:tcPr>
          <w:p>
            <w:pPr/>
            <w:r>
              <w:t xml:space="preserve">Administrador o en lista de exclusión</w:t>
            </w:r>
          </w:p>
        </w:tc>
        <w:tc>
          <w:tcPr>
            <w:tcW w:w="2009" w:type="dxa"/>
          </w:tcPr>
          <w:p>
            <w:pPr/>
            <w:r>
              <w:t xml:space="preserve">Conservar</w:t>
            </w:r>
          </w:p>
        </w:tc>
      </w:tr>
    </w:tbl>
    <w:p>
      <w:pPr/>
      <w:r>
        <w:rPr>
          <w:b/>
        </w:rPr>
        <w:t xml:space="preserve">Reglas de revisión</w:t>
      </w:r>
    </w:p>
    <w:p>
      <w:pPr>
        <w:pStyle w:val="ListParagraph"/>
        <w:numPr>
          <w:ilvl w:val="0"/>
          <w:numId w:val="4"/>
        </w:numPr>
      </w:pPr>
      <w:r>
        <w:t xml:space="preserve">Los administradores y las cuentas de </w:t>
      </w:r>
      <w:r>
        <w:rPr>
          <w:rStyle w:val="CodeChar"/>
        </w:rPr>
        <w:t xml:space="preserve">exclusiones.csv</w:t>
      </w:r>
      <w:r>
        <w:t xml:space="preserve"> nunca se proponen para baja.</w:t>
      </w:r>
    </w:p>
    <w:p>
      <w:pPr>
        <w:pStyle w:val="ListParagraph"/>
        <w:numPr>
          <w:ilvl w:val="0"/>
          <w:numId w:val="4"/>
        </w:numPr>
      </w:pPr>
      <w:r>
        <w:t xml:space="preserve">Las filas con acción </w:t>
      </w:r>
      <w:r>
        <w:rPr>
          <w:i/>
        </w:rPr>
        <w:t xml:space="preserve">Revisar</w:t>
      </w:r>
      <w:r>
        <w:t xml:space="preserve"> requieren una decisión explícita: cambiar la acción a </w:t>
      </w:r>
      <w:r>
        <w:rPr>
          <w:i/>
        </w:rPr>
        <w:t xml:space="preserve">Baja</w:t>
      </w:r>
      <w:r>
        <w:t xml:space="preserve"> o dejarla en </w:t>
      </w:r>
      <w:r>
        <w:rPr>
          <w:i/>
        </w:rPr>
        <w:t xml:space="preserve">Conservar</w:t>
      </w:r>
      <w:r>
        <w:t xml:space="preserve">.</w:t>
      </w:r>
    </w:p>
    <w:p>
      <w:pPr>
        <w:pStyle w:val="ListParagraph"/>
        <w:numPr>
          <w:ilvl w:val="0"/>
          <w:numId w:val="4"/>
        </w:numPr>
      </w:pPr>
      <w:r>
        <w:t xml:space="preserve">Para </w:t>
      </w:r>
      <w:r>
        <w:rPr>
          <w:i/>
        </w:rPr>
        <w:t xml:space="preserve">Baja</w:t>
      </w:r>
      <w:r>
        <w:t xml:space="preserve"> de usuarios con buzón, el cliente decide en </w:t>
      </w:r>
      <w:r>
        <w:rPr>
          <w:rStyle w:val="CodeChar"/>
        </w:rPr>
        <w:t xml:space="preserve">ConservarBuzon</w:t>
      </w:r>
      <w:r>
        <w:t xml:space="preserve"> si la información se conserva como buzón compartido.</w:t>
      </w:r>
    </w:p>
    <w:p>
      <w:pPr>
        <w:pStyle w:val="ListParagraph"/>
        <w:numPr>
          <w:ilvl w:val="0"/>
          <w:numId w:val="4"/>
        </w:numPr>
      </w:pPr>
      <w:r>
        <w:t xml:space="preserve">Guardar el CSV aprobado como evidencia firmada; es la entrada de todas las fases siguientes.</w:t>
      </w:r>
    </w:p>
    <w:p>
      <w:pPr>
        <w:pStyle w:val="Heading2"/>
      </w:pPr>
      <w:r>
        <w:t xml:space="preserve">Fase 2 – Etiquetar</w:t>
      </w:r>
    </w:p>
    <w:p>
      <w:pPr/>
      <w:r>
        <w:t xml:space="preserve">El etiquetado marca los objetos aprobados sin afectar su funcionamiento: el usuario sigue trabajando y el grupo sigue operando. La etiqueta es la evidencia de que el objeto entró al proceso, y la fecha que lleva controla los tiempos de espera.</w:t>
      </w:r>
    </w:p>
    <w:p>
      <w:pPr>
        <w:pStyle w:val="Code"/>
      </w:pPr>
      <w:bookmarkStart w:id="3" w:name="bongo_lang_powershell_3"/>
      <w:bookmarkEnd w:id="3"/>
      <w:r>
        <w:t xml:space="preserve">.\02-Etiquetar.ps1 -ArchivoUsuarios .\salida\Candidatos_Usuarios_&lt;fecha&gt;.csv `</w:t>
        <w:br/>
        <w:t xml:space="preserve">                   -ArchivoGrupos .\salida\Candidatos_Grupos_&lt;fecha&gt;.csv `</w:t>
        <w:br/>
        <w:t xml:space="preserve">                   -ArchivoDispositivos .\salida\Candidatos_Dispositivos_&lt;fecha&gt;.csv           # simulación</w:t>
        <w:br/>
        <w:t xml:space="preserve"># revisar la bitácora y repetir con -Ejecutar</w:t>
      </w:r>
    </w:p>
    <w:p>
      <w:pPr/>
      <w:r>
        <w:rPr>
          <w:b/>
        </w:rPr>
        <w:t xml:space="preserve">Formato de la etiqueta:</w:t>
      </w:r>
      <w:r>
        <w:t xml:space="preserve"> </w:t>
      </w:r>
      <w:r>
        <w:rPr>
          <w:rStyle w:val="CodeChar"/>
        </w:rPr>
        <w:t xml:space="preserve">M365DEP|&lt;fase&gt;|&lt;aaaa-mm-dd&gt;|&lt;motivos&gt;</w:t>
      </w:r>
      <w:r>
        <w:t xml:space="preserve">, por ejemplo </w:t>
      </w:r>
      <w:r>
        <w:rPr>
          <w:rStyle w:val="CodeChar"/>
        </w:rPr>
        <w:t xml:space="preserve">M365DEP|F2|2026-10-20|U02;U03</w:t>
      </w:r>
      <w:r>
        <w:t xml:space="preser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Objeto</w:t>
            </w:r>
          </w:p>
        </w:tc>
        <w:tc>
          <w:tcPr>
            <w:tcW w:w="4920" w:type="dxa"/>
            <w:shd w:val="clear" w:color="auto" w:fill="F2F2F2"/>
          </w:tcPr>
          <w:p>
            <w:pPr/>
            <w:r>
              <w:t xml:space="preserve">Dónde se guarda la etiqueta</w:t>
            </w:r>
          </w:p>
        </w:tc>
      </w:tr>
      <w:tr>
        <w:tc>
          <w:tcPr>
            <w:tcW w:w="4440" w:type="dxa"/>
          </w:tcPr>
          <w:p>
            <w:pPr/>
            <w:r>
              <w:t xml:space="preserve">Usuarios e invitados</w:t>
            </w:r>
          </w:p>
        </w:tc>
        <w:tc>
          <w:tcPr>
            <w:tcW w:w="4920" w:type="dxa"/>
          </w:tcPr>
          <w:p>
            <w:pPr/>
            <w:r>
              <w:rPr>
                <w:rStyle w:val="CodeChar"/>
              </w:rPr>
              <w:t xml:space="preserve">extensionAttribute15</w:t>
            </w:r>
            <w:r>
              <w:t xml:space="preserve"> (Graph)</w:t>
            </w:r>
          </w:p>
        </w:tc>
      </w:tr>
      <w:tr>
        <w:tc>
          <w:tcPr>
            <w:tcW w:w="4440" w:type="dxa"/>
          </w:tcPr>
          <w:p>
            <w:pPr/>
            <w:r>
              <w:t xml:space="preserve">Dispositivos</w:t>
            </w:r>
          </w:p>
        </w:tc>
        <w:tc>
          <w:tcPr>
            <w:tcW w:w="4920" w:type="dxa"/>
          </w:tcPr>
          <w:p>
            <w:pPr/>
            <w:r>
              <w:rPr>
                <w:rStyle w:val="CodeChar"/>
              </w:rPr>
              <w:t xml:space="preserve">extensionAttribute15</w:t>
            </w:r>
            <w:r>
              <w:t xml:space="preserve"> del dispositivo (Graph)</w:t>
            </w:r>
          </w:p>
        </w:tc>
      </w:tr>
      <w:tr>
        <w:tc>
          <w:tcPr>
            <w:tcW w:w="4440" w:type="dxa"/>
          </w:tcPr>
          <w:p>
            <w:pPr/>
            <w:r>
              <w:t xml:space="preserve">Grupos M365 y de seguridad</w:t>
            </w:r>
          </w:p>
        </w:tc>
        <w:tc>
          <w:tcPr>
            <w:tcW w:w="4920" w:type="dxa"/>
          </w:tcPr>
          <w:p>
            <w:pPr/>
            <w:r>
              <w:t xml:space="preserve">Prefijo </w:t>
            </w:r>
            <w:r>
              <w:rPr>
                <w:rStyle w:val="CodeChar"/>
              </w:rPr>
              <w:t xml:space="preserve">[M365DEP...]</w:t>
            </w:r>
            <w:r>
              <w:t xml:space="preserve"> al inicio de la descripción; la descripción original queda respaldada</w:t>
            </w:r>
          </w:p>
        </w:tc>
      </w:tr>
      <w:tr>
        <w:tc>
          <w:tcPr>
            <w:tcW w:w="4440" w:type="dxa"/>
          </w:tcPr>
          <w:p>
            <w:pPr/>
            <w:r>
              <w:t xml:space="preserve">Listas de distribución y grupos de seguridad con correo</w:t>
            </w:r>
          </w:p>
        </w:tc>
        <w:tc>
          <w:tcPr>
            <w:tcW w:w="4920" w:type="dxa"/>
          </w:tcPr>
          <w:p>
            <w:pPr/>
            <w:r>
              <w:rPr>
                <w:rStyle w:val="CodeChar"/>
              </w:rPr>
              <w:t xml:space="preserve">CustomAttribute15</w:t>
            </w:r>
            <w:r>
              <w:t xml:space="preserve"> (Exchange Online)</w:t>
            </w:r>
          </w:p>
        </w:tc>
      </w:tr>
    </w:tbl>
    <w:p>
      <w:pPr/>
      <w:r>
        <w:t xml:space="preserve">Antes de usarlo hay que confirmar que </w:t>
      </w:r>
      <w:r>
        <w:rPr>
          <w:rStyle w:val="CodeChar"/>
        </w:rPr>
        <w:t xml:space="preserve">extensionAttribute15</w:t>
      </w:r>
      <w:r>
        <w:t xml:space="preserve"> está libre en el tenant: no debe estar ocupado por reglas de grupos dinámicos ni por otra aplicación.</w:t>
      </w:r>
    </w:p>
    <w:p>
      <w:pPr/>
      <w:r>
        <w:rPr>
          <w:b/>
        </w:rPr>
        <w:t xml:space="preserve">Notificación:</w:t>
      </w:r>
      <w:r>
        <w:t xml:space="preserve"> el script genera </w:t>
      </w:r>
      <w:r>
        <w:rPr>
          <w:rStyle w:val="CodeChar"/>
        </w:rPr>
        <w:t xml:space="preserve">Notificacion_F2_&lt;fecha&gt;.csv</w:t>
      </w:r>
      <w:r>
        <w:t xml:space="preserve"> con el jefe de cada usuario y los propietarios de cada grupo. Ese archivo es la base del aviso formal; quien objete en el plazo de 7 a 14 días se saca del proceso con </w:t>
      </w:r>
      <w:r>
        <w:rPr>
          <w:rStyle w:val="CodeChar"/>
        </w:rPr>
        <w:t xml:space="preserve">03b-Revertir.ps1 -QuitarEtiqueta</w:t>
      </w:r>
      <w:r>
        <w:t xml:space="preserve">.</w:t>
      </w:r>
    </w:p>
    <w:p>
      <w:pPr/>
      <w:r>
        <w:t xml:space="preserve">Para buscar en cualquier momento qué usuarios están en el proceso:</w:t>
      </w:r>
    </w:p>
    <w:p>
      <w:pPr>
        <w:pStyle w:val="Code"/>
      </w:pPr>
      <w:bookmarkStart w:id="4" w:name="bongo_lang_powershell_4"/>
      <w:bookmarkEnd w:id="4"/>
      <w:r>
        <w:t xml:space="preserve">Get-MgUser -All -Filter "startswith(onPremisesExtensionAttributes/extensionAttribute15,'M365DEP')" `</w:t>
        <w:br/>
        <w:t xml:space="preserve">  -ConsistencyLevel eventual -CountVariable n -Property DisplayName,UserPrincipalName,OnPremisesExtensionAttributes |</w:t>
        <w:br/>
        <w:t xml:space="preserve">  Select-Object DisplayName, UserPrincipalName, @{n='Etiqueta';e={$_.OnPremisesExtensionAttributes.ExtensionAttribute15}}</w:t>
      </w:r>
    </w:p>
    <w:p>
      <w:pPr>
        <w:pStyle w:val="Heading2"/>
      </w:pPr>
      <w:r>
        <w:t xml:space="preserve">Fase 3 – Deshabilitar</w:t>
      </w:r>
    </w:p>
    <w:p>
      <w:pPr/>
      <w:r>
        <w:t xml:space="preserve">Esta fase corta el acceso pero no borra datos: buzón, OneDrive, miembros y licencias quedan intactos durante una cuarentena de 30 días. El script solo toma objetos con etiqueta F2 de al menos </w:t>
      </w:r>
      <w:r>
        <w:rPr>
          <w:rStyle w:val="CodeChar"/>
        </w:rPr>
        <w:t xml:space="preserve">-DiasAviso</w:t>
      </w:r>
      <w:r>
        <w:t xml:space="preserve"> días (7 por defecto).</w:t>
      </w:r>
    </w:p>
    <w:p>
      <w:pPr>
        <w:pStyle w:val="Code"/>
      </w:pPr>
      <w:bookmarkStart w:id="5" w:name="bongo_lang_powershell_5"/>
      <w:bookmarkEnd w:id="5"/>
      <w:r>
        <w:t xml:space="preserve">.\03-Deshabilitar.ps1 -ArchivoUsuarios .\salida\Candidatos_Usuarios_&lt;fecha&gt;.csv `</w:t>
        <w:br/>
        <w:t xml:space="preserve">                      -ArchivoGrupos .\salida\Candidatos_Grupos_&lt;fecha&gt;.csv `</w:t>
        <w:br/>
        <w:t xml:space="preserve">                      -ArchivoDispositivos .\salida\Candidatos_Dispositivos_&lt;fecha&gt;.csv `</w:t>
        <w:br/>
        <w:t xml:space="preserve">                      -DiasAviso 7 -CuentaControl admin.ti@supraterra.com.mx            # simulación; luego -Ejecutar</w:t>
      </w:r>
    </w:p>
    <w:tbl>
      <w:tblPr>
        <w:tblStyle w:val="TableGrid"/>
        <w:tblW w:w="0" w:type="auto"/>
        <w:tblLayout w:type="fixed"/>
        <w:tblLook w:val="04A0" w:firstRow="1" w:lastRow="0" w:firstColumn="0" w:lastColumn="0" w:noHBand="0" w:noVBand="1"/>
      </w:tblPr>
      <w:tblGrid>
        <w:gridCol w:w="2545"/>
        <w:gridCol w:w="4114"/>
        <w:gridCol w:w="2701"/>
      </w:tblGrid>
      <w:tr>
        <w:trPr>
          <w:tblHeader/>
        </w:trPr>
        <w:tc>
          <w:tcPr>
            <w:tcW w:w="2545" w:type="dxa"/>
            <w:shd w:val="clear" w:color="auto" w:fill="F2F2F2"/>
          </w:tcPr>
          <w:p>
            <w:pPr/>
            <w:r>
              <w:t xml:space="preserve">Objeto</w:t>
            </w:r>
          </w:p>
        </w:tc>
        <w:tc>
          <w:tcPr>
            <w:tcW w:w="4114" w:type="dxa"/>
            <w:shd w:val="clear" w:color="auto" w:fill="F2F2F2"/>
          </w:tcPr>
          <w:p>
            <w:pPr/>
            <w:r>
              <w:t xml:space="preserve">Qué hace</w:t>
            </w:r>
          </w:p>
        </w:tc>
        <w:tc>
          <w:tcPr>
            <w:tcW w:w="2701" w:type="dxa"/>
            <w:shd w:val="clear" w:color="auto" w:fill="F2F2F2"/>
          </w:tcPr>
          <w:p>
            <w:pPr/>
            <w:r>
              <w:t xml:space="preserve">Qué NO hace</w:t>
            </w:r>
          </w:p>
        </w:tc>
      </w:tr>
      <w:tr>
        <w:tc>
          <w:tcPr>
            <w:tcW w:w="2545" w:type="dxa"/>
          </w:tcPr>
          <w:p>
            <w:pPr/>
            <w:r>
              <w:t xml:space="preserve">Usuarios e invitados</w:t>
            </w:r>
          </w:p>
        </w:tc>
        <w:tc>
          <w:tcPr>
            <w:tcW w:w="4114" w:type="dxa"/>
          </w:tcPr>
          <w:p>
            <w:pPr/>
            <w:r>
              <w:t xml:space="preserve">Bloquea el inicio de sesión, revoca sesiones y tokens, oculta el buzón de la libreta</w:t>
            </w:r>
          </w:p>
        </w:tc>
        <w:tc>
          <w:tcPr>
            <w:tcW w:w="2701" w:type="dxa"/>
          </w:tcPr>
          <w:p>
            <w:pPr/>
            <w:r>
              <w:t xml:space="preserve">No quita licencias ni borra buzón u OneDrive</w:t>
            </w:r>
          </w:p>
        </w:tc>
      </w:tr>
      <w:tr>
        <w:tc>
          <w:tcPr>
            <w:tcW w:w="2545" w:type="dxa"/>
          </w:tcPr>
          <w:p>
            <w:pPr/>
            <w:r>
              <w:t xml:space="preserve">Grupos M365</w:t>
            </w:r>
          </w:p>
        </w:tc>
        <w:tc>
          <w:tcPr>
            <w:tcW w:w="4114" w:type="dxa"/>
          </w:tcPr>
          <w:p>
            <w:pPr/>
            <w:r>
              <w:t xml:space="preserve">Los oculta de la libreta y de Outlook</w:t>
            </w:r>
          </w:p>
        </w:tc>
        <w:tc>
          <w:tcPr>
            <w:tcW w:w="2701" w:type="dxa"/>
          </w:tcPr>
          <w:p>
            <w:pPr/>
            <w:r>
              <w:t xml:space="preserve">No borra sitio, Teams ni archivos</w:t>
            </w:r>
          </w:p>
        </w:tc>
      </w:tr>
      <w:tr>
        <w:tc>
          <w:tcPr>
            <w:tcW w:w="2545" w:type="dxa"/>
          </w:tcPr>
          <w:p>
            <w:pPr/>
            <w:r>
              <w:t xml:space="preserve">Listas de distribución</w:t>
            </w:r>
          </w:p>
        </w:tc>
        <w:tc>
          <w:tcPr>
            <w:tcW w:w="4114" w:type="dxa"/>
          </w:tcPr>
          <w:p>
            <w:pPr/>
            <w:r>
              <w:t xml:space="preserve">Las oculta; solo aceptan correo de </w:t>
            </w:r>
            <w:r>
              <w:rPr>
                <w:rStyle w:val="CodeChar"/>
              </w:rPr>
              <w:t xml:space="preserve">-CuentaControl</w:t>
            </w:r>
          </w:p>
        </w:tc>
        <w:tc>
          <w:tcPr>
            <w:tcW w:w="2701" w:type="dxa"/>
          </w:tcPr>
          <w:p>
            <w:pPr/>
            <w:r>
              <w:t xml:space="preserve">No quita miembros</w:t>
            </w:r>
          </w:p>
        </w:tc>
      </w:tr>
      <w:tr>
        <w:tc>
          <w:tcPr>
            <w:tcW w:w="2545" w:type="dxa"/>
          </w:tcPr>
          <w:p>
            <w:pPr/>
            <w:r>
              <w:t xml:space="preserve">Grupos de seguridad</w:t>
            </w:r>
          </w:p>
        </w:tc>
        <w:tc>
          <w:tcPr>
            <w:tcW w:w="4114" w:type="dxa"/>
          </w:tcPr>
          <w:p>
            <w:pPr/>
            <w:r>
              <w:t xml:space="preserve">Respalda miembros; con </w:t>
            </w:r>
            <w:r>
              <w:rPr>
                <w:rStyle w:val="CodeChar"/>
              </w:rPr>
              <w:t xml:space="preserve">-VaciarGruposSeguridad</w:t>
            </w:r>
            <w:r>
              <w:t xml:space="preserve"> los quita</w:t>
            </w:r>
          </w:p>
        </w:tc>
        <w:tc>
          <w:tcPr>
            <w:tcW w:w="2701" w:type="dxa"/>
          </w:tcPr>
          <w:p>
            <w:pPr/>
            <w:r>
              <w:t xml:space="preserve">Sin ese parámetro no cambia el grupo</w:t>
            </w:r>
          </w:p>
        </w:tc>
      </w:tr>
      <w:tr>
        <w:tc>
          <w:tcPr>
            <w:tcW w:w="2545" w:type="dxa"/>
          </w:tcPr>
          <w:p>
            <w:pPr/>
            <w:r>
              <w:t xml:space="preserve">Dispositivos</w:t>
            </w:r>
          </w:p>
        </w:tc>
        <w:tc>
          <w:tcPr>
            <w:tcW w:w="4114" w:type="dxa"/>
          </w:tcPr>
          <w:p>
            <w:pPr/>
            <w:r>
              <w:t xml:space="preserve">Respalda las claves BitLocker y deshabilita el objeto</w:t>
            </w:r>
          </w:p>
        </w:tc>
        <w:tc>
          <w:tcPr>
            <w:tcW w:w="2701" w:type="dxa"/>
          </w:tcPr>
          <w:p>
            <w:pPr/>
            <w:r>
              <w:t xml:space="preserve">No borra el objeto ni lo quita de Intune</w:t>
            </w:r>
          </w:p>
        </w:tc>
      </w:tr>
    </w:tbl>
    <w:p>
      <w:pPr/>
      <w:r>
        <w:rPr>
          <w:b/>
        </w:rPr>
        <w:t xml:space="preserve">Respaldos que genera</w:t>
      </w:r>
      <w:r>
        <w:t xml:space="preserve"> (carpeta </w:t>
      </w:r>
      <w:r>
        <w:rPr>
          <w:rStyle w:val="CodeChar"/>
        </w:rPr>
        <w:t xml:space="preserve">respaldo</w:t>
      </w:r>
      <w:r>
        <w:t xml:space="preserve">):</w:t>
      </w:r>
    </w:p>
    <w:p>
      <w:pPr>
        <w:pStyle w:val="ListParagraph"/>
        <w:numPr>
          <w:ilvl w:val="0"/>
          <w:numId w:val="5"/>
        </w:numPr>
      </w:pPr>
      <w:r>
        <w:rPr>
          <w:rStyle w:val="CodeChar"/>
        </w:rPr>
        <w:t xml:space="preserve">Respaldo_F3_&lt;marca&gt;.json</w:t>
      </w:r>
      <w:r>
        <w:t xml:space="preserve">: estado previo de cada objeto (habilitado, licencias, grupos, visibilidad, miembros). Es la entrada de la reversión.</w:t>
      </w:r>
    </w:p>
    <w:p>
      <w:pPr>
        <w:pStyle w:val="ListParagraph"/>
        <w:numPr>
          <w:ilvl w:val="0"/>
          <w:numId w:val="5"/>
        </w:numPr>
      </w:pPr>
      <w:r>
        <w:rPr>
          <w:rStyle w:val="CodeChar"/>
        </w:rPr>
        <w:t xml:space="preserve">BitLocker_F3_&lt;marca&gt;.csv</w:t>
      </w:r>
      <w:r>
        <w:t xml:space="preserve">: claves de recuperación de los dispositivos. Es información sensible y debe moverse a una ubicación protegida.</w:t>
      </w:r>
    </w:p>
    <w:p>
      <w:pPr/>
      <w:r>
        <w:rPr>
          <w:b/>
        </w:rPr>
        <w:t xml:space="preserve">Durante la cuarentena:</w:t>
      </w:r>
      <w:r>
        <w:t xml:space="preserve"> revisar intentos de inicio de sesión de cuentas deshabilitadas (Entra &gt; Registros de inicio de sesión, filtro por error 50057) y correos rebotados a grupos ocultos. Un intento legítimo indica que el objeto todavía se usa.</w:t>
      </w:r>
    </w:p>
    <w:p>
      <w:pPr/>
      <w:r>
        <w:rPr>
          <w:b/>
        </w:rPr>
        <w:t xml:space="preserve">Reversión</w:t>
      </w:r>
    </w:p>
    <w:p>
      <w:pPr>
        <w:pStyle w:val="Code"/>
      </w:pPr>
      <w:bookmarkStart w:id="6" w:name="bongo_lang_powershell_6"/>
      <w:bookmarkEnd w:id="6"/>
      <w:r>
        <w:t xml:space="preserve"># Un objeto puntual (vuelve a F2)</w:t>
        <w:br/>
        <w:t xml:space="preserve">.\03b-Revertir.ps1 -RespaldoF3 .\respaldo\Respaldo_F3_&lt;marca&gt;.json -Ids &lt;Id&gt; -Ejecutar</w:t>
        <w:br/>
        <w:t xml:space="preserve"># Sacarlo del proceso por completo (borra la etiqueta y restaura la descripción del grupo)</w:t>
        <w:br/>
        <w:t xml:space="preserve">.\03b-Revertir.ps1 -RespaldoF3 ... -ArchivoIds .\revertir.csv -QuitarEtiqueta -RespaldoF2 .\respaldo\Respaldo_F2_&lt;marca&gt;.csv -Ejecutar</w:t>
      </w:r>
    </w:p>
    <w:p>
      <w:pPr>
        <w:pStyle w:val="Heading2"/>
      </w:pPr>
      <w:r>
        <w:t xml:space="preserve">Fase 4 – Eliminar</w:t>
      </w:r>
    </w:p>
    <w:p>
      <w:pPr/>
      <w:r>
        <w:t xml:space="preserve">En esta fase se borran los objetos que cumplieron 30 días deshabilitados sin reclamos. El script verifica la etiqueta F3 y su fecha, omite cuentas que alguien volvió a habilitar y pide escribir </w:t>
      </w:r>
      <w:r>
        <w:rPr>
          <w:rStyle w:val="CodeChar"/>
        </w:rPr>
        <w:t xml:space="preserve">ELIMINAR</w:t>
      </w:r>
      <w:r>
        <w:t xml:space="preserve"> antes de aplicar.</w:t>
      </w:r>
    </w:p>
    <w:p>
      <w:pPr>
        <w:pStyle w:val="Code"/>
      </w:pPr>
      <w:bookmarkStart w:id="7" w:name="bongo_lang_powershell_7"/>
      <w:bookmarkEnd w:id="7"/>
      <w:r>
        <w:t xml:space="preserve">.\04-Eliminar.ps1 -ArchivoUsuarios .\salida\Candidatos_Usuarios_&lt;fecha&gt;.csv `</w:t>
        <w:br/>
        <w:t xml:space="preserve">                  -ArchivoGrupos .\salida\Candidatos_Grupos_&lt;fecha&gt;.csv `</w:t>
        <w:br/>
        <w:t xml:space="preserve">                  -ArchivoDispositivos .\salida\Candidatos_Dispositivos_&lt;fecha&gt;.csv `</w:t>
        <w:br/>
        <w:t xml:space="preserve">                  -DiasCuarentena 30 -IncluirIntune             # simulación; luego -Ejecutar</w:t>
      </w:r>
    </w:p>
    <w:tbl>
      <w:tblPr>
        <w:tblStyle w:val="TableGrid"/>
        <w:tblW w:w="0" w:type="auto"/>
        <w:tblLayout w:type="fixed"/>
        <w:tblLook w:val="04A0" w:firstRow="1" w:lastRow="0" w:firstColumn="0" w:lastColumn="0" w:noHBand="0" w:noVBand="1"/>
      </w:tblPr>
      <w:tblGrid>
        <w:gridCol w:w="2364"/>
        <w:gridCol w:w="4033"/>
        <w:gridCol w:w="2963"/>
      </w:tblGrid>
      <w:tr>
        <w:trPr>
          <w:tblHeader/>
        </w:trPr>
        <w:tc>
          <w:tcPr>
            <w:tcW w:w="2364" w:type="dxa"/>
            <w:shd w:val="clear" w:color="auto" w:fill="F2F2F2"/>
          </w:tcPr>
          <w:p>
            <w:pPr/>
            <w:r>
              <w:t xml:space="preserve">Objeto</w:t>
            </w:r>
          </w:p>
        </w:tc>
        <w:tc>
          <w:tcPr>
            <w:tcW w:w="4033" w:type="dxa"/>
            <w:shd w:val="clear" w:color="auto" w:fill="F2F2F2"/>
          </w:tcPr>
          <w:p>
            <w:pPr/>
            <w:r>
              <w:t xml:space="preserve">Resultado</w:t>
            </w:r>
          </w:p>
        </w:tc>
        <w:tc>
          <w:tcPr>
            <w:tcW w:w="2963" w:type="dxa"/>
            <w:shd w:val="clear" w:color="auto" w:fill="F2F2F2"/>
          </w:tcPr>
          <w:p>
            <w:pPr/>
            <w:r>
              <w:t xml:space="preserve">¿Se puede recuperar?</w:t>
            </w:r>
          </w:p>
        </w:tc>
      </w:tr>
      <w:tr>
        <w:tc>
          <w:tcPr>
            <w:tcW w:w="2364" w:type="dxa"/>
          </w:tcPr>
          <w:p>
            <w:pPr/>
            <w:r>
              <w:t xml:space="preserve">Usuario con </w:t>
            </w:r>
            <w:r>
              <w:rPr>
                <w:rStyle w:val="CodeChar"/>
              </w:rPr>
              <w:t xml:space="preserve">ConservarBuzon = SI</w:t>
            </w:r>
          </w:p>
        </w:tc>
        <w:tc>
          <w:tcPr>
            <w:tcW w:w="4033" w:type="dxa"/>
          </w:tcPr>
          <w:p>
            <w:pPr/>
            <w:r>
              <w:t xml:space="preserve">El buzón pasa a compartido, se quitan las licencias directas y la cuenta queda deshabilitada</w:t>
            </w:r>
          </w:p>
        </w:tc>
        <w:tc>
          <w:tcPr>
            <w:tcW w:w="2963" w:type="dxa"/>
          </w:tcPr>
          <w:p>
            <w:pPr/>
            <w:r>
              <w:t xml:space="preserve">Sí, la cuenta no se borra</w:t>
            </w:r>
          </w:p>
        </w:tc>
      </w:tr>
      <w:tr>
        <w:tc>
          <w:tcPr>
            <w:tcW w:w="2364" w:type="dxa"/>
          </w:tcPr>
          <w:p>
            <w:pPr/>
            <w:r>
              <w:t xml:space="preserve">Usuario sin conservar buzón</w:t>
            </w:r>
          </w:p>
        </w:tc>
        <w:tc>
          <w:tcPr>
            <w:tcW w:w="4033" w:type="dxa"/>
          </w:tcPr>
          <w:p>
            <w:pPr/>
            <w:r>
              <w:t xml:space="preserve">Cuenta eliminada; buzón y OneDrive se eliminan con ella</w:t>
            </w:r>
          </w:p>
        </w:tc>
        <w:tc>
          <w:tcPr>
            <w:tcW w:w="2963" w:type="dxa"/>
          </w:tcPr>
          <w:p>
            <w:pPr/>
            <w:r>
              <w:t xml:space="preserve">Sí, 30 días en la papelera de Entra</w:t>
            </w:r>
          </w:p>
        </w:tc>
      </w:tr>
      <w:tr>
        <w:tc>
          <w:tcPr>
            <w:tcW w:w="2364" w:type="dxa"/>
          </w:tcPr>
          <w:p>
            <w:pPr/>
            <w:r>
              <w:t xml:space="preserve">Usuario con retención por litigio o de cumplimiento</w:t>
            </w:r>
          </w:p>
        </w:tc>
        <w:tc>
          <w:tcPr>
            <w:tcW w:w="4033" w:type="dxa"/>
          </w:tcPr>
          <w:p>
            <w:pPr/>
            <w:r>
              <w:t xml:space="preserve">Cuenta eliminada; el buzón queda como buzón inactivo</w:t>
            </w:r>
          </w:p>
        </w:tc>
        <w:tc>
          <w:tcPr>
            <w:tcW w:w="2963" w:type="dxa"/>
          </w:tcPr>
          <w:p>
            <w:pPr/>
            <w:r>
              <w:t xml:space="preserve">El contenido se conserva según la retención</w:t>
            </w:r>
          </w:p>
        </w:tc>
      </w:tr>
      <w:tr>
        <w:tc>
          <w:tcPr>
            <w:tcW w:w="2364" w:type="dxa"/>
          </w:tcPr>
          <w:p>
            <w:pPr/>
            <w:r>
              <w:t xml:space="preserve">Grupo M365</w:t>
            </w:r>
          </w:p>
        </w:tc>
        <w:tc>
          <w:tcPr>
            <w:tcW w:w="4033" w:type="dxa"/>
          </w:tcPr>
          <w:p>
            <w:pPr/>
            <w:r>
              <w:t xml:space="preserve">Eliminado junto con su sitio y su equipo de Teams</w:t>
            </w:r>
          </w:p>
        </w:tc>
        <w:tc>
          <w:tcPr>
            <w:tcW w:w="2963" w:type="dxa"/>
          </w:tcPr>
          <w:p>
            <w:pPr/>
            <w:r>
              <w:t xml:space="preserve">Sí, 30 días</w:t>
            </w:r>
          </w:p>
        </w:tc>
      </w:tr>
      <w:tr>
        <w:tc>
          <w:tcPr>
            <w:tcW w:w="2364" w:type="dxa"/>
          </w:tcPr>
          <w:p>
            <w:pPr/>
            <w:r>
              <w:t xml:space="preserve">Grupo de seguridad o lista de distribución</w:t>
            </w:r>
          </w:p>
        </w:tc>
        <w:tc>
          <w:tcPr>
            <w:tcW w:w="4033" w:type="dxa"/>
          </w:tcPr>
          <w:p>
            <w:pPr/>
            <w:r>
              <w:t xml:space="preserve">Eliminado</w:t>
            </w:r>
          </w:p>
        </w:tc>
        <w:tc>
          <w:tcPr>
            <w:tcW w:w="2963" w:type="dxa"/>
          </w:tcPr>
          <w:p>
            <w:pPr/>
            <w:r>
              <w:rPr>
                <w:b/>
              </w:rPr>
              <w:t xml:space="preserve">No</w:t>
            </w:r>
            <w:r>
              <w:t xml:space="preserve">: es permanente; se recrea con el respaldo</w:t>
            </w:r>
          </w:p>
        </w:tc>
      </w:tr>
      <w:tr>
        <w:tc>
          <w:tcPr>
            <w:tcW w:w="2364" w:type="dxa"/>
          </w:tcPr>
          <w:p>
            <w:pPr/>
            <w:r>
              <w:t xml:space="preserve">Dispositivo</w:t>
            </w:r>
          </w:p>
        </w:tc>
        <w:tc>
          <w:tcPr>
            <w:tcW w:w="4033" w:type="dxa"/>
          </w:tcPr>
          <w:p>
            <w:pPr/>
            <w:r>
              <w:t xml:space="preserve">Eliminado de Entra y, con </w:t>
            </w:r>
            <w:r>
              <w:rPr>
                <w:rStyle w:val="CodeChar"/>
              </w:rPr>
              <w:t xml:space="preserve">-IncluirIntune</w:t>
            </w:r>
            <w:r>
              <w:t xml:space="preserve">, de Intune</w:t>
            </w:r>
          </w:p>
        </w:tc>
        <w:tc>
          <w:tcPr>
            <w:tcW w:w="2963" w:type="dxa"/>
          </w:tcPr>
          <w:p>
            <w:pPr/>
            <w:r>
              <w:rPr>
                <w:b/>
              </w:rPr>
              <w:t xml:space="preserve">No</w:t>
            </w:r>
            <w:r>
              <w:t xml:space="preserve">; las claves BitLocker quedaron respaldadas en F3</w:t>
            </w:r>
          </w:p>
        </w:tc>
      </w:tr>
    </w:tbl>
    <w:p>
      <w:pPr/>
      <w:r>
        <w:t xml:space="preserve">El script nunca borra grupos que asignan licencias (GR07) ni dispositivos de Autopilot (D03). Un buzón compartido de más de 49 GB conserva su licencia, porque arriba de 50 GB la requiere.</w:t>
      </w:r>
    </w:p>
    <w:p>
      <w:pPr/>
      <w:r>
        <w:rPr>
          <w:b/>
        </w:rPr>
        <w:t xml:space="preserve">Restauración (solo dentro de los 30 días)</w:t>
      </w:r>
    </w:p>
    <w:p>
      <w:pPr>
        <w:pStyle w:val="Code"/>
      </w:pPr>
      <w:bookmarkStart w:id="8" w:name="bongo_lang_powershell_8"/>
      <w:bookmarkEnd w:id="8"/>
      <w:r>
        <w:t xml:space="preserve">.\04b-Restaurar.ps1 -Listar                                                    # qué hay en la papelera</w:t>
        <w:br/>
        <w:t xml:space="preserve">.\04b-Restaurar.ps1 -Ids &lt;Id&gt; -RespaldoF4 .\respaldo\Respaldo_F4_&lt;marca&gt;.json -Habilitar -Ejecutar</w:t>
      </w:r>
    </w:p>
    <w:p>
      <w:pPr/>
      <w:r>
        <w:t xml:space="preserve">Al restaurar un usuario se recuperan su buzón y OneDrive, y el script le reasigna las licencias directas y los grupos del respaldo. Pasados los 30 días, la papelera se purga de forma automática y solo queda el respaldo de Veeam.</w:t>
      </w:r>
    </w:p>
    <w:p>
      <w:pPr>
        <w:pStyle w:val="Heading2"/>
      </w:pPr>
      <w:r>
        <w:t xml:space="preserve">Ajustes que no son bajas</w:t>
      </w:r>
    </w:p>
    <w:p>
      <w:pPr/>
      <w:r>
        <w:t xml:space="preserve">Los objetos que se conservan también necesitan correcciones. Sin AD de por medio, todas se hacen en la nube con </w:t>
      </w:r>
      <w:r>
        <w:rPr>
          <w:rStyle w:val="CodeChar"/>
        </w:rPr>
        <w:t xml:space="preserve">05-Ajustes.ps1</w:t>
      </w:r>
      <w:r>
        <w:t xml:space="preserve">, usando el mismo CSV aprobado de la Fase 1, y pueden correr en paralelo a las fases 2 y 3.</w:t>
      </w:r>
    </w:p>
    <w:p>
      <w:pPr>
        <w:pStyle w:val="Code"/>
      </w:pPr>
      <w:bookmarkStart w:id="9" w:name="bongo_lang_powershell_9"/>
      <w:bookmarkEnd w:id="9"/>
      <w:r>
        <w:t xml:space="preserve">.\05-Ajustes.ps1 -ArchivoUsuarios .\salida\Candidatos_Usuarios_&lt;fecha&gt;.csv                       # simulación de todo</w:t>
        <w:br/>
        <w:t xml:space="preserve">.\05-Ajustes.ps1 -ArchivoUsuarios ... -Solo CorregirUPN -Ejecutar                                 # por tipo de ajuste</w:t>
      </w:r>
    </w:p>
    <w:tbl>
      <w:tblPr>
        <w:tblStyle w:val="TableGrid"/>
        <w:tblW w:w="0" w:type="auto"/>
        <w:tblLayout w:type="fixed"/>
        <w:tblLook w:val="04A0" w:firstRow="1" w:lastRow="0" w:firstColumn="0" w:lastColumn="0" w:noHBand="0" w:noVBand="1"/>
      </w:tblPr>
      <w:tblGrid>
        <w:gridCol w:w="1779"/>
        <w:gridCol w:w="956"/>
        <w:gridCol w:w="3961"/>
        <w:gridCol w:w="2664"/>
      </w:tblGrid>
      <w:tr>
        <w:trPr>
          <w:tblHeader/>
        </w:trPr>
        <w:tc>
          <w:tcPr>
            <w:tcW w:w="1779" w:type="dxa"/>
            <w:shd w:val="clear" w:color="auto" w:fill="F2F2F2"/>
          </w:tcPr>
          <w:p>
            <w:pPr/>
            <w:r>
              <w:t xml:space="preserve">Acción</w:t>
            </w:r>
          </w:p>
        </w:tc>
        <w:tc>
          <w:tcPr>
            <w:tcW w:w="956" w:type="dxa"/>
            <w:shd w:val="clear" w:color="auto" w:fill="F2F2F2"/>
          </w:tcPr>
          <w:p>
            <w:pPr/>
            <w:r>
              <w:t xml:space="preserve">Motivo</w:t>
            </w:r>
          </w:p>
        </w:tc>
        <w:tc>
          <w:tcPr>
            <w:tcW w:w="3961" w:type="dxa"/>
            <w:shd w:val="clear" w:color="auto" w:fill="F2F2F2"/>
          </w:tcPr>
          <w:p>
            <w:pPr/>
            <w:r>
              <w:t xml:space="preserve">Qué hace</w:t>
            </w:r>
          </w:p>
        </w:tc>
        <w:tc>
          <w:tcPr>
            <w:tcW w:w="2664" w:type="dxa"/>
            <w:shd w:val="clear" w:color="auto" w:fill="F2F2F2"/>
          </w:tcPr>
          <w:p>
            <w:pPr/>
            <w:r>
              <w:t xml:space="preserve">Validaciones del script</w:t>
            </w:r>
          </w:p>
        </w:tc>
      </w:tr>
      <w:tr>
        <w:tc>
          <w:tcPr>
            <w:tcW w:w="1779" w:type="dxa"/>
          </w:tcPr>
          <w:p>
            <w:pPr/>
            <w:r>
              <w:t xml:space="preserve">BloquearInicio</w:t>
            </w:r>
          </w:p>
        </w:tc>
        <w:tc>
          <w:tcPr>
            <w:tcW w:w="956" w:type="dxa"/>
          </w:tcPr>
          <w:p>
            <w:pPr/>
            <w:r>
              <w:t xml:space="preserve">U04</w:t>
            </w:r>
          </w:p>
        </w:tc>
        <w:tc>
          <w:tcPr>
            <w:tcW w:w="3961" w:type="dxa"/>
          </w:tcPr>
          <w:p>
            <w:pPr/>
            <w:r>
              <w:t xml:space="preserve">Bloquea el inicio de sesión de la cuenta de un buzón compartido o sala</w:t>
            </w:r>
          </w:p>
        </w:tc>
        <w:tc>
          <w:tcPr>
            <w:tcW w:w="2664" w:type="dxa"/>
          </w:tcPr>
          <w:p>
            <w:pPr/>
            <w:r>
              <w:t xml:space="preserve">Solo si la cuenta está habilitada</w:t>
            </w:r>
          </w:p>
        </w:tc>
      </w:tr>
      <w:tr>
        <w:tc>
          <w:tcPr>
            <w:tcW w:w="1779" w:type="dxa"/>
          </w:tcPr>
          <w:p>
            <w:pPr/>
            <w:r>
              <w:t xml:space="preserve">QuitarLicencia</w:t>
            </w:r>
          </w:p>
        </w:tc>
        <w:tc>
          <w:tcPr>
            <w:tcW w:w="956" w:type="dxa"/>
          </w:tcPr>
          <w:p>
            <w:pPr/>
            <w:r>
              <w:t xml:space="preserve">U05</w:t>
            </w:r>
          </w:p>
        </w:tc>
        <w:tc>
          <w:tcPr>
            <w:tcW w:w="3961" w:type="dxa"/>
          </w:tcPr>
          <w:p>
            <w:pPr/>
            <w:r>
              <w:t xml:space="preserve">Quita licencias directas de buzones compartidos (aruiz, pblanco, bcobranza, becarioadmon)</w:t>
            </w:r>
          </w:p>
        </w:tc>
        <w:tc>
          <w:tcPr>
            <w:tcW w:w="2664" w:type="dxa"/>
          </w:tcPr>
          <w:p>
            <w:pPr/>
            <w:r>
              <w:t xml:space="preserve">Omite si pesa 49 GB o más o tiene archivo activo</w:t>
            </w:r>
          </w:p>
        </w:tc>
      </w:tr>
      <w:tr>
        <w:tc>
          <w:tcPr>
            <w:tcW w:w="1779" w:type="dxa"/>
          </w:tcPr>
          <w:p>
            <w:pPr/>
            <w:r>
              <w:t xml:space="preserve">CorregirUPN</w:t>
            </w:r>
          </w:p>
        </w:tc>
        <w:tc>
          <w:tcPr>
            <w:tcW w:w="956" w:type="dxa"/>
          </w:tcPr>
          <w:p>
            <w:pPr/>
            <w:r>
              <w:t xml:space="preserve">U06</w:t>
            </w:r>
          </w:p>
        </w:tc>
        <w:tc>
          <w:tcPr>
            <w:tcW w:w="3961" w:type="dxa"/>
          </w:tcPr>
          <w:p>
            <w:pPr/>
            <w:r>
              <w:t xml:space="preserve">Cambia el UPN al valor de la columna </w:t>
            </w:r>
            <w:r>
              <w:rPr>
                <w:rStyle w:val="CodeChar"/>
              </w:rPr>
              <w:t xml:space="preserve">NuevoUPN</w:t>
            </w:r>
            <w:r>
              <w:t xml:space="preserve"> (= correo principal)</w:t>
            </w:r>
          </w:p>
        </w:tc>
        <w:tc>
          <w:tcPr>
            <w:tcW w:w="2664" w:type="dxa"/>
          </w:tcPr>
          <w:p>
            <w:pPr/>
            <w:r>
              <w:t xml:space="preserve">Dominio verificado y UPN no usado por otro objeto</w:t>
            </w:r>
          </w:p>
        </w:tc>
      </w:tr>
    </w:tbl>
    <w:p>
      <w:pPr/>
      <w:r>
        <w:rPr>
          <w:b/>
        </w:rPr>
        <w:t xml:space="preserve">UPN:</w:t>
      </w:r>
      <w:r>
        <w:t xml:space="preserve"> son 20 cuentas con correo en dominio propio. La prioritaria es </w:t>
      </w:r>
      <w:r>
        <w:rPr>
          <w:rStyle w:val="CodeChar"/>
        </w:rPr>
        <w:t xml:space="preserve">direccion@supraterra.onmicrosoft.com</w:t>
      </w:r>
      <w:r>
        <w:t xml:space="preserve"> → </w:t>
      </w:r>
      <w:r>
        <w:rPr>
          <w:rStyle w:val="CodeChar"/>
        </w:rPr>
        <w:t xml:space="preserve">direccion@zirandaro.com.mx</w:t>
      </w:r>
      <w:r>
        <w:t xml:space="preserve"> (Aylen Saenz Galindo, 2 licencias). Después del cambio, el usuario vuelve a iniciar sesión en Outlook, Teams, OneDrive y el autenticador; la URL de su OneDrive cambia y los vínculos compartidos se redirigen. Conviene avisar con anticipación y hacerlo en lotes pequeños.</w:t>
      </w:r>
    </w:p>
    <w:p>
      <w:pPr/>
      <w:r>
        <w:rPr>
          <w:b/>
        </w:rPr>
        <w:t xml:space="preserve">Fuera de los scripts:</w:t>
      </w:r>
      <w:r>
        <w:t xml:space="preserve"> crear las 2 cuentas de emergencia, activar MFA (Security Defaults o acceso condicional), publicar DKIM y DMARC en los 11 dominios, revisar el reenvío externo de </w:t>
      </w:r>
      <w:r>
        <w:rPr>
          <w:rStyle w:val="CodeChar"/>
        </w:rPr>
        <w:t xml:space="preserve">golf@zirandaro.com.mx</w:t>
      </w:r>
      <w:r>
        <w:t xml:space="preserve"> y los consentimientos a ChatGPT, Fillout forms y Apple Internet Accounts. Los dispositivos con unión híbrida (D02) que siguen en uso se reinscriben como unidos a Entra e Intune, y después se da de baja el objeto híbrido.</w:t>
      </w:r>
    </w:p>
    <w:p>
      <w:pPr>
        <w:pStyle w:val="Heading2"/>
      </w:pPr>
      <w:r>
        <w:t xml:space="preserve">Anexo: paquete de scripts</w:t>
      </w:r>
    </w:p>
    <w:p>
      <w:pPr/>
      <w:r>
        <w:t xml:space="preserve">Los scripts van juntos en la carpeta </w:t>
      </w:r>
      <w:r>
        <w:rPr>
          <w:rStyle w:val="CodeChar"/>
        </w:rPr>
        <w:t xml:space="preserve">Depuracion-M365</w:t>
      </w:r>
      <w:r>
        <w:t xml:space="preserve"> y se ejecutan desde ahí, en PowerShell 7. Crean las carpetas </w:t>
      </w:r>
      <w:r>
        <w:rPr>
          <w:rStyle w:val="CodeChar"/>
        </w:rPr>
        <w:t xml:space="preserve">salida</w:t>
      </w:r>
      <w:r>
        <w:t xml:space="preserve"> (CSV y bitácoras) y </w:t>
      </w:r>
      <w:r>
        <w:rPr>
          <w:rStyle w:val="CodeChar"/>
        </w:rPr>
        <w:t xml:space="preserve">respaldo</w:t>
      </w:r>
      <w:r>
        <w:t xml:space="preserve"> (estado previo de cada fase). Cada ejecución deja una bitácora con fecha, operador, objeto, acción y resultado.</w:t>
      </w:r>
    </w:p>
    <w:tbl>
      <w:tblPr>
        <w:tblStyle w:val="TableGrid"/>
        <w:tblW w:w="0" w:type="auto"/>
        <w:tblLayout w:type="fixed"/>
        <w:tblLook w:val="04A0" w:firstRow="1" w:lastRow="0" w:firstColumn="0" w:lastColumn="0" w:noHBand="0" w:noVBand="1"/>
      </w:tblPr>
      <w:tblGrid>
        <w:gridCol w:w="2756"/>
        <w:gridCol w:w="2700"/>
        <w:gridCol w:w="3903"/>
      </w:tblGrid>
      <w:tr>
        <w:trPr>
          <w:tblHeader/>
        </w:trPr>
        <w:tc>
          <w:tcPr>
            <w:tcW w:w="2756" w:type="dxa"/>
            <w:shd w:val="clear" w:color="auto" w:fill="F2F2F2"/>
          </w:tcPr>
          <w:p>
            <w:pPr/>
            <w:r>
              <w:t xml:space="preserve">Archivo</w:t>
            </w:r>
          </w:p>
        </w:tc>
        <w:tc>
          <w:tcPr>
            <w:tcW w:w="2700" w:type="dxa"/>
            <w:shd w:val="clear" w:color="auto" w:fill="F2F2F2"/>
          </w:tcPr>
          <w:p>
            <w:pPr/>
            <w:r>
              <w:t xml:space="preserve">Fase</w:t>
            </w:r>
          </w:p>
        </w:tc>
        <w:tc>
          <w:tcPr>
            <w:tcW w:w="3903" w:type="dxa"/>
            <w:shd w:val="clear" w:color="auto" w:fill="F2F2F2"/>
          </w:tcPr>
          <w:p>
            <w:pPr/>
            <w:r>
              <w:t xml:space="preserve">Cambia el tenant</w:t>
            </w:r>
          </w:p>
        </w:tc>
      </w:tr>
      <w:tr>
        <w:tc>
          <w:tcPr>
            <w:tcW w:w="2756" w:type="dxa"/>
          </w:tcPr>
          <w:p>
            <w:pPr/>
            <w:r>
              <w:rPr>
                <w:rStyle w:val="CodeChar"/>
              </w:rPr>
              <w:t xml:space="preserve">Comun.ps1</w:t>
            </w:r>
          </w:p>
        </w:tc>
        <w:tc>
          <w:tcPr>
            <w:tcW w:w="2700" w:type="dxa"/>
          </w:tcPr>
          <w:p>
            <w:pPr/>
            <w:r>
              <w:t xml:space="preserve">Funciones compartidas: conexión, etiquetas, bitácora</w:t>
            </w:r>
          </w:p>
        </w:tc>
        <w:tc>
          <w:tcPr>
            <w:tcW w:w="3903" w:type="dxa"/>
          </w:tcPr>
          <w:p>
            <w:pPr/>
            <w:r>
              <w:t xml:space="preserve">No (se carga desde los demás)</w:t>
            </w:r>
          </w:p>
        </w:tc>
      </w:tr>
      <w:tr>
        <w:tc>
          <w:tcPr>
            <w:tcW w:w="2756" w:type="dxa"/>
          </w:tcPr>
          <w:p>
            <w:pPr/>
            <w:r>
              <w:rPr>
                <w:rStyle w:val="CodeChar"/>
              </w:rPr>
              <w:t xml:space="preserve">exclusiones.csv</w:t>
            </w:r>
          </w:p>
        </w:tc>
        <w:tc>
          <w:tcPr>
            <w:tcW w:w="2700" w:type="dxa"/>
          </w:tcPr>
          <w:p>
            <w:pPr/>
            <w:r>
              <w:t xml:space="preserve">Cuentas que nunca se proponen para baja</w:t>
            </w:r>
          </w:p>
        </w:tc>
        <w:tc>
          <w:tcPr>
            <w:tcW w:w="3903" w:type="dxa"/>
          </w:tcPr>
          <w:p>
            <w:pPr/>
            <w:r>
              <w:t xml:space="preserve">No</w:t>
            </w:r>
          </w:p>
        </w:tc>
      </w:tr>
      <w:tr>
        <w:tc>
          <w:tcPr>
            <w:tcW w:w="2756" w:type="dxa"/>
          </w:tcPr>
          <w:p>
            <w:pPr/>
            <w:r>
              <w:rPr>
                <w:rStyle w:val="CodeChar"/>
              </w:rPr>
              <w:t xml:space="preserve">00-Prerrequisitos.ps1</w:t>
            </w:r>
          </w:p>
        </w:tc>
        <w:tc>
          <w:tcPr>
            <w:tcW w:w="2700" w:type="dxa"/>
          </w:tcPr>
          <w:p>
            <w:pPr/>
            <w:r>
              <w:t xml:space="preserve">0</w:t>
            </w:r>
          </w:p>
        </w:tc>
        <w:tc>
          <w:tcPr>
            <w:tcW w:w="3903" w:type="dxa"/>
          </w:tcPr>
          <w:p>
            <w:pPr/>
            <w:r>
              <w:t xml:space="preserve">Solo con </w:t>
            </w:r>
            <w:r>
              <w:rPr>
                <w:rStyle w:val="CodeChar"/>
              </w:rPr>
              <w:t xml:space="preserve">-DesactivarSincronizacion -Ejecutar</w:t>
            </w:r>
          </w:p>
        </w:tc>
      </w:tr>
      <w:tr>
        <w:tc>
          <w:tcPr>
            <w:tcW w:w="2756" w:type="dxa"/>
          </w:tcPr>
          <w:p>
            <w:pPr/>
            <w:r>
              <w:rPr>
                <w:rStyle w:val="CodeChar"/>
              </w:rPr>
              <w:t xml:space="preserve">01-Identificacion.ps1</w:t>
            </w:r>
          </w:p>
        </w:tc>
        <w:tc>
          <w:tcPr>
            <w:tcW w:w="2700" w:type="dxa"/>
          </w:tcPr>
          <w:p>
            <w:pPr/>
            <w:r>
              <w:t xml:space="preserve">1</w:t>
            </w:r>
          </w:p>
        </w:tc>
        <w:tc>
          <w:tcPr>
            <w:tcW w:w="3903" w:type="dxa"/>
          </w:tcPr>
          <w:p>
            <w:pPr/>
            <w:r>
              <w:t xml:space="preserve">No</w:t>
            </w:r>
          </w:p>
        </w:tc>
      </w:tr>
      <w:tr>
        <w:tc>
          <w:tcPr>
            <w:tcW w:w="2756" w:type="dxa"/>
          </w:tcPr>
          <w:p>
            <w:pPr/>
            <w:r>
              <w:rPr>
                <w:rStyle w:val="CodeChar"/>
              </w:rPr>
              <w:t xml:space="preserve">02-Etiquetar.ps1</w:t>
            </w:r>
          </w:p>
        </w:tc>
        <w:tc>
          <w:tcPr>
            <w:tcW w:w="2700" w:type="dxa"/>
          </w:tcPr>
          <w:p>
            <w:pPr/>
            <w:r>
              <w:t xml:space="preserve">2</w:t>
            </w:r>
          </w:p>
        </w:tc>
        <w:tc>
          <w:tcPr>
            <w:tcW w:w="3903" w:type="dxa"/>
          </w:tcPr>
          <w:p>
            <w:pPr/>
            <w:r>
              <w:t xml:space="preserve">Con </w:t>
            </w:r>
            <w:r>
              <w:rPr>
                <w:rStyle w:val="CodeChar"/>
              </w:rPr>
              <w:t xml:space="preserve">-Ejecutar</w:t>
            </w:r>
          </w:p>
        </w:tc>
      </w:tr>
      <w:tr>
        <w:tc>
          <w:tcPr>
            <w:tcW w:w="2756" w:type="dxa"/>
          </w:tcPr>
          <w:p>
            <w:pPr/>
            <w:r>
              <w:rPr>
                <w:rStyle w:val="CodeChar"/>
              </w:rPr>
              <w:t xml:space="preserve">03-Deshabilitar.ps1</w:t>
            </w:r>
          </w:p>
        </w:tc>
        <w:tc>
          <w:tcPr>
            <w:tcW w:w="2700" w:type="dxa"/>
          </w:tcPr>
          <w:p>
            <w:pPr/>
            <w:r>
              <w:t xml:space="preserve">3</w:t>
            </w:r>
          </w:p>
        </w:tc>
        <w:tc>
          <w:tcPr>
            <w:tcW w:w="3903" w:type="dxa"/>
          </w:tcPr>
          <w:p>
            <w:pPr/>
            <w:r>
              <w:t xml:space="preserve">Con </w:t>
            </w:r>
            <w:r>
              <w:rPr>
                <w:rStyle w:val="CodeChar"/>
              </w:rPr>
              <w:t xml:space="preserve">-Ejecutar</w:t>
            </w:r>
          </w:p>
        </w:tc>
      </w:tr>
      <w:tr>
        <w:tc>
          <w:tcPr>
            <w:tcW w:w="2756" w:type="dxa"/>
          </w:tcPr>
          <w:p>
            <w:pPr/>
            <w:r>
              <w:rPr>
                <w:rStyle w:val="CodeChar"/>
              </w:rPr>
              <w:t xml:space="preserve">03b-Revertir.ps1</w:t>
            </w:r>
          </w:p>
        </w:tc>
        <w:tc>
          <w:tcPr>
            <w:tcW w:w="2700" w:type="dxa"/>
          </w:tcPr>
          <w:p>
            <w:pPr/>
            <w:r>
              <w:t xml:space="preserve">Reversión de 2 y 3</w:t>
            </w:r>
          </w:p>
        </w:tc>
        <w:tc>
          <w:tcPr>
            <w:tcW w:w="3903" w:type="dxa"/>
          </w:tcPr>
          <w:p>
            <w:pPr/>
            <w:r>
              <w:t xml:space="preserve">Con </w:t>
            </w:r>
            <w:r>
              <w:rPr>
                <w:rStyle w:val="CodeChar"/>
              </w:rPr>
              <w:t xml:space="preserve">-Ejecutar</w:t>
            </w:r>
          </w:p>
        </w:tc>
      </w:tr>
      <w:tr>
        <w:tc>
          <w:tcPr>
            <w:tcW w:w="2756" w:type="dxa"/>
          </w:tcPr>
          <w:p>
            <w:pPr/>
            <w:r>
              <w:rPr>
                <w:rStyle w:val="CodeChar"/>
              </w:rPr>
              <w:t xml:space="preserve">04-Eliminar.ps1</w:t>
            </w:r>
          </w:p>
        </w:tc>
        <w:tc>
          <w:tcPr>
            <w:tcW w:w="2700" w:type="dxa"/>
          </w:tcPr>
          <w:p>
            <w:pPr/>
            <w:r>
              <w:t xml:space="preserve">4</w:t>
            </w:r>
          </w:p>
        </w:tc>
        <w:tc>
          <w:tcPr>
            <w:tcW w:w="3903" w:type="dxa"/>
          </w:tcPr>
          <w:p>
            <w:pPr/>
            <w:r>
              <w:t xml:space="preserve">Con </w:t>
            </w:r>
            <w:r>
              <w:rPr>
                <w:rStyle w:val="CodeChar"/>
              </w:rPr>
              <w:t xml:space="preserve">-Ejecutar</w:t>
            </w:r>
            <w:r>
              <w:t xml:space="preserve"> y confirmación </w:t>
            </w:r>
            <w:r>
              <w:rPr>
                <w:rStyle w:val="CodeChar"/>
              </w:rPr>
              <w:t xml:space="preserve">ELIMINAR</w:t>
            </w:r>
          </w:p>
        </w:tc>
      </w:tr>
      <w:tr>
        <w:tc>
          <w:tcPr>
            <w:tcW w:w="2756" w:type="dxa"/>
          </w:tcPr>
          <w:p>
            <w:pPr/>
            <w:r>
              <w:rPr>
                <w:rStyle w:val="CodeChar"/>
              </w:rPr>
              <w:t xml:space="preserve">04b-Restaurar.ps1</w:t>
            </w:r>
          </w:p>
        </w:tc>
        <w:tc>
          <w:tcPr>
            <w:tcW w:w="2700" w:type="dxa"/>
          </w:tcPr>
          <w:p>
            <w:pPr/>
            <w:r>
              <w:t xml:space="preserve">Reversión de 4</w:t>
            </w:r>
          </w:p>
        </w:tc>
        <w:tc>
          <w:tcPr>
            <w:tcW w:w="3903" w:type="dxa"/>
          </w:tcPr>
          <w:p>
            <w:pPr/>
            <w:r>
              <w:t xml:space="preserve">Con </w:t>
            </w:r>
            <w:r>
              <w:rPr>
                <w:rStyle w:val="CodeChar"/>
              </w:rPr>
              <w:t xml:space="preserve">-Ejecutar</w:t>
            </w:r>
          </w:p>
        </w:tc>
      </w:tr>
      <w:tr>
        <w:tc>
          <w:tcPr>
            <w:tcW w:w="2756" w:type="dxa"/>
          </w:tcPr>
          <w:p>
            <w:pPr/>
            <w:r>
              <w:rPr>
                <w:rStyle w:val="CodeChar"/>
              </w:rPr>
              <w:t xml:space="preserve">05-Ajustes.ps1</w:t>
            </w:r>
          </w:p>
        </w:tc>
        <w:tc>
          <w:tcPr>
            <w:tcW w:w="2700" w:type="dxa"/>
          </w:tcPr>
          <w:p>
            <w:pPr/>
            <w:r>
              <w:t xml:space="preserve">Ajustes</w:t>
            </w:r>
          </w:p>
        </w:tc>
        <w:tc>
          <w:tcPr>
            <w:tcW w:w="3903" w:type="dxa"/>
          </w:tcPr>
          <w:p>
            <w:pPr/>
            <w:r>
              <w:t xml:space="preserve">Con </w:t>
            </w:r>
            <w:r>
              <w:rPr>
                <w:rStyle w:val="CodeChar"/>
              </w:rPr>
              <w:t xml:space="preserve">-Ejecutar</w:t>
            </w:r>
          </w:p>
        </w:tc>
      </w:tr>
    </w:tbl>
    <w:p>
      <w:pPr/>
      <w:r>
        <w:rPr>
          <w:b/>
        </w:rPr>
        <w:t xml:space="preserve">Roles del operador</w:t>
      </w:r>
      <w:r>
        <w:t xml:space="preserve"> (asignar con PIM solo durante la ventana de trabajo): User Administrator, Groups Administrator, Exchange Administrator, License Administrator, Cloud Device Administrator e Intune Administrator si se usa </w:t>
      </w:r>
      <w:r>
        <w:rPr>
          <w:rStyle w:val="CodeChar"/>
        </w:rPr>
        <w:t xml:space="preserve">-IncluirIntune</w:t>
      </w:r>
      <w:r>
        <w:t xml:space="preserve">. Para apagar la marca de sincronización en la Fase 0 se requiere Global Administrator o Hybrid Identity Administrator. El primer </w:t>
      </w:r>
      <w:r>
        <w:rPr>
          <w:rStyle w:val="CodeChar"/>
        </w:rPr>
        <w:t xml:space="preserve">Connect-MgGraph</w:t>
      </w:r>
      <w:r>
        <w:t xml:space="preserve"> pide consentimiento para los permisos de Microsoft Graph que define </w:t>
      </w:r>
      <w:r>
        <w:rPr>
          <w:rStyle w:val="CodeChar"/>
        </w:rPr>
        <w:t xml:space="preserve">Comun.ps1</w:t>
      </w:r>
      <w:r>
        <w:t xml:space="preserve">.</w:t>
      </w:r>
    </w:p>
    <w:p>
      <w:pPr/>
      <w:r>
        <w:rPr>
          <w:b/>
        </w:rPr>
        <w:t xml:space="preserve">Orden de ejecución recomendado</w:t>
      </w:r>
    </w:p>
    <w:p>
      <w:pPr>
        <w:pStyle w:val="ListParagraph"/>
        <w:numPr>
          <w:ilvl w:val="0"/>
          <w:numId w:val="6"/>
        </w:numPr>
      </w:pPr>
      <w:r>
        <w:t xml:space="preserve">Correr </w:t>
      </w:r>
      <w:r>
        <w:rPr>
          <w:rStyle w:val="CodeChar"/>
        </w:rPr>
        <w:t xml:space="preserve">00-Prerrequisitos.ps1</w:t>
      </w:r>
      <w:r>
        <w:t xml:space="preserve"> y cerrar su lista de verificación.</w:t>
      </w:r>
    </w:p>
    <w:p>
      <w:pPr>
        <w:pStyle w:val="ListParagraph"/>
        <w:numPr>
          <w:ilvl w:val="0"/>
          <w:numId w:val="6"/>
        </w:numPr>
      </w:pPr>
      <w:r>
        <w:t xml:space="preserve">Correr </w:t>
      </w:r>
      <w:r>
        <w:rPr>
          <w:rStyle w:val="CodeChar"/>
        </w:rPr>
        <w:t xml:space="preserve">01-Identificacion.ps1</w:t>
      </w:r>
      <w:r>
        <w:t xml:space="preserve">, entregar los 3 CSV al cliente y recibir el CSV aprobado.</w:t>
      </w:r>
    </w:p>
    <w:p>
      <w:pPr>
        <w:pStyle w:val="ListParagraph"/>
        <w:numPr>
          <w:ilvl w:val="0"/>
          <w:numId w:val="6"/>
        </w:numPr>
      </w:pPr>
      <w:r>
        <w:t xml:space="preserve">Probar todo el ciclo con 2 o 3 cuentas piloto: simulación, </w:t>
      </w:r>
      <w:r>
        <w:rPr>
          <w:rStyle w:val="CodeChar"/>
        </w:rPr>
        <w:t xml:space="preserve">-Ejecutar</w:t>
      </w:r>
      <w:r>
        <w:t xml:space="preserve"> y reversión.</w:t>
      </w:r>
    </w:p>
    <w:p>
      <w:pPr>
        <w:pStyle w:val="ListParagraph"/>
        <w:numPr>
          <w:ilvl w:val="0"/>
          <w:numId w:val="6"/>
        </w:numPr>
      </w:pPr>
      <w:r>
        <w:t xml:space="preserve">Correr </w:t>
      </w:r>
      <w:r>
        <w:rPr>
          <w:rStyle w:val="CodeChar"/>
        </w:rPr>
        <w:t xml:space="preserve">02-Etiquetar.ps1</w:t>
      </w:r>
      <w:r>
        <w:t xml:space="preserve"> sobre el CSV aprobado y enviar la notificación.</w:t>
      </w:r>
    </w:p>
    <w:p>
      <w:pPr>
        <w:pStyle w:val="ListParagraph"/>
        <w:numPr>
          <w:ilvl w:val="0"/>
          <w:numId w:val="6"/>
        </w:numPr>
      </w:pPr>
      <w:r>
        <w:t xml:space="preserve">Correr </w:t>
      </w:r>
      <w:r>
        <w:rPr>
          <w:rStyle w:val="CodeChar"/>
        </w:rPr>
        <w:t xml:space="preserve">03-Deshabilitar.ps1</w:t>
      </w:r>
      <w:r>
        <w:t xml:space="preserve"> después de 7 a 14 días, en lotes de 50.</w:t>
      </w:r>
    </w:p>
    <w:p>
      <w:pPr>
        <w:pStyle w:val="ListParagraph"/>
        <w:numPr>
          <w:ilvl w:val="0"/>
          <w:numId w:val="6"/>
        </w:numPr>
      </w:pPr>
      <w:r>
        <w:t xml:space="preserve">Correr </w:t>
      </w:r>
      <w:r>
        <w:rPr>
          <w:rStyle w:val="CodeChar"/>
        </w:rPr>
        <w:t xml:space="preserve">04-Eliminar.ps1</w:t>
      </w:r>
      <w:r>
        <w:t xml:space="preserve"> después de 30 días.</w:t>
      </w:r>
    </w:p>
    <w:p>
      <w:pPr>
        <w:pStyle w:val="ListParagraph"/>
        <w:numPr>
          <w:ilvl w:val="0"/>
          <w:numId w:val="6"/>
        </w:numPr>
      </w:pPr>
      <w:r>
        <w:t xml:space="preserve">Volver a correr </w:t>
      </w:r>
      <w:r>
        <w:rPr>
          <w:rStyle w:val="CodeChar"/>
        </w:rPr>
        <w:t xml:space="preserve">01-Identificacion.ps1</w:t>
      </w:r>
      <w:r>
        <w:t xml:space="preserve"> y medir de nuevo el Secure Score para documentar el resultado.</w:t>
      </w:r>
    </w:p>
    <w:p>
      <w:pPr/>
      <w:r>
        <w:t xml:space="preserve">Los scripts pasaron validación de sintaxis en PowerShell 7.4, pero no se probaron contra el tenant. Por eso el paso 3 con cuentas piloto es obligatorio.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Hallazgos Health Check M365 – Depuración del tenant full cloud (Supra Terra)</dc:title>
  <dc:description>Claude Docs node/d39b4d23-88dd@26 docx-w7</dc:description>
  <cp:revision>26</cp:revision>
</cp:coreProperties>
</file>