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Bdr>
          <w:bottom w:val="single" w:color="2E75B6" w:sz="18" w:space="6"/>
        </w:pBdr>
        <w:jc w:val="left"/>
      </w:pPr>
      <w:r>
        <w:rPr>
          <w:b/>
          <w:bCs/>
          <w:color w:val="2E75B6"/>
          <w:sz w:val="28"/>
          <w:szCs w:val="28"/>
        </w:rPr>
        <w:t xml:space="preserve">PROPUESTA DE SERVICIOS</w:t>
      </w:r>
    </w:p>
    <w:p>
      <w:pPr>
        <w:spacing w:after="120" w:before="240"/>
      </w:pPr>
      <w:r>
        <w:rPr>
          <w:b/>
          <w:bCs/>
          <w:color w:val="1F3864"/>
          <w:sz w:val="52"/>
          <w:szCs w:val="52"/>
        </w:rPr>
        <w:t xml:space="preserve">Migración de Base de Datos MariaDB</w:t>
      </w:r>
    </w:p>
    <w:p>
      <w:pPr>
        <w:spacing w:after="600"/>
      </w:pPr>
      <w:r>
        <w:rPr>
          <w:color w:val="404040"/>
          <w:sz w:val="32"/>
          <w:szCs w:val="32"/>
        </w:rPr>
        <w:t xml:space="preserve">De Windows Server 2026 a Ubuntu Server 26.04 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Concepto</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Detalle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Cliente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[Nombre del cliente]</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Preparado por</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[Nombre de su empresa]</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Folio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PS-MDB-2026-001</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Fecha</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19 de octubre de 2026</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Versión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1.0 – Borrador para revisión</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Vigencia</w:t>
            </w:r>
          </w:p>
        </w:tc>
        <w:tc>
          <w:tcPr>
            <w:tcW w:type="dxa" w:w="6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30 días naturales a partir de la fecha de emisión</w:t>
            </w:r>
          </w:p>
        </w:tc>
      </w:tr>
    </w:tbl>
    <w:p>
      <w:r>
        <w:br w:type="page"/>
      </w:r>
    </w:p>
    <w:p>
      <w:pPr>
        <w:spacing w:after="200"/>
      </w:pPr>
      <w:r>
        <w:rPr>
          <w:b/>
          <w:bCs/>
          <w:color w:val="1F3864"/>
          <w:sz w:val="32"/>
          <w:szCs w:val="32"/>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 ejecutivo</w:t>
      </w:r>
    </w:p>
    <w:p>
      <w:pPr>
        <w:spacing w:after="120" w:line="276"/>
        <w:jc w:val="both"/>
      </w:pPr>
      <w:r>
        <w:t xml:space="preserve">[Nombre del cliente] opera actualmente su base de datos MariaDB sobre un servidor con Windows Server 2026. Con el objetivo de reducir costos de licenciamiento, mejorar el desempeño y estandarizar su plataforma de datos sobre un sistema operativo ampliamente adoptado para cargas de bases de datos, se plantea migrar la base de datos a un nuevo servidor con Ubuntu Server 26.04 LTS y MariaDB.</w:t>
      </w:r>
    </w:p>
    <w:p>
      <w:pPr>
        <w:spacing w:after="120" w:line="276"/>
        <w:jc w:val="both"/>
      </w:pPr>
      <w:r>
        <w:t xml:space="preserve">La presente propuesta describe la situación actual, los objetivos, la arquitectura objetivo, la metodología de migración, los requerimientos, el alcance, los supuestos, el calendario de trabajo, la matriz de riesgos y una estimación de costos de infraestructura en Microsoft Azure. La estrategia recomendada es una migración lógica con replicación para minimizar la ventana de corte, con un plan de reversa probado antes del día de la migración.</w:t>
      </w:r>
    </w:p>
    <w:p>
      <w:pPr>
        <w:pStyle w:val="Heading1"/>
      </w:pPr>
      <w:r>
        <w:t xml:space="preserve">2. Situación actual</w:t>
      </w:r>
    </w:p>
    <w:p>
      <w:pPr>
        <w:spacing w:after="120" w:line="276"/>
        <w:jc w:val="both"/>
      </w:pPr>
      <w:r>
        <w:t xml:space="preserve">El cliente cuenta con una instancia de MariaDB instalada sobre Windows Server 2026 que da servicio a una o más aplicaciones de negocio. A partir del levantamiento inicial se identifican las siguientes condiciones: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Elemento</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Situación identificada</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Sistema operativo</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Windows Server 2026 (licenciamiento Windows Server + CALs)</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Motor de base de datos</w:t>
            </w:r>
          </w:p>
        </w:tc>
        <w:tc>
          <w:tcPr>
            <w:tcW w:type="dxa" w:w="6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MariaDB sobre Windows (versión a confirmar en el diagnóstico)</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Tamaño de la base de datos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A confirmar (se estima para esta propuesta un volumen de hasta 100 GB)</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Aplicaciones consumidoras</w:t>
            </w:r>
          </w:p>
        </w:tc>
        <w:tc>
          <w:tcPr>
            <w:tcW w:type="dxa" w:w="6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Aplicaciones del cliente conectadas por TCP 3306 (inventario a confirmar)</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Respaldos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Esquema actual a validar (mariadb-dump / tareas programadas de Windows)</w:t>
            </w:r>
          </w:p>
        </w:tc>
      </w:tr>
      <w:t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Alta disponibilidad</w:t>
            </w:r>
          </w:p>
        </w:tc>
        <w:tc>
          <w:tcPr>
            <w:tcW w:type="dxa" w:w="65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Instancia única, sin réplica (a confirmar)</w:t>
            </w:r>
          </w:p>
        </w:tc>
      </w:tr>
      <w:t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Monitoreo</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Limitado o basado en herramientas de Windows</w:t>
            </w:r>
          </w:p>
        </w:tc>
      </w:tr>
    </w:tbl>
    <w:p>
      <w:pPr>
        <w:spacing w:after="120"/>
      </w:pPr>
    </w:p>
    <w:p>
      <w:pPr>
        <w:pStyle w:val="Heading2"/>
      </w:pPr>
      <w:r>
        <w:t xml:space="preserve">2.1 Problemática</w:t>
      </w:r>
    </w:p>
    <w:p>
      <w:pPr>
        <w:pStyle w:val="ListParagraph"/>
        <w:numPr>
          <w:ilvl w:val="0"/>
          <w:numId w:val="2"/>
        </w:numPr>
        <w:spacing w:after="60"/>
      </w:pPr>
      <w:r>
        <w:rPr>
          <w:b/>
          <w:bCs/>
        </w:rPr>
        <w:t xml:space="preserve">Costo de licenciamiento: </w:t>
      </w:r>
      <w:r>
        <w:t xml:space="preserve">el sistema operativo Windows Server genera un costo recurrente que no aporta valor directo a la carga de base de datos.</w:t>
      </w:r>
    </w:p>
    <w:p>
      <w:pPr>
        <w:pStyle w:val="ListParagraph"/>
        <w:numPr>
          <w:ilvl w:val="0"/>
          <w:numId w:val="2"/>
        </w:numPr>
        <w:spacing w:after="60"/>
      </w:pPr>
      <w:r>
        <w:rPr>
          <w:b/>
          <w:bCs/>
        </w:rPr>
        <w:t xml:space="preserve">Desempeño y ecosistema: </w:t>
      </w:r>
      <w:r>
        <w:t xml:space="preserve">MariaDB se desarrolla, prueba y optimiza principalmente sobre Linux; la mayoría de las herramientas de operación (Percona Toolkit, mariadb-backup, PMM, etc.) tienen mejor soporte en esta plataforma.</w:t>
      </w:r>
    </w:p>
    <w:p>
      <w:pPr>
        <w:pStyle w:val="ListParagraph"/>
        <w:numPr>
          <w:ilvl w:val="0"/>
          <w:numId w:val="2"/>
        </w:numPr>
        <w:spacing w:after="60"/>
      </w:pPr>
      <w:r>
        <w:rPr>
          <w:b/>
          <w:bCs/>
        </w:rPr>
        <w:t xml:space="preserve">Operación y automatización: </w:t>
      </w:r>
      <w:r>
        <w:t xml:space="preserve">Linux facilita la automatización de respaldos, parches y monitoreo mediante herramientas estándar (systemd, cron, Ansible).</w:t>
      </w:r>
    </w:p>
    <w:p>
      <w:pPr>
        <w:pStyle w:val="ListParagraph"/>
        <w:numPr>
          <w:ilvl w:val="0"/>
          <w:numId w:val="2"/>
        </w:numPr>
        <w:spacing w:after="60"/>
      </w:pPr>
      <w:r>
        <w:rPr>
          <w:b/>
          <w:bCs/>
        </w:rPr>
        <w:t xml:space="preserve">Diferencias de plataforma no documentadas: </w:t>
      </w:r>
      <w:r>
        <w:t xml:space="preserve">sensibilidad a mayúsculas en nombres de tablas, rutas de archivos, juegos de caracteres y fin de línea, que deben controlarse durante la migración.</w:t>
      </w:r>
    </w:p>
    <w:p>
      <w:pPr>
        <w:pStyle w:val="Heading1"/>
      </w:pPr>
      <w:r>
        <w:t xml:space="preserve">3. Objetivos</w:t>
      </w:r>
    </w:p>
    <w:p>
      <w:pPr>
        <w:pStyle w:val="Heading2"/>
      </w:pPr>
      <w:r>
        <w:t xml:space="preserve">3.1 Objetivo general</w:t>
      </w:r>
    </w:p>
    <w:p>
      <w:pPr>
        <w:spacing w:after="120" w:line="276"/>
        <w:jc w:val="both"/>
      </w:pPr>
      <w:r>
        <w:t xml:space="preserve">Migrar de forma segura, íntegra y con el mínimo tiempo de indisponibilidad la base de datos MariaDB del servidor Windows Server 2026 a un nuevo servidor Ubuntu Server 26.04 LTS con MariaDB, garantizando la continuidad operativa de las aplicaciones del cliente.</w:t>
      </w:r>
    </w:p>
    <w:p>
      <w:pPr>
        <w:pStyle w:val="Heading2"/>
      </w:pPr>
      <w:r>
        <w:t xml:space="preserve">3.2 Objetivos específicos</w:t>
      </w:r>
    </w:p>
    <w:p>
      <w:pPr>
        <w:pStyle w:val="ListParagraph"/>
        <w:numPr>
          <w:ilvl w:val="0"/>
          <w:numId w:val="2"/>
        </w:numPr>
        <w:spacing w:after="60"/>
      </w:pPr>
      <w:r>
        <w:t xml:space="preserve">Realizar un diagnóstico técnico completo de la instancia origen (versión, tamaño, objetos, usuarios, configuración y dependencias).</w:t>
      </w:r>
    </w:p>
    <w:p>
      <w:pPr>
        <w:pStyle w:val="ListParagraph"/>
        <w:numPr>
          <w:ilvl w:val="0"/>
          <w:numId w:val="2"/>
        </w:numPr>
        <w:spacing w:after="60"/>
      </w:pPr>
      <w:r>
        <w:t xml:space="preserve">Construir y endurecer (hardening) el servidor destino Ubuntu 26.04 LTS con MariaDB 11.8 LTS.</w:t>
      </w:r>
    </w:p>
    <w:p>
      <w:pPr>
        <w:pStyle w:val="ListParagraph"/>
        <w:numPr>
          <w:ilvl w:val="0"/>
          <w:numId w:val="2"/>
        </w:numPr>
        <w:spacing w:after="60"/>
      </w:pPr>
      <w:r>
        <w:t xml:space="preserve">Migrar el 100% de los esquemas, datos, rutinas, vistas, triggers, eventos, usuarios y privilegios.</w:t>
      </w:r>
    </w:p>
    <w:p>
      <w:pPr>
        <w:pStyle w:val="ListParagraph"/>
        <w:numPr>
          <w:ilvl w:val="0"/>
          <w:numId w:val="2"/>
        </w:numPr>
        <w:spacing w:after="60"/>
      </w:pPr>
      <w:r>
        <w:t xml:space="preserve">Limitar la ventana de corte a un máximo de 2 horas mediante replicación origen → destino.</w:t>
      </w:r>
    </w:p>
    <w:p>
      <w:pPr>
        <w:pStyle w:val="ListParagraph"/>
        <w:numPr>
          <w:ilvl w:val="0"/>
          <w:numId w:val="2"/>
        </w:numPr>
        <w:spacing w:after="60"/>
      </w:pPr>
      <w:r>
        <w:t xml:space="preserve">Validar la integridad de los datos (conteo de registros y checksums) y el funcionamiento de las aplicaciones.</w:t>
      </w:r>
    </w:p>
    <w:p>
      <w:pPr>
        <w:pStyle w:val="ListParagraph"/>
        <w:numPr>
          <w:ilvl w:val="0"/>
          <w:numId w:val="2"/>
        </w:numPr>
        <w:spacing w:after="60"/>
      </w:pPr>
      <w:r>
        <w:t xml:space="preserve">Implementar respaldos automatizados y monitoreo básico en el nuevo servidor.</w:t>
      </w:r>
    </w:p>
    <w:p>
      <w:pPr>
        <w:pStyle w:val="ListParagraph"/>
        <w:numPr>
          <w:ilvl w:val="0"/>
          <w:numId w:val="2"/>
        </w:numPr>
        <w:spacing w:after="60"/>
      </w:pPr>
      <w:r>
        <w:t xml:space="preserve">Entregar documentación técnica, procedimientos operativos y transferencia de conocimiento.</w:t>
      </w:r>
    </w:p>
    <w:p>
      <w:pPr>
        <w:pStyle w:val="Heading1"/>
      </w:pPr>
      <w:r>
        <w:t xml:space="preserve">4. Arquitectura</w:t>
      </w:r>
    </w:p>
    <w:p>
      <w:pPr>
        <w:pStyle w:val="Heading2"/>
      </w:pPr>
      <w:r>
        <w:t xml:space="preserve">4.1 Arquitectura actual (origen)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Capa</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Componente</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Detalle</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Aplicación</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Aplicaciones del cliente</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Conexión por TCP 3306 hacia el servidor Windows</w:t>
            </w:r>
          </w:p>
        </w:tc>
      </w:tr>
      <w:t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Sistema operativo</w:t>
            </w:r>
          </w:p>
        </w:tc>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Windows Server 2026</w:t>
            </w:r>
          </w:p>
        </w:tc>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Servicio de Windows para MariaDB</w:t>
            </w:r>
          </w:p>
        </w:tc>
      </w:tr>
      <w:tr>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Base de datos</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MariaDB (Windows)</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Datos en C:\Program Files\MariaDB x.x\data (típico)</w:t>
            </w:r>
          </w:p>
        </w:tc>
      </w:tr>
      <w:tr>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Respaldo</w:t>
            </w:r>
          </w:p>
        </w:tc>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Tareas programadas</w:t>
            </w:r>
          </w:p>
        </w:tc>
        <w:tc>
          <w:tcPr>
            <w:tcW w:type="dxa" w:w="312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Esquema a validar</w:t>
            </w:r>
          </w:p>
        </w:tc>
      </w:tr>
    </w:tbl>
    <w:p>
      <w:pPr>
        <w:spacing w:after="120"/>
      </w:pPr>
    </w:p>
    <w:p>
      <w:pPr>
        <w:pStyle w:val="Heading2"/>
      </w:pPr>
      <w:r>
        <w:t xml:space="preserve">4.2 Arquitectura objetivo (destino)</w:t>
      </w:r>
    </w:p>
    <w:p>
      <w:pPr>
        <w:spacing w:after="120" w:line="276"/>
        <w:jc w:val="both"/>
      </w:pPr>
      <w:r>
        <w:t xml:space="preserve">Se propone desplegar el nuevo servidor como máquina virtual en Microsoft Azure (región México Central) o, alternativamente, en la infraestructura on‑premise del cliente. La arquitectura objetivo en Azure es la siguiente: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Capa</w:t>
            </w:r>
          </w:p>
        </w:tc>
        <w:tc>
          <w:tcPr>
            <w:tcW w:type="dxa" w:w="32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Componente</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Detalle</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Red</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Virtual Network + Subnet de datos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Subred privada dedicada a base de datos; sin IP pública directa al puerto 3306</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Seguridad perimetral</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Network Security Group (NSG)</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Solo se permite 3306 desde subredes/IPs de aplicación; SSH solo desde VPN o Azure Bastion</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Cómputo</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VM Linux D4as v7 (4 vCPU / 16 GB)</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Ubuntu Server 26.04 LTS; tamaño a ajustar tras el diagnóstico</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Almacenamiento</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Premium SSD v2 / Premium SSD</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Disco de SO + disco de datos dedicado para /var/lib/mariadb</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Base de datos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MariaDB 11.8 LTS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Paquete oficial de Ubuntu (repositorio main), configuración optimizada InnoDB</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Respaldo</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Azure Backup + mariadb-backup</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Snapshot diario de VM + respaldo lógico/físico de base de datos</w:t>
            </w:r>
          </w:p>
        </w:tc>
      </w:tr>
      <w:t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Monitoreo</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Azure Monitor + logs de MariaDB</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Alertas de CPU, disco, memoria, disponibilidad y errores</w:t>
            </w:r>
          </w:p>
        </w:tc>
      </w:tr>
      <w:t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Conectividad</w:t>
            </w:r>
          </w:p>
        </w:tc>
        <w:tc>
          <w:tcPr>
            <w:tcW w:type="dxa" w:w="32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VPN Site‑to‑Site o ExpressRoute</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Para aplicaciones que permanecen on‑premise (si aplica)</w:t>
            </w:r>
          </w:p>
        </w:tc>
      </w:tr>
    </w:tbl>
    <w:p>
      <w:pPr>
        <w:spacing w:after="120"/>
      </w:pPr>
    </w:p>
    <w:p>
      <w:pPr>
        <w:pStyle w:val="Heading2"/>
      </w:pPr>
      <w:r>
        <w:t xml:space="preserve">4.3 Flujo de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ORIGEN</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TRANSPORTE</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DESTINO</w:t>
            </w:r>
          </w:p>
        </w:tc>
      </w:tr>
      <w:tr>
        <w:tc>
          <w:tcPr>
            <w:tcW w:type="dxa" w:w="312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0"/>
              <w:jc w:val="center"/>
            </w:pPr>
            <w:r>
              <w:rPr>
                <w:sz w:val="19"/>
                <w:szCs w:val="19"/>
              </w:rPr>
              <w:t xml:space="preserve">Windows Server 2026</w:t>
            </w:r>
          </w:p>
          <w:p>
            <w:pPr>
              <w:spacing w:after="0"/>
              <w:jc w:val="center"/>
            </w:pPr>
            <w:r>
              <w:rPr>
                <w:sz w:val="19"/>
                <w:szCs w:val="19"/>
              </w:rPr>
              <w:t xml:space="preserve">MariaDB (primario)</w:t>
            </w:r>
          </w:p>
        </w:tc>
        <w:tc>
          <w:tcPr>
            <w:tcW w:type="dxa" w:w="312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center"/>
            </w:pPr>
            <w:r>
              <w:rPr>
                <w:sz w:val="19"/>
                <w:szCs w:val="19"/>
              </w:rPr>
              <w:t xml:space="preserve">1. Carga inicial: mariadb-dump</w:t>
            </w:r>
          </w:p>
          <w:p>
            <w:pPr>
              <w:spacing w:after="0"/>
              <w:jc w:val="center"/>
            </w:pPr>
            <w:r>
              <w:rPr>
                <w:sz w:val="19"/>
                <w:szCs w:val="19"/>
              </w:rPr>
              <w:t xml:space="preserve">2. Replicación binlog (GTID)</w:t>
            </w:r>
          </w:p>
          <w:p>
            <w:pPr>
              <w:spacing w:after="0"/>
              <w:jc w:val="center"/>
            </w:pPr>
            <w:r>
              <w:rPr>
                <w:sz w:val="19"/>
                <w:szCs w:val="19"/>
              </w:rPr>
              <w:t xml:space="preserve">Canal cifrado (TLS / VPN)</w:t>
            </w:r>
          </w:p>
        </w:tc>
        <w:tc>
          <w:tcPr>
            <w:tcW w:type="dxa" w:w="312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0"/>
              <w:jc w:val="center"/>
            </w:pPr>
            <w:r>
              <w:rPr>
                <w:sz w:val="19"/>
                <w:szCs w:val="19"/>
              </w:rPr>
              <w:t xml:space="preserve">Ubuntu Server 26.04 LTS</w:t>
            </w:r>
          </w:p>
          <w:p>
            <w:pPr>
              <w:spacing w:after="0"/>
              <w:jc w:val="center"/>
            </w:pPr>
            <w:r>
              <w:rPr>
                <w:sz w:val="19"/>
                <w:szCs w:val="19"/>
              </w:rPr>
              <w:t xml:space="preserve">MariaDB 11.8 (réplica → primario)</w:t>
            </w:r>
          </w:p>
        </w:tc>
      </w:tr>
    </w:tbl>
    <w:p>
      <w:pPr>
        <w:spacing w:after="160" w:before="60"/>
      </w:pPr>
      <w:r>
        <w:rPr>
          <w:i/>
          <w:iCs/>
          <w:color w:val="595959"/>
          <w:sz w:val="17"/>
          <w:szCs w:val="17"/>
        </w:rPr>
        <w:t xml:space="preserve">En el día de corte se detiene la escritura en el origen, se verifica que la réplica esté sincronizada, se promueve el servidor Ubuntu como primario y se redirigen las aplicaciones.</w:t>
      </w:r>
    </w:p>
    <w:p>
      <w:pPr>
        <w:pStyle w:val="Heading1"/>
      </w:pPr>
      <w:r>
        <w:t xml:space="preserve">5. Solución propuesta</w:t>
      </w:r>
    </w:p>
    <w:p>
      <w:pPr>
        <w:spacing w:after="120" w:line="276"/>
        <w:jc w:val="both"/>
      </w:pPr>
      <w:r>
        <w:t xml:space="preserve">Se propone una migración lógica con replicación, metodología que permite cambiar de sistema operativo y, en su caso, de versión de MariaDB, manteniendo la base de datos origen en operación hasta el momento del corte. La solución se ejecuta en seis fases:</w:t>
      </w:r>
    </w:p>
    <w:p>
      <w:pPr>
        <w:pStyle w:val="Heading2"/>
      </w:pPr>
      <w:r>
        <w:t xml:space="preserve">Fase 1. Diagnóstico y planeación</w:t>
      </w:r>
    </w:p>
    <w:p>
      <w:pPr>
        <w:pStyle w:val="ListParagraph"/>
        <w:numPr>
          <w:ilvl w:val="0"/>
          <w:numId w:val="2"/>
        </w:numPr>
        <w:spacing w:after="60"/>
      </w:pPr>
      <w:r>
        <w:t xml:space="preserve">Inventario de bases de datos, tamaño, motores de almacenamiento (InnoDB/MyISAM/Aria), objetos y usuarios.</w:t>
      </w:r>
    </w:p>
    <w:p>
      <w:pPr>
        <w:pStyle w:val="ListParagraph"/>
        <w:numPr>
          <w:ilvl w:val="0"/>
          <w:numId w:val="2"/>
        </w:numPr>
        <w:spacing w:after="60"/>
      </w:pPr>
      <w:r>
        <w:t xml:space="preserve">Revisión de versión origen y compatibilidad con MariaDB 11.8 (funciones obsoletas, cambios de sql_mode, collations).</w:t>
      </w:r>
    </w:p>
    <w:p>
      <w:pPr>
        <w:pStyle w:val="ListParagraph"/>
        <w:numPr>
          <w:ilvl w:val="0"/>
          <w:numId w:val="2"/>
        </w:numPr>
        <w:spacing w:after="60"/>
      </w:pPr>
      <w:r>
        <w:t xml:space="preserve">Identificación de diferencias Windows → Linux: lower_case_table_names, rutas, charset/collation (utf8mb4), zonas horarias.</w:t>
      </w:r>
    </w:p>
    <w:p>
      <w:pPr>
        <w:pStyle w:val="ListParagraph"/>
        <w:numPr>
          <w:ilvl w:val="0"/>
          <w:numId w:val="2"/>
        </w:numPr>
        <w:spacing w:after="60"/>
      </w:pPr>
      <w:r>
        <w:t xml:space="preserve">Inventario de aplicaciones, cadenas de conexión, jobs y procesos que acceden a la base.</w:t>
      </w:r>
    </w:p>
    <w:p>
      <w:pPr>
        <w:pStyle w:val="ListParagraph"/>
        <w:numPr>
          <w:ilvl w:val="0"/>
          <w:numId w:val="2"/>
        </w:numPr>
        <w:spacing w:after="60"/>
      </w:pPr>
      <w:r>
        <w:t xml:space="preserve">Definición de ventana de corte, criterios de éxito y plan de reversa.</w:t>
      </w:r>
    </w:p>
    <w:p>
      <w:pPr>
        <w:pStyle w:val="Heading2"/>
      </w:pPr>
      <w:r>
        <w:t xml:space="preserve">Fase 2. Construcción del servidor destino</w:t>
      </w:r>
    </w:p>
    <w:p>
      <w:pPr>
        <w:pStyle w:val="ListParagraph"/>
        <w:numPr>
          <w:ilvl w:val="0"/>
          <w:numId w:val="2"/>
        </w:numPr>
        <w:spacing w:after="60"/>
      </w:pPr>
      <w:r>
        <w:t xml:space="preserve">Aprovisionamiento de la VM, red, NSG y discos en Azure (o servidor on‑premise).</w:t>
      </w:r>
    </w:p>
    <w:p>
      <w:pPr>
        <w:pStyle w:val="ListParagraph"/>
        <w:numPr>
          <w:ilvl w:val="0"/>
          <w:numId w:val="2"/>
        </w:numPr>
        <w:spacing w:after="60"/>
      </w:pPr>
      <w:r>
        <w:t xml:space="preserve">Instalación de Ubuntu Server 26.04 LTS, actualizaciones, NTP, zona horaria y hardening (UFW, SSH por llave, usuarios sin privilegios).</w:t>
      </w:r>
    </w:p>
    <w:p>
      <w:pPr>
        <w:pStyle w:val="ListParagraph"/>
        <w:numPr>
          <w:ilvl w:val="0"/>
          <w:numId w:val="2"/>
        </w:numPr>
        <w:spacing w:after="60"/>
      </w:pPr>
      <w:r>
        <w:t xml:space="preserve">Instalación de MariaDB 11.8 LTS, ejecución de mariadb-secure-installation y ajuste de my.cnf (innodb_buffer_pool_size, log_bin, server_id, binlog_format=ROW, GTID).</w:t>
      </w:r>
    </w:p>
    <w:p>
      <w:pPr>
        <w:pStyle w:val="ListParagraph"/>
        <w:numPr>
          <w:ilvl w:val="0"/>
          <w:numId w:val="2"/>
        </w:numPr>
        <w:spacing w:after="60"/>
      </w:pPr>
      <w:r>
        <w:t xml:space="preserve">Configuración de TLS para conexiones cliente y de replicación.</w:t>
      </w:r>
    </w:p>
    <w:p>
      <w:pPr>
        <w:pStyle w:val="Heading2"/>
      </w:pPr>
      <w:r>
        <w:t xml:space="preserve">Fase 3. Migración de prueba (ensayo)</w:t>
      </w:r>
    </w:p>
    <w:p>
      <w:pPr>
        <w:pStyle w:val="ListParagraph"/>
        <w:numPr>
          <w:ilvl w:val="0"/>
          <w:numId w:val="2"/>
        </w:numPr>
        <w:spacing w:after="60"/>
      </w:pPr>
      <w:r>
        <w:t xml:space="preserve">Respaldo completo del origen con mariadb-dump --single-transaction --routines --triggers --events --master-data/--gtid.</w:t>
      </w:r>
    </w:p>
    <w:p>
      <w:pPr>
        <w:pStyle w:val="ListParagraph"/>
        <w:numPr>
          <w:ilvl w:val="0"/>
          <w:numId w:val="2"/>
        </w:numPr>
        <w:spacing w:after="60"/>
      </w:pPr>
      <w:r>
        <w:t xml:space="preserve">Restauración en destino, migración de usuarios y privilegios, y validación funcional con el cliente.</w:t>
      </w:r>
    </w:p>
    <w:p>
      <w:pPr>
        <w:pStyle w:val="ListParagraph"/>
        <w:numPr>
          <w:ilvl w:val="0"/>
          <w:numId w:val="2"/>
        </w:numPr>
        <w:spacing w:after="60"/>
      </w:pPr>
      <w:r>
        <w:t xml:space="preserve">Medición de tiempos reales de respaldo/restauración para ajustar el plan de corte.</w:t>
      </w:r>
    </w:p>
    <w:p>
      <w:pPr>
        <w:pStyle w:val="Heading2"/>
      </w:pPr>
      <w:r>
        <w:t xml:space="preserve">Fase 4. Sincronización</w:t>
      </w:r>
    </w:p>
    <w:p>
      <w:pPr>
        <w:pStyle w:val="ListParagraph"/>
        <w:numPr>
          <w:ilvl w:val="0"/>
          <w:numId w:val="2"/>
        </w:numPr>
        <w:spacing w:after="60"/>
      </w:pPr>
      <w:r>
        <w:t xml:space="preserve">Carga inicial definitiva y configuración de replicación asíncrona origen (Windows) → destino (Ubuntu) mediante binlog/GTID.</w:t>
      </w:r>
    </w:p>
    <w:p>
      <w:pPr>
        <w:pStyle w:val="ListParagraph"/>
        <w:numPr>
          <w:ilvl w:val="0"/>
          <w:numId w:val="2"/>
        </w:numPr>
        <w:spacing w:after="60"/>
      </w:pPr>
      <w:r>
        <w:t xml:space="preserve">Monitoreo de retraso de replicación (Seconds_Behind_Master) y validación periódica con pt-table-checksum o conteos.</w:t>
      </w:r>
    </w:p>
    <w:p>
      <w:pPr>
        <w:pStyle w:val="Heading2"/>
      </w:pPr>
      <w:r>
        <w:t xml:space="preserve">Fase 5. Corte (Go‑Live)</w:t>
      </w:r>
    </w:p>
    <w:p>
      <w:pPr>
        <w:pStyle w:val="ListParagraph"/>
        <w:numPr>
          <w:ilvl w:val="0"/>
          <w:numId w:val="2"/>
        </w:numPr>
        <w:spacing w:after="60"/>
      </w:pPr>
      <w:r>
        <w:t xml:space="preserve">Congelamiento de cambios y detención de escrituras en aplicaciones.</w:t>
      </w:r>
    </w:p>
    <w:p>
      <w:pPr>
        <w:pStyle w:val="ListParagraph"/>
        <w:numPr>
          <w:ilvl w:val="0"/>
          <w:numId w:val="2"/>
        </w:numPr>
        <w:spacing w:after="60"/>
      </w:pPr>
      <w:r>
        <w:t xml:space="preserve">Verificación de sincronización completa, detención de replicación y promoción del destino a primario.</w:t>
      </w:r>
    </w:p>
    <w:p>
      <w:pPr>
        <w:pStyle w:val="ListParagraph"/>
        <w:numPr>
          <w:ilvl w:val="0"/>
          <w:numId w:val="2"/>
        </w:numPr>
        <w:spacing w:after="60"/>
      </w:pPr>
      <w:r>
        <w:t xml:space="preserve">Cambio de cadenas de conexión o registro DNS hacia el nuevo servidor.</w:t>
      </w:r>
    </w:p>
    <w:p>
      <w:pPr>
        <w:pStyle w:val="ListParagraph"/>
        <w:numPr>
          <w:ilvl w:val="0"/>
          <w:numId w:val="2"/>
        </w:numPr>
        <w:spacing w:after="60"/>
      </w:pPr>
      <w:r>
        <w:t xml:space="preserve">Pruebas de humo con usuarios clave y liberación formal.</w:t>
      </w:r>
    </w:p>
    <w:p>
      <w:pPr>
        <w:pStyle w:val="Heading2"/>
      </w:pPr>
      <w:r>
        <w:t xml:space="preserve">Fase 6. Estabilización y cierre</w:t>
      </w:r>
    </w:p>
    <w:p>
      <w:pPr>
        <w:pStyle w:val="ListParagraph"/>
        <w:numPr>
          <w:ilvl w:val="0"/>
          <w:numId w:val="2"/>
        </w:numPr>
        <w:spacing w:after="60"/>
      </w:pPr>
      <w:r>
        <w:t xml:space="preserve">Soporte post‑migración (hiper‑cuidado) durante 10 días hábiles.</w:t>
      </w:r>
    </w:p>
    <w:p>
      <w:pPr>
        <w:pStyle w:val="ListParagraph"/>
        <w:numPr>
          <w:ilvl w:val="0"/>
          <w:numId w:val="2"/>
        </w:numPr>
        <w:spacing w:after="60"/>
      </w:pPr>
      <w:r>
        <w:t xml:space="preserve">Configuración de respaldos automatizados, retención y prueba de restauración.</w:t>
      </w:r>
    </w:p>
    <w:p>
      <w:pPr>
        <w:pStyle w:val="ListParagraph"/>
        <w:numPr>
          <w:ilvl w:val="0"/>
          <w:numId w:val="2"/>
        </w:numPr>
        <w:spacing w:after="60"/>
      </w:pPr>
      <w:r>
        <w:t xml:space="preserve">Entrega de memoria técnica, runbooks y sesión de transferencia de conocimiento.</w:t>
      </w:r>
    </w:p>
    <w:p>
      <w:pPr>
        <w:pStyle w:val="ListParagraph"/>
        <w:numPr>
          <w:ilvl w:val="0"/>
          <w:numId w:val="2"/>
        </w:numPr>
        <w:spacing w:after="60"/>
      </w:pPr>
      <w:r>
        <w:t xml:space="preserve">El servidor Windows origen se conserva en modo solo lectura como plan de reversa durante el periodo acordado.</w:t>
      </w:r>
    </w:p>
    <w:p>
      <w:pPr>
        <w:pStyle w:val="Heading1"/>
      </w:pPr>
      <w:r>
        <w:t xml:space="preserve">6. Requerimientos técnicos y humanos</w:t>
      </w:r>
    </w:p>
    <w:p>
      <w:pPr>
        <w:pStyle w:val="Heading2"/>
      </w:pPr>
      <w:r>
        <w:t xml:space="preserve">6.1 Requerimientos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Recurso</w:t>
            </w:r>
          </w:p>
        </w:tc>
        <w:tc>
          <w:tcPr>
            <w:tcW w:type="dxa" w:w="33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Mínimo</w:t>
            </w:r>
          </w:p>
        </w:tc>
        <w:tc>
          <w:tcPr>
            <w:tcW w:type="dxa" w:w="33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Recomendado</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vCPU</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2 vCPU</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4 vCPU (ajustable según diagnóstico)</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Memoria RAM</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8 GB</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16 GB</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Disco de SO</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64 GB SSD</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64 GB Premium SSD</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Disco de datos</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2× tamaño actual de la BD</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256 GB Premium SSD (datos + binlogs + respaldos locales)</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Sistema operativo</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Ubuntu Server 26.04 LTS</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Ubuntu Server 26.04 LTS (o Ubuntu Pro para parches extendidos)</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Motor de BD</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MariaDB 11.8 LTS</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MariaDB 11.8 LTS (repositorio oficial de Ubuntu)</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Red</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Conectividad origen ↔ destino por TCP 3306</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VPN Site‑to‑Site cifrada, latencia &lt; 50 ms</w:t>
            </w:r>
          </w:p>
        </w:tc>
      </w:tr>
      <w:t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Accesos</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Usuario administrador en origen y destino</w:t>
            </w:r>
          </w:p>
        </w:tc>
        <w:tc>
          <w:tcPr>
            <w:tcW w:type="dxa" w:w="33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Usuario de replicación dedicado + acceso SSH por llave</w:t>
            </w:r>
          </w:p>
        </w:tc>
      </w:tr>
      <w:t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Herramientas</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mariadb-dump, cliente mariadb</w:t>
            </w:r>
          </w:p>
        </w:tc>
        <w:tc>
          <w:tcPr>
            <w:tcW w:type="dxa" w:w="33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mariadb-backup, Percona Toolkit, Azure Monitor</w:t>
            </w:r>
          </w:p>
        </w:tc>
      </w:tr>
    </w:tbl>
    <w:p>
      <w:pPr>
        <w:spacing w:after="120"/>
      </w:pPr>
    </w:p>
    <w:p>
      <w:pPr>
        <w:pStyle w:val="Heading2"/>
      </w:pPr>
      <w:r>
        <w:t xml:space="preserve">6.2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Rol</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Parte</w:t>
            </w:r>
          </w:p>
        </w:tc>
        <w:tc>
          <w:tcPr>
            <w:tcW w:type="dxa" w:w="5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Responsabilidades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Gerente de proyecto</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Proveedor</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Planeación, seguimiento, control de cambios, reportes de avance y comunicación con el cliente.</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DBA MariaDB Sr.</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Proveedor</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Diagnóstico, configuración, migración, replicación, validación de integridad y afinamiento.</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Ingeniero Linux / Cloud</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Proveedor</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Aprovisionamiento en Azure, instalación y hardening de Ubuntu, red, respaldos y monitoreo.</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Líder técnico / TI</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Cliente</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Accesos, aprobaciones, coordinación interna y gestión de la ventana de corte.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bCs/>
                <w:sz w:val="19"/>
                <w:szCs w:val="19"/>
              </w:rPr>
              <w:t xml:space="preserve">Responsable de aplicaciones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Cliente</w:t>
            </w:r>
          </w:p>
        </w:tc>
        <w:tc>
          <w:tcPr>
            <w:tcW w:type="dxa" w:w="53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b w:val="false"/>
                <w:bCs w:val="false"/>
                <w:sz w:val="19"/>
                <w:szCs w:val="19"/>
              </w:rPr>
              <w:t xml:space="preserve">Inventario de aplicaciones, actualización de cadenas de conexión y pruebas funcionales.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bCs/>
                <w:sz w:val="19"/>
                <w:szCs w:val="19"/>
              </w:rPr>
              <w:t xml:space="preserve">Usuarios clave</w:t>
            </w:r>
          </w:p>
        </w:tc>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Cliente</w:t>
            </w:r>
          </w:p>
        </w:tc>
        <w:tc>
          <w:tcPr>
            <w:tcW w:type="dxa" w:w="53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b w:val="false"/>
                <w:bCs w:val="false"/>
                <w:sz w:val="19"/>
                <w:szCs w:val="19"/>
              </w:rPr>
              <w:t xml:space="preserve">Pruebas de aceptación (UAT) y firma de liberación.</w:t>
            </w:r>
          </w:p>
        </w:tc>
      </w:tr>
    </w:tbl>
    <w:p>
      <w:pPr>
        <w:pStyle w:val="Heading1"/>
      </w:pPr>
      <w:r>
        <w:t xml:space="preserve">7. Alcances</w:t>
      </w:r>
    </w:p>
    <w:p>
      <w:pPr>
        <w:pStyle w:val="ListParagraph"/>
        <w:numPr>
          <w:ilvl w:val="0"/>
          <w:numId w:val="2"/>
        </w:numPr>
        <w:spacing w:after="60"/>
      </w:pPr>
      <w:r>
        <w:t xml:space="preserve">Diagnóstico técnico de la instancia MariaDB origen y entrega de reporte de hallazgos y compatibilidad.</w:t>
      </w:r>
    </w:p>
    <w:p>
      <w:pPr>
        <w:pStyle w:val="ListParagraph"/>
        <w:numPr>
          <w:ilvl w:val="0"/>
          <w:numId w:val="2"/>
        </w:numPr>
        <w:spacing w:after="60"/>
      </w:pPr>
      <w:r>
        <w:t xml:space="preserve">Aprovisionamiento de un (1) servidor Ubuntu Server 26.04 LTS en Azure o en infraestructura del cliente.</w:t>
      </w:r>
    </w:p>
    <w:p>
      <w:pPr>
        <w:pStyle w:val="ListParagraph"/>
        <w:numPr>
          <w:ilvl w:val="0"/>
          <w:numId w:val="2"/>
        </w:numPr>
        <w:spacing w:after="60"/>
      </w:pPr>
      <w:r>
        <w:t xml:space="preserve">Instalación, configuración, afinamiento inicial y hardening de MariaDB 11.8 LTS.</w:t>
      </w:r>
    </w:p>
    <w:p>
      <w:pPr>
        <w:pStyle w:val="ListParagraph"/>
        <w:numPr>
          <w:ilvl w:val="0"/>
          <w:numId w:val="2"/>
        </w:numPr>
        <w:spacing w:after="60"/>
      </w:pPr>
      <w:r>
        <w:t xml:space="preserve">Migración de una (1) instancia MariaDB con todas sus bases de datos, tablas, vistas, procedimientos, funciones, triggers, eventos, usuarios y privilegios.</w:t>
      </w:r>
    </w:p>
    <w:p>
      <w:pPr>
        <w:pStyle w:val="ListParagraph"/>
        <w:numPr>
          <w:ilvl w:val="0"/>
          <w:numId w:val="2"/>
        </w:numPr>
        <w:spacing w:after="60"/>
      </w:pPr>
      <w:r>
        <w:t xml:space="preserve">Una (1) migración de prueba y una (1) migración productiva.</w:t>
      </w:r>
    </w:p>
    <w:p>
      <w:pPr>
        <w:pStyle w:val="ListParagraph"/>
        <w:numPr>
          <w:ilvl w:val="0"/>
          <w:numId w:val="2"/>
        </w:numPr>
        <w:spacing w:after="60"/>
      </w:pPr>
      <w:r>
        <w:t xml:space="preserve">Configuración de replicación temporal para reducir la ventana de corte.</w:t>
      </w:r>
    </w:p>
    <w:p>
      <w:pPr>
        <w:pStyle w:val="ListParagraph"/>
        <w:numPr>
          <w:ilvl w:val="0"/>
          <w:numId w:val="2"/>
        </w:numPr>
        <w:spacing w:after="60"/>
      </w:pPr>
      <w:r>
        <w:t xml:space="preserve">Validación de integridad de datos (conteo de registros y checksums por tabla).</w:t>
      </w:r>
    </w:p>
    <w:p>
      <w:pPr>
        <w:pStyle w:val="ListParagraph"/>
        <w:numPr>
          <w:ilvl w:val="0"/>
          <w:numId w:val="2"/>
        </w:numPr>
        <w:spacing w:after="60"/>
      </w:pPr>
      <w:r>
        <w:t xml:space="preserve">Acompañamiento durante el corte y pruebas de humo.</w:t>
      </w:r>
    </w:p>
    <w:p>
      <w:pPr>
        <w:pStyle w:val="ListParagraph"/>
        <w:numPr>
          <w:ilvl w:val="0"/>
          <w:numId w:val="2"/>
        </w:numPr>
        <w:spacing w:after="60"/>
      </w:pPr>
      <w:r>
        <w:t xml:space="preserve">Configuración de respaldos automatizados y monitoreo básico.</w:t>
      </w:r>
    </w:p>
    <w:p>
      <w:pPr>
        <w:pStyle w:val="ListParagraph"/>
        <w:numPr>
          <w:ilvl w:val="0"/>
          <w:numId w:val="2"/>
        </w:numPr>
        <w:spacing w:after="60"/>
      </w:pPr>
      <w:r>
        <w:t xml:space="preserve">Soporte post‑migración de 10 días hábiles en horario laboral.</w:t>
      </w:r>
    </w:p>
    <w:p>
      <w:pPr>
        <w:pStyle w:val="ListParagraph"/>
        <w:numPr>
          <w:ilvl w:val="0"/>
          <w:numId w:val="2"/>
        </w:numPr>
        <w:spacing w:after="60"/>
      </w:pPr>
      <w:r>
        <w:t xml:space="preserve">Documentación: memoria técnica, diagrama de arquitectura, runbook de operación, procedimiento de respaldo/restauración y plan de reversa.</w:t>
      </w:r>
    </w:p>
    <w:p>
      <w:pPr>
        <w:pStyle w:val="ListParagraph"/>
        <w:numPr>
          <w:ilvl w:val="0"/>
          <w:numId w:val="2"/>
        </w:numPr>
        <w:spacing w:after="60"/>
      </w:pPr>
      <w:r>
        <w:t xml:space="preserve">Una sesión de transferencia de conocimiento (hasta 4 horas) al equipo de TI del cliente.</w:t>
      </w:r>
    </w:p>
    <w:p>
      <w:pPr>
        <w:pStyle w:val="Heading1"/>
      </w:pPr>
      <w:r>
        <w:t xml:space="preserve">8. Fuera de alcance</w:t>
      </w:r>
    </w:p>
    <w:p>
      <w:pPr>
        <w:pStyle w:val="ListParagraph"/>
        <w:numPr>
          <w:ilvl w:val="0"/>
          <w:numId w:val="2"/>
        </w:numPr>
        <w:spacing w:after="60"/>
      </w:pPr>
      <w:r>
        <w:t xml:space="preserve">Modificación, refactorización o pruebas integrales del código de las aplicaciones.</w:t>
      </w:r>
    </w:p>
    <w:p>
      <w:pPr>
        <w:pStyle w:val="ListParagraph"/>
        <w:numPr>
          <w:ilvl w:val="0"/>
          <w:numId w:val="2"/>
        </w:numPr>
        <w:spacing w:after="60"/>
      </w:pPr>
      <w:r>
        <w:t xml:space="preserve">Migración de aplicaciones, servidores web o servicios distintos a la base de datos.</w:t>
      </w:r>
    </w:p>
    <w:p>
      <w:pPr>
        <w:pStyle w:val="ListParagraph"/>
        <w:numPr>
          <w:ilvl w:val="0"/>
          <w:numId w:val="2"/>
        </w:numPr>
        <w:spacing w:after="60"/>
      </w:pPr>
      <w:r>
        <w:t xml:space="preserve">Optimización de consultas SQL o rediseño del modelo de datos (puede cotizarse por separado).</w:t>
      </w:r>
    </w:p>
    <w:p>
      <w:pPr>
        <w:pStyle w:val="ListParagraph"/>
        <w:numPr>
          <w:ilvl w:val="0"/>
          <w:numId w:val="2"/>
        </w:numPr>
        <w:spacing w:after="60"/>
      </w:pPr>
      <w:r>
        <w:t xml:space="preserve">Implementación de alta disponibilidad (Galera Cluster, réplicas permanentes, MaxScale).</w:t>
      </w:r>
    </w:p>
    <w:p>
      <w:pPr>
        <w:pStyle w:val="ListParagraph"/>
        <w:numPr>
          <w:ilvl w:val="0"/>
          <w:numId w:val="2"/>
        </w:numPr>
        <w:spacing w:after="60"/>
      </w:pPr>
      <w:r>
        <w:t xml:space="preserve">Licenciamiento de software, suscripciones de Azure o costos de infraestructura (son pagados directamente por el cliente).</w:t>
      </w:r>
    </w:p>
    <w:p>
      <w:pPr>
        <w:pStyle w:val="ListParagraph"/>
        <w:numPr>
          <w:ilvl w:val="0"/>
          <w:numId w:val="2"/>
        </w:numPr>
        <w:spacing w:after="60"/>
      </w:pPr>
      <w:r>
        <w:t xml:space="preserve">Migración a servicios administrados (Azure Database for MariaDB/MySQL).</w:t>
      </w:r>
    </w:p>
    <w:p>
      <w:pPr>
        <w:pStyle w:val="ListParagraph"/>
        <w:numPr>
          <w:ilvl w:val="0"/>
          <w:numId w:val="2"/>
        </w:numPr>
        <w:spacing w:after="60"/>
      </w:pPr>
      <w:r>
        <w:t xml:space="preserve">Limpieza de datos, depuración histórica o corrección de datos inconsistentes de origen.</w:t>
      </w:r>
    </w:p>
    <w:p>
      <w:pPr>
        <w:pStyle w:val="ListParagraph"/>
        <w:numPr>
          <w:ilvl w:val="0"/>
          <w:numId w:val="2"/>
        </w:numPr>
        <w:spacing w:after="60"/>
      </w:pPr>
      <w:r>
        <w:t xml:space="preserve">Soporte 24×7 o administración continua posterior al periodo de estabilización.</w:t>
      </w:r>
    </w:p>
    <w:p>
      <w:pPr>
        <w:pStyle w:val="ListParagraph"/>
        <w:numPr>
          <w:ilvl w:val="0"/>
          <w:numId w:val="2"/>
        </w:numPr>
        <w:spacing w:after="60"/>
      </w:pPr>
      <w:r>
        <w:t xml:space="preserve">Configuración de VPN, firewall o equipos de red del lado del cliente.</w:t>
      </w:r>
    </w:p>
    <w:p>
      <w:pPr>
        <w:pStyle w:val="ListParagraph"/>
        <w:numPr>
          <w:ilvl w:val="0"/>
          <w:numId w:val="2"/>
        </w:numPr>
        <w:spacing w:after="60"/>
      </w:pPr>
      <w:r>
        <w:t xml:space="preserve">Desmantelamiento o borrado seguro del servidor Windows origen.</w:t>
      </w:r>
    </w:p>
    <w:p>
      <w:pPr>
        <w:pStyle w:val="Heading1"/>
      </w:pPr>
      <w:r>
        <w:t xml:space="preserve">9. Supuestos</w:t>
      </w:r>
    </w:p>
    <w:p>
      <w:pPr>
        <w:pStyle w:val="ListParagraph"/>
        <w:numPr>
          <w:ilvl w:val="0"/>
          <w:numId w:val="2"/>
        </w:numPr>
        <w:spacing w:after="60"/>
      </w:pPr>
      <w:r>
        <w:t xml:space="preserve">El tamaño total de la base de datos no excede 100 GB; un volumen mayor puede impactar tiempos y costos.</w:t>
      </w:r>
    </w:p>
    <w:p>
      <w:pPr>
        <w:pStyle w:val="ListParagraph"/>
        <w:numPr>
          <w:ilvl w:val="0"/>
          <w:numId w:val="2"/>
        </w:numPr>
        <w:spacing w:after="60"/>
      </w:pPr>
      <w:r>
        <w:t xml:space="preserve">La versión de MariaDB en origen es 10.4 o superior y las tablas usan principalmente InnoDB.</w:t>
      </w:r>
    </w:p>
    <w:p>
      <w:pPr>
        <w:pStyle w:val="ListParagraph"/>
        <w:numPr>
          <w:ilvl w:val="0"/>
          <w:numId w:val="2"/>
        </w:numPr>
        <w:spacing w:after="60"/>
      </w:pPr>
      <w:r>
        <w:t xml:space="preserve">El cliente proporcionará accesos administrativos a origen y destino al inicio del proyecto.</w:t>
      </w:r>
    </w:p>
    <w:p>
      <w:pPr>
        <w:pStyle w:val="ListParagraph"/>
        <w:numPr>
          <w:ilvl w:val="0"/>
          <w:numId w:val="2"/>
        </w:numPr>
        <w:spacing w:after="60"/>
      </w:pPr>
      <w:r>
        <w:t xml:space="preserve">Existe conectividad de red entre el servidor origen y el destino, con ancho de banda suficiente para la carga inicial.</w:t>
      </w:r>
    </w:p>
    <w:p>
      <w:pPr>
        <w:pStyle w:val="ListParagraph"/>
        <w:numPr>
          <w:ilvl w:val="0"/>
          <w:numId w:val="2"/>
        </w:numPr>
        <w:spacing w:after="60"/>
      </w:pPr>
      <w:r>
        <w:t xml:space="preserve">El cliente contará con una suscripción activa de Azure y permisos para crear recursos (si se elige Azure).</w:t>
      </w:r>
    </w:p>
    <w:p>
      <w:pPr>
        <w:pStyle w:val="ListParagraph"/>
        <w:numPr>
          <w:ilvl w:val="0"/>
          <w:numId w:val="2"/>
        </w:numPr>
        <w:spacing w:after="60"/>
      </w:pPr>
      <w:r>
        <w:t xml:space="preserve">Las aplicaciones permiten cambiar la cadena de conexión o el registro DNS sin cambios de código.</w:t>
      </w:r>
    </w:p>
    <w:p>
      <w:pPr>
        <w:pStyle w:val="ListParagraph"/>
        <w:numPr>
          <w:ilvl w:val="0"/>
          <w:numId w:val="2"/>
        </w:numPr>
        <w:spacing w:after="60"/>
      </w:pPr>
      <w:r>
        <w:t xml:space="preserve">El cliente asignará personal para pruebas y aprobará la ventana de corte (preferentemente fin de semana o fuera de horario).</w:t>
      </w:r>
    </w:p>
    <w:p>
      <w:pPr>
        <w:pStyle w:val="ListParagraph"/>
        <w:numPr>
          <w:ilvl w:val="0"/>
          <w:numId w:val="2"/>
        </w:numPr>
        <w:spacing w:after="60"/>
      </w:pPr>
      <w:r>
        <w:t xml:space="preserve">No existen dependencias de funcionalidades exclusivas de Windows (rutas absolutas, LOAD DATA con rutas locales, plugins de autenticación de Windows).</w:t>
      </w:r>
    </w:p>
    <w:p>
      <w:pPr>
        <w:pStyle w:val="ListParagraph"/>
        <w:numPr>
          <w:ilvl w:val="0"/>
          <w:numId w:val="2"/>
        </w:numPr>
        <w:spacing w:after="60"/>
      </w:pPr>
      <w:r>
        <w:t xml:space="preserve">Los trabajos se realizan de forma remota; actividades presenciales se cotizan por separado.</w:t>
      </w:r>
    </w:p>
    <w:p>
      <w:pPr>
        <w:pStyle w:val="ListParagraph"/>
        <w:numPr>
          <w:ilvl w:val="0"/>
          <w:numId w:val="2"/>
        </w:numPr>
        <w:spacing w:after="60"/>
      </w:pPr>
      <w:r>
        <w:t xml:space="preserve">Retrasos atribuibles a la falta de accesos, información o validaciones del cliente pueden modificar el calendario.</w:t>
      </w:r>
    </w:p>
    <w:p>
      <w:pPr>
        <w:pStyle w:val="Heading1"/>
      </w:pPr>
      <w:r>
        <w:t xml:space="preserve">10. Tiempos de migración</w:t>
      </w:r>
    </w:p>
    <w:p>
      <w:pPr>
        <w:spacing w:after="120" w:line="276"/>
        <w:jc w:val="both"/>
      </w:pPr>
      <w:r>
        <w:t xml:space="preserve">Duración estimada total: 4 semanas (20 días hábiles), desde la firma de la propuesta hasta el cierre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60"/>
        <w:gridCol w:w="1300"/>
        <w:gridCol w:w="1300"/>
        <w:gridCol w:w="2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w:t>
            </w:r>
          </w:p>
        </w:tc>
        <w:tc>
          <w:tcPr>
            <w:tcW w:type="dxa" w:w="32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Actividad</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Duración</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Semana</w:t>
            </w:r>
          </w:p>
        </w:tc>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Entregable</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Arranque y diagnóstico técnico</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3 días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S1</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Reporte de diagnóstico y compatibilidad</w:t>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Planeación detallada y plan de reversa</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 días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S1</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Plan de migración y de reversa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3</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Aprovisionamiento y hardening del servidor Ubuntu</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3 días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S2</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Servidor listo y documentado</w:t>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4</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Instalación y configuración de MariaDB 11.8</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 días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S2</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Instancia configurada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5</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Migración de prueba y validación con el cliente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3 días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S3</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Acta de pruebas</w:t>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6</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Carga definitiva y replicación</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 días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S3</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Réplica sincronizada</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7</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Corte productivo (Go‑Live)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 día (ventana ≤ 2 h)</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S4</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Acta de liberación</w:t>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8</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Respaldos, monitoreo y documentación</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 días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S4</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Memoria técnica y runbooks</w:t>
            </w:r>
          </w:p>
        </w:tc>
      </w:tr>
      <w:t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9</w:t>
            </w:r>
          </w:p>
        </w:tc>
        <w:tc>
          <w:tcPr>
            <w:tcW w:type="dxa" w:w="32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Transferencia de conocimiento y cierre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2 días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S4</w:t>
            </w:r>
          </w:p>
        </w:tc>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Acta de cierre</w:t>
            </w:r>
          </w:p>
        </w:tc>
      </w:tr>
      <w:tr>
        <w:tc>
          <w:tcPr>
            <w:tcW w:type="dxa" w:w="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10</w:t>
            </w:r>
          </w:p>
        </w:tc>
        <w:tc>
          <w:tcPr>
            <w:tcW w:type="dxa" w:w="32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Soporte post‑migración (hiper‑cuidado)</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10 días hábiles</w:t>
            </w:r>
          </w:p>
        </w:tc>
        <w:tc>
          <w:tcPr>
            <w:tcW w:type="dxa" w:w="1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S4–S6</w:t>
            </w:r>
          </w:p>
        </w:tc>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Bitácora de incidencias</w:t>
            </w:r>
          </w:p>
        </w:tc>
      </w:tr>
    </w:tbl>
    <w:p>
      <w:pPr>
        <w:spacing w:after="120"/>
      </w:pPr>
    </w:p>
    <w:p>
      <w:pPr>
        <w:pStyle w:val="Heading2"/>
      </w:pPr>
      <w:r>
        <w:t xml:space="preserve">10.1 Ventana de corte estimada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Actividad del día de corte</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Duración</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Acumulado</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Congelamiento de cambios y detención de escrituras</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15 min</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0:15</w:t>
            </w:r>
          </w:p>
        </w:tc>
      </w:tr>
      <w:t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Verificación de sincronización y checksums finales</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30 min</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0:45</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Promoción del destino y cambio de cadenas de conexión / DNS</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15 min</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1:00</w:t>
            </w:r>
          </w:p>
        </w:tc>
      </w:tr>
      <w:t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Pruebas de humo con usuarios clave</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45 min</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1:45</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Decisión Go / No‑Go (reversa si aplica)</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15 min</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2:00</w:t>
            </w:r>
          </w:p>
        </w:tc>
      </w:tr>
    </w:tbl>
    <w:p>
      <w:pPr>
        <w:pStyle w:val="Heading1"/>
      </w:pPr>
      <w:r>
        <w:t xml:space="preserve">11. Matriz de riesgos</w:t>
      </w:r>
    </w:p>
    <w:p>
      <w:pPr>
        <w:spacing w:after="120" w:line="276"/>
        <w:jc w:val="both"/>
      </w:pPr>
      <w:r>
        <w:t xml:space="preserve">Escala: Probabilidad e Impacto (Alto / Medio / Bajo). El nivel resulta de la combinación de ambos.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50"/>
        <w:gridCol w:w="1050"/>
        <w:gridCol w:w="1000"/>
        <w:gridCol w:w="37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Riesgo</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Prob.</w:t>
            </w:r>
          </w:p>
        </w:tc>
        <w:tc>
          <w:tcPr>
            <w:tcW w:type="dxa" w:w="10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Impacto</w:t>
            </w:r>
          </w:p>
        </w:tc>
        <w:tc>
          <w:tcPr>
            <w:tcW w:type="dxa" w:w="1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Nivel</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Mitigación</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Diferencias de mayúsculas/minúsculas en nombres de tablas (Windows no distingue, Linux sí)</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Alta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Alto</w:t>
            </w:r>
          </w:p>
        </w:tc>
        <w:tc>
          <w:tcPr>
            <w:tcW w:type="dxa" w:w="1000"/>
            <w:tcBorders>
              <w:top w:val="single" w:color="BFBFBF" w:sz="4"/>
              <w:left w:val="single" w:color="BFBFBF" w:sz="4"/>
              <w:bottom w:val="single" w:color="BFBFBF" w:sz="4"/>
              <w:right w:val="single" w:color="BFBFBF" w:sz="4"/>
            </w:tcBorders>
            <w:shd w:fill="F4B6B6" w:color="auto" w:val="clear"/>
            <w:tcMar>
              <w:top w:type="dxa" w:w="70"/>
              <w:left w:type="dxa" w:w="110"/>
              <w:bottom w:type="dxa" w:w="70"/>
              <w:right w:type="dxa" w:w="110"/>
            </w:tcMar>
            <w:vAlign w:val="center"/>
          </w:tcPr>
          <w:p>
            <w:pPr>
              <w:spacing w:after="0"/>
              <w:jc w:val="center"/>
            </w:pPr>
            <w:r>
              <w:rPr>
                <w:b/>
                <w:bCs/>
                <w:sz w:val="19"/>
                <w:szCs w:val="19"/>
              </w:rPr>
              <w:t xml:space="preserve">Alto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Revisar lower_case_table_names en diagnóstico; configurar el valor equivalente en destino antes de inicializar la instancia y probar en el ensayo.</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Pérdida o inconsistencia de datos durante la migración</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Baja</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Alto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Respaldo completo previo, checksums por tabla, migración de prueba y conservación del origen como reversa.</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Ventana de corte mayor a la planeada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Alto</w:t>
            </w:r>
          </w:p>
        </w:tc>
        <w:tc>
          <w:tcPr>
            <w:tcW w:type="dxa" w:w="1000"/>
            <w:tcBorders>
              <w:top w:val="single" w:color="BFBFBF" w:sz="4"/>
              <w:left w:val="single" w:color="BFBFBF" w:sz="4"/>
              <w:bottom w:val="single" w:color="BFBFBF" w:sz="4"/>
              <w:right w:val="single" w:color="BFBFBF" w:sz="4"/>
            </w:tcBorders>
            <w:shd w:fill="F4B6B6" w:color="auto" w:val="clear"/>
            <w:tcMar>
              <w:top w:type="dxa" w:w="70"/>
              <w:left w:type="dxa" w:w="110"/>
              <w:bottom w:type="dxa" w:w="70"/>
              <w:right w:type="dxa" w:w="110"/>
            </w:tcMar>
            <w:vAlign w:val="center"/>
          </w:tcPr>
          <w:p>
            <w:pPr>
              <w:spacing w:after="0"/>
              <w:jc w:val="center"/>
            </w:pPr>
            <w:r>
              <w:rPr>
                <w:b/>
                <w:bCs/>
                <w:sz w:val="19"/>
                <w:szCs w:val="19"/>
              </w:rPr>
              <w:t xml:space="preserve">Alto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Replicación previa para que el corte solo sincronice cambios; tiempos medidos en el ensayo; criterio Go/No‑Go a las 2 h.</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Incompatibilidad por cambio de versión de MariaDB (sql_mode, funciones, collations)</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Análisis de compatibilidad, mismo sql_mode que origen y pruebas funcionales con el cliente.</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Problemas de juego de caracteres o codificación (latin1 vs utf8mb4)</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Conservar charset/collation de origen; validar textos con acentos y ñ en pruebas.</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Aplicaciones con IP/host fijo en código o archivos de configuración no inventariados</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Alto</w:t>
            </w:r>
          </w:p>
        </w:tc>
        <w:tc>
          <w:tcPr>
            <w:tcW w:type="dxa" w:w="1000"/>
            <w:tcBorders>
              <w:top w:val="single" w:color="BFBFBF" w:sz="4"/>
              <w:left w:val="single" w:color="BFBFBF" w:sz="4"/>
              <w:bottom w:val="single" w:color="BFBFBF" w:sz="4"/>
              <w:right w:val="single" w:color="BFBFBF" w:sz="4"/>
            </w:tcBorders>
            <w:shd w:fill="F4B6B6" w:color="auto" w:val="clear"/>
            <w:tcMar>
              <w:top w:type="dxa" w:w="70"/>
              <w:left w:type="dxa" w:w="110"/>
              <w:bottom w:type="dxa" w:w="70"/>
              <w:right w:type="dxa" w:w="110"/>
            </w:tcMar>
            <w:vAlign w:val="center"/>
          </w:tcPr>
          <w:p>
            <w:pPr>
              <w:spacing w:after="0"/>
              <w:jc w:val="center"/>
            </w:pPr>
            <w:r>
              <w:rPr>
                <w:b/>
                <w:bCs/>
                <w:sz w:val="19"/>
                <w:szCs w:val="19"/>
              </w:rPr>
              <w:t xml:space="preserve">Alto</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Inventario de conexiones y revisión del log de conexiones en origen; uso de alias DNS.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Conectividad o ancho de banda insuficiente entre origen y destino</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Prueba de red previa, compresión del respaldo y VPN dedicada.</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Falta de disponibilidad de personal del cliente para pruebas o corte</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Media</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Calendario acordado desde el arranque y responsables nombrados.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Usuarios o privilegios no migrados correctamente</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Baja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C6E0B4" w:color="auto" w:val="clear"/>
            <w:tcMar>
              <w:top w:type="dxa" w:w="70"/>
              <w:left w:type="dxa" w:w="110"/>
              <w:bottom w:type="dxa" w:w="70"/>
              <w:right w:type="dxa" w:w="110"/>
            </w:tcMar>
            <w:vAlign w:val="center"/>
          </w:tcPr>
          <w:p>
            <w:pPr>
              <w:spacing w:after="0"/>
              <w:jc w:val="center"/>
            </w:pPr>
            <w:r>
              <w:rPr>
                <w:b/>
                <w:bCs/>
                <w:sz w:val="19"/>
                <w:szCs w:val="19"/>
              </w:rPr>
              <w:t xml:space="preserve">Bajo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Exportación de cuentas con SHOW GRANTS y validación de acceso por aplicación.</w:t>
            </w:r>
          </w:p>
        </w:tc>
      </w:tr>
      <w:tr>
        <w:tc>
          <w:tcPr>
            <w:tcW w:type="dxa" w:w="2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Desempeño inferior en el nuevo servidor</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Baja</w:t>
            </w:r>
          </w:p>
        </w:tc>
        <w:tc>
          <w:tcPr>
            <w:tcW w:type="dxa" w:w="10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Medio</w:t>
            </w:r>
          </w:p>
        </w:tc>
        <w:tc>
          <w:tcPr>
            <w:tcW w:type="dxa" w:w="1000"/>
            <w:tcBorders>
              <w:top w:val="single" w:color="BFBFBF" w:sz="4"/>
              <w:left w:val="single" w:color="BFBFBF" w:sz="4"/>
              <w:bottom w:val="single" w:color="BFBFBF" w:sz="4"/>
              <w:right w:val="single" w:color="BFBFBF" w:sz="4"/>
            </w:tcBorders>
            <w:shd w:fill="C6E0B4" w:color="auto" w:val="clear"/>
            <w:tcMar>
              <w:top w:type="dxa" w:w="70"/>
              <w:left w:type="dxa" w:w="110"/>
              <w:bottom w:type="dxa" w:w="70"/>
              <w:right w:type="dxa" w:w="110"/>
            </w:tcMar>
            <w:vAlign w:val="center"/>
          </w:tcPr>
          <w:p>
            <w:pPr>
              <w:spacing w:after="0"/>
              <w:jc w:val="center"/>
            </w:pPr>
            <w:r>
              <w:rPr>
                <w:b/>
                <w:bCs/>
                <w:sz w:val="19"/>
                <w:szCs w:val="19"/>
              </w:rPr>
              <w:t xml:space="preserve">Bajo</w:t>
            </w:r>
          </w:p>
        </w:tc>
        <w:tc>
          <w:tcPr>
            <w:tcW w:type="dxa" w:w="3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Dimensionamiento con métricas del origen, afinamiento de InnoDB y pruebas de carga básicas.</w:t>
            </w:r>
          </w:p>
        </w:tc>
      </w:tr>
      <w:t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Vulnerabilidades por exposición del puerto 3306</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Baja</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Alto</w:t>
            </w:r>
          </w:p>
        </w:tc>
        <w:tc>
          <w:tcPr>
            <w:tcW w:type="dxa" w:w="1000"/>
            <w:tcBorders>
              <w:top w:val="single" w:color="BFBFBF" w:sz="4"/>
              <w:left w:val="single" w:color="BFBFBF" w:sz="4"/>
              <w:bottom w:val="single" w:color="BFBFBF" w:sz="4"/>
              <w:right w:val="single" w:color="BFBFBF" w:sz="4"/>
            </w:tcBorders>
            <w:shd w:fill="FFE699" w:color="auto" w:val="clear"/>
            <w:tcMar>
              <w:top w:type="dxa" w:w="70"/>
              <w:left w:type="dxa" w:w="110"/>
              <w:bottom w:type="dxa" w:w="70"/>
              <w:right w:type="dxa" w:w="110"/>
            </w:tcMar>
            <w:vAlign w:val="center"/>
          </w:tcPr>
          <w:p>
            <w:pPr>
              <w:spacing w:after="0"/>
              <w:jc w:val="center"/>
            </w:pPr>
            <w:r>
              <w:rPr>
                <w:b/>
                <w:bCs/>
                <w:sz w:val="19"/>
                <w:szCs w:val="19"/>
              </w:rPr>
              <w:t xml:space="preserve">Medio</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NSG restrictivo, sin IP pública en 3306, TLS y acceso administrativo solo por VPN/Bastion.</w:t>
            </w:r>
          </w:p>
        </w:tc>
      </w:tr>
    </w:tbl>
    <w:p>
      <w:pPr>
        <w:pStyle w:val="Heading1"/>
      </w:pPr>
      <w:r>
        <w:t xml:space="preserve">12. Calculadora Azure</w:t>
      </w:r>
    </w:p>
    <w:p>
      <w:pPr>
        <w:spacing w:after="120" w:line="276"/>
        <w:jc w:val="both"/>
      </w:pPr>
      <w:r>
        <w:t xml:space="preserve">Estimación mensual de la infraestructura del servidor destino en Microsoft Azure, región México Central, precios de lista en USD sin impuestos. Esta estimación es referencial y debe confirmarse en la Calculadora de Precios oficial de Azure (azure.microsoft.com/pricing/calculator) al momento de la contratación, ya que los precios cambian con frecuencia.</w:t>
      </w:r>
    </w:p>
    <w:p>
      <w:pPr>
        <w:pStyle w:val="Heading2"/>
      </w:pPr>
      <w:r>
        <w:t xml:space="preserve">12.1 Estimación mensual (pago por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060"/>
        <w:gridCol w:w="2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Servicio</w:t>
            </w:r>
          </w:p>
        </w:tc>
        <w:tc>
          <w:tcPr>
            <w:tcW w:type="dxa" w:w="5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Configuración</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USD / mes</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Máquina virtual</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D4as v7 Linux (4 vCPU, 16 GB) – pago por uso, 730 h</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right"/>
            </w:pPr>
            <w:r>
              <w:rPr>
                <w:sz w:val="19"/>
                <w:szCs w:val="19"/>
              </w:rPr>
              <w:t xml:space="preserve">$146.00</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Disco de SO</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Premium SSD P6 – 64 GB</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right"/>
            </w:pPr>
            <w:r>
              <w:rPr>
                <w:sz w:val="19"/>
                <w:szCs w:val="19"/>
              </w:rPr>
              <w:t xml:space="preserve">$9.86</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Disco de datos</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Premium SSD P15 – 256 GB</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right"/>
            </w:pPr>
            <w:r>
              <w:rPr>
                <w:sz w:val="19"/>
                <w:szCs w:val="19"/>
              </w:rPr>
              <w:t xml:space="preserve">$38.01</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IP pública</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IP pública estática estándar (administración/VPN)</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right"/>
            </w:pPr>
            <w:r>
              <w:rPr>
                <w:sz w:val="19"/>
                <w:szCs w:val="19"/>
              </w:rPr>
              <w:t xml:space="preserve">$3.65</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Azure Backup</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Instancia protegida (50–500 GB) + almacenamiento ~150 GB LRS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right"/>
            </w:pPr>
            <w:r>
              <w:rPr>
                <w:sz w:val="19"/>
                <w:szCs w:val="19"/>
              </w:rPr>
              <w:t xml:space="preserve">$17.50</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Monitoreo</w:t>
            </w:r>
          </w:p>
        </w:tc>
        <w:tc>
          <w:tcPr>
            <w:tcW w:type="dxa" w:w="50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Log Analytics / Azure Monitor (~5 GB ingesta)</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right"/>
            </w:pPr>
            <w:r>
              <w:rPr>
                <w:sz w:val="19"/>
                <w:szCs w:val="19"/>
              </w:rPr>
              <w:t xml:space="preserve">$13.80</w:t>
            </w:r>
          </w:p>
        </w:tc>
      </w:tr>
      <w:t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Transferencia de datos</w:t>
            </w:r>
          </w:p>
        </w:tc>
        <w:tc>
          <w:tcPr>
            <w:tcW w:type="dxa" w:w="50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Salida a Internet (primeros 100 GB/mes sin costo)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right"/>
            </w:pPr>
            <w:r>
              <w:rPr>
                <w:sz w:val="19"/>
                <w:szCs w:val="19"/>
              </w:rPr>
              <w:t xml:space="preserve">$0.00</w:t>
            </w:r>
          </w:p>
        </w:tc>
      </w:tr>
      <w:tr>
        <w:tc>
          <w:tcPr>
            <w:tcW w:type="dxa" w:w="23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0"/>
              <w:jc w:val="left"/>
            </w:pPr>
            <w:r>
              <w:rPr>
                <w:b/>
                <w:bCs/>
                <w:sz w:val="19"/>
                <w:szCs w:val="19"/>
              </w:rPr>
              <w:t xml:space="preserve">TOTAL MENSUAL ESTIMADO</w:t>
            </w:r>
          </w:p>
        </w:tc>
        <w:tc>
          <w:tcPr>
            <w:tcW w:type="dxa" w:w="506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0"/>
              <w:jc w:val="left"/>
            </w:pPr>
            <w:r>
              <w:rPr>
                <w:sz w:val="19"/>
                <w:szCs w:val="19"/>
              </w:rPr>
              <w:t xml:space="preserve"/>
            </w:r>
          </w:p>
        </w:tc>
        <w:tc>
          <w:tcPr>
            <w:tcW w:type="dxa" w:w="200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0"/>
              <w:jc w:val="right"/>
            </w:pPr>
            <w:r>
              <w:rPr>
                <w:b/>
                <w:bCs/>
                <w:sz w:val="19"/>
                <w:szCs w:val="19"/>
              </w:rPr>
              <w:t xml:space="preserve">$228.82</w:t>
            </w:r>
          </w:p>
        </w:tc>
      </w:tr>
    </w:tbl>
    <w:p>
      <w:pPr>
        <w:spacing w:after="120"/>
      </w:pPr>
    </w:p>
    <w:p>
      <w:pPr>
        <w:pStyle w:val="Heading2"/>
      </w:pPr>
      <w:r>
        <w:t xml:space="preserve">12.2 Opciones de ahorro para la máquina virtual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Modalidad de compra (VM D4as v7)</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USD / mes</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USD / año</w:t>
            </w:r>
          </w:p>
        </w:tc>
        <w:tc>
          <w:tcPr>
            <w:tcW w:type="dxa" w:w="1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Ahorro</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Pago por uso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$146.00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$1,752.00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w:t>
            </w:r>
          </w:p>
        </w:tc>
      </w:tr>
      <w:t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Savings Plan 1 año</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$106.58</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$1,278.96</w:t>
            </w:r>
          </w:p>
        </w:tc>
        <w:tc>
          <w:tcPr>
            <w:tcW w:type="dxa" w:w="1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27%</w:t>
            </w:r>
          </w:p>
        </w:tc>
      </w:tr>
      <w:tr>
        <w:tc>
          <w:tcPr>
            <w:tcW w:type="dxa" w:w="3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Instancia reservada 1 año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$86.00</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$1,032.00</w:t>
            </w:r>
          </w:p>
        </w:tc>
        <w:tc>
          <w:tcPr>
            <w:tcW w:type="dxa" w:w="19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41%</w:t>
            </w:r>
          </w:p>
        </w:tc>
      </w:tr>
      <w:tr>
        <w:tc>
          <w:tcPr>
            <w:tcW w:type="dxa" w:w="3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Instancia reservada 3 años</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$55.36</w:t>
            </w:r>
          </w:p>
        </w:tc>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$664.32</w:t>
            </w:r>
          </w:p>
        </w:tc>
        <w:tc>
          <w:tcPr>
            <w:tcW w:type="dxa" w:w="19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62%</w:t>
            </w:r>
          </w:p>
        </w:tc>
      </w:tr>
    </w:tbl>
    <w:p>
      <w:pPr>
        <w:spacing w:after="120"/>
      </w:pPr>
    </w:p>
    <w:p>
      <w:pPr>
        <w:pStyle w:val="Heading2"/>
      </w:pPr>
      <w:r>
        <w:t xml:space="preserve">12.3 Resumen 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Escenario</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USD / mes</w:t>
            </w:r>
          </w:p>
        </w:tc>
        <w:tc>
          <w:tcPr>
            <w:tcW w:type="dxa" w:w="234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USD / año</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Pago por uso</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$228.82</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$2745.84</w:t>
            </w:r>
          </w:p>
        </w:tc>
      </w:tr>
      <w:t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Con instancia reservada 1 año</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$168.82</w:t>
            </w:r>
          </w:p>
        </w:tc>
        <w:tc>
          <w:tcPr>
            <w:tcW w:type="dxa" w:w="2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0"/>
              <w:jc w:val="left"/>
            </w:pPr>
            <w:r>
              <w:rPr>
                <w:sz w:val="19"/>
                <w:szCs w:val="19"/>
              </w:rPr>
              <w:t xml:space="preserve">$2025.84</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Con instancia reservada 3 años</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$138.18</w:t>
            </w:r>
          </w:p>
        </w:tc>
        <w:tc>
          <w:tcPr>
            <w:tcW w:type="dxa" w:w="2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$1658.16</w:t>
            </w:r>
          </w:p>
        </w:tc>
      </w:tr>
    </w:tbl>
    <w:p>
      <w:pPr>
        <w:spacing w:after="160" w:before="60"/>
      </w:pPr>
      <w:r>
        <w:rPr>
          <w:i/>
          <w:iCs/>
          <w:color w:val="595959"/>
          <w:sz w:val="17"/>
          <w:szCs w:val="17"/>
        </w:rPr>
        <w:t xml:space="preserve">Componentes opcionales no incluidos: Azure Bastion Basic (≈ USD 140/mes), VPN Gateway (≈ USD 140/mes en SKU VpnGw1) y Ubuntu Pro (soporte y parches extendidos). Precio de VM tomado de referencias públicas de precios de Azure para México Central; precios de discos, respaldo y monitoreo son aproximados.</w:t>
      </w:r>
    </w:p>
    <w:p>
      <w:pPr>
        <w:spacing w:after="120" w:line="276"/>
        <w:jc w:val="both"/>
      </w:pPr>
      <w:r>
        <w:t xml:space="preserve">Adicionalmente, el cambio de Windows Server a Ubuntu elimina el costo de licencia de Windows Server: en Azure, una VM equivalente con Windows tiene un costo aproximadamente 70–80% mayor que su versión Linux.</w:t>
      </w:r>
    </w:p>
    <w:p>
      <w:pPr>
        <w:pStyle w:val="Heading1"/>
      </w:pPr>
      <w:r>
        <w:t xml:space="preserve">13. Próximos pasos y aceptación</w:t>
      </w:r>
    </w:p>
    <w:p>
      <w:pPr>
        <w:pStyle w:val="ListParagraph"/>
        <w:numPr>
          <w:ilvl w:val="0"/>
          <w:numId w:val="2"/>
        </w:numPr>
        <w:spacing w:after="60"/>
      </w:pPr>
      <w:r>
        <w:t xml:space="preserve">Revisión de la propuesta y sesión de aclaraciones.</w:t>
      </w:r>
    </w:p>
    <w:p>
      <w:pPr>
        <w:pStyle w:val="ListParagraph"/>
        <w:numPr>
          <w:ilvl w:val="0"/>
          <w:numId w:val="2"/>
        </w:numPr>
        <w:spacing w:after="60"/>
      </w:pPr>
      <w:r>
        <w:t xml:space="preserve">Confirmación del tamaño de la base de datos y de la plataforma destino (Azure u on‑premise).</w:t>
      </w:r>
    </w:p>
    <w:p>
      <w:pPr>
        <w:pStyle w:val="ListParagraph"/>
        <w:numPr>
          <w:ilvl w:val="0"/>
          <w:numId w:val="2"/>
        </w:numPr>
        <w:spacing w:after="60"/>
      </w:pPr>
      <w:r>
        <w:t xml:space="preserve">Firma de la propuesta y emisión de orden de compra.</w:t>
      </w:r>
    </w:p>
    <w:p>
      <w:pPr>
        <w:pStyle w:val="ListParagraph"/>
        <w:numPr>
          <w:ilvl w:val="0"/>
          <w:numId w:val="2"/>
        </w:numPr>
        <w:spacing w:after="60"/>
      </w:pPr>
      <w:r>
        <w:t xml:space="preserve">Reunión de arranque (kick‑off) y entrega de accesos.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Por el Cliente</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spacing w:after="0"/>
              <w:jc w:val="left"/>
            </w:pPr>
            <w:r>
              <w:rPr>
                <w:b/>
                <w:bCs/>
                <w:color w:val="FFFFFF"/>
                <w:sz w:val="19"/>
                <w:szCs w:val="19"/>
              </w:rPr>
              <w:t xml:space="preserve">Por el Proveedor</w:t>
            </w:r>
          </w:p>
        </w:tc>
      </w:tr>
      <w:tr>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
            </w:r>
          </w:p>
          <w:p>
            <w:pPr>
              <w:spacing w:after="0"/>
              <w:jc w:val="left"/>
            </w:pPr>
            <w:r>
              <w:rPr>
                <w:sz w:val="19"/>
                <w:szCs w:val="19"/>
              </w:rPr>
              <w:t xml:space="preserve"/>
            </w:r>
          </w:p>
          <w:p>
            <w:pPr>
              <w:spacing w:after="0"/>
              <w:jc w:val="left"/>
            </w:pPr>
            <w:r>
              <w:rPr>
                <w:sz w:val="19"/>
                <w:szCs w:val="19"/>
              </w:rPr>
              <w:t xml:space="preserve">_______________________________</w:t>
            </w:r>
          </w:p>
          <w:p>
            <w:pPr>
              <w:spacing w:after="0"/>
              <w:jc w:val="left"/>
            </w:pPr>
            <w:r>
              <w:rPr>
                <w:sz w:val="19"/>
                <w:szCs w:val="19"/>
              </w:rPr>
              <w:t xml:space="preserve">Nombre:</w:t>
            </w:r>
          </w:p>
          <w:p>
            <w:pPr>
              <w:spacing w:after="0"/>
              <w:jc w:val="left"/>
            </w:pPr>
            <w:r>
              <w:rPr>
                <w:sz w:val="19"/>
                <w:szCs w:val="19"/>
              </w:rPr>
              <w:t xml:space="preserve">Puesto:</w:t>
            </w:r>
          </w:p>
          <w:p>
            <w:pPr>
              <w:spacing w:after="0"/>
              <w:jc w:val="left"/>
            </w:pPr>
            <w:r>
              <w:rPr>
                <w:sz w:val="19"/>
                <w:szCs w:val="19"/>
              </w:rPr>
              <w:t xml:space="preserve">Fecha:</w:t>
            </w:r>
          </w:p>
        </w:tc>
        <w:tc>
          <w:tcPr>
            <w:tcW w:type="dxa" w:w="468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0"/>
              <w:jc w:val="left"/>
            </w:pPr>
            <w:r>
              <w:rPr>
                <w:sz w:val="19"/>
                <w:szCs w:val="19"/>
              </w:rPr>
              <w:t xml:space="preserve"/>
            </w:r>
          </w:p>
          <w:p>
            <w:pPr>
              <w:spacing w:after="0"/>
              <w:jc w:val="left"/>
            </w:pPr>
            <w:r>
              <w:rPr>
                <w:sz w:val="19"/>
                <w:szCs w:val="19"/>
              </w:rPr>
              <w:t xml:space="preserve"/>
            </w:r>
          </w:p>
          <w:p>
            <w:pPr>
              <w:spacing w:after="0"/>
              <w:jc w:val="left"/>
            </w:pPr>
            <w:r>
              <w:rPr>
                <w:sz w:val="19"/>
                <w:szCs w:val="19"/>
              </w:rPr>
              <w:t xml:space="preserve">_______________________________</w:t>
            </w:r>
          </w:p>
          <w:p>
            <w:pPr>
              <w:spacing w:after="0"/>
              <w:jc w:val="left"/>
            </w:pPr>
            <w:r>
              <w:rPr>
                <w:sz w:val="19"/>
                <w:szCs w:val="19"/>
              </w:rPr>
              <w:t xml:space="preserve">Nombre:</w:t>
            </w:r>
          </w:p>
          <w:p>
            <w:pPr>
              <w:spacing w:after="0"/>
              <w:jc w:val="left"/>
            </w:pPr>
            <w:r>
              <w:rPr>
                <w:sz w:val="19"/>
                <w:szCs w:val="19"/>
              </w:rPr>
              <w:t xml:space="preserve">Puesto:</w:t>
            </w:r>
          </w:p>
          <w:p>
            <w:pPr>
              <w:spacing w:after="0"/>
              <w:jc w:val="left"/>
            </w:pPr>
            <w:r>
              <w:rPr>
                <w:sz w:val="19"/>
                <w:szCs w:val="19"/>
              </w:rPr>
              <w:t xml:space="preserve">Fecha: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Confidencial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Propuesta de Servicios – Migración MariaDB a Ubuntu 26.04 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 Migración MariaDB</dc:title>
  <dc:creator>Propuesta de Servicios</dc:creator>
  <cp:lastModifiedBy>Un-named</cp:lastModifiedBy>
  <cp:revision>1</cp:revision>
  <dcterms:created xsi:type="dcterms:W3CDTF">2026-10-20T05:56:50.668Z</dcterms:created>
  <dcterms:modified xsi:type="dcterms:W3CDTF">2026-10-20T05:56:50.673Z</dcterms:modified>
</cp:coreProperties>
</file>

<file path=docProps/custom.xml><?xml version="1.0" encoding="utf-8"?>
<Properties xmlns="http://schemas.openxmlformats.org/officeDocument/2006/custom-properties" xmlns:vt="http://schemas.openxmlformats.org/officeDocument/2006/docPropsVTypes"/>
</file>