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5000" w:hRule="exact"/>
        </w:trPr>
        <w:tc>
          <w:tcPr>
            <w:tcBorders>
              <w:top w:val="none" w:color="FFFFFF" w:sz="0"/>
              <w:left w:val="none" w:color="FFFFFF" w:sz="0"/>
              <w:bottom w:val="none" w:color="FFFFFF" w:sz="0"/>
              <w:right w:val="none" w:color="FFFFFF" w:sz="0"/>
            </w:tcBorders>
            <w:shd w:fill="1F3864" w:val="clear"/>
            <w:tcMar>
              <w:top w:type="dxa" w:w="700"/>
              <w:left w:type="dxa" w:w="1440"/>
              <w:bottom w:type="dxa" w:w="200"/>
              <w:right w:type="dxa" w:w="1440"/>
            </w:tcMar>
            <w:vAlign w:val="center"/>
          </w:tcPr>
          <w:p>
            <w:pPr>
              <w:spacing w:before="0" w:after="100"/>
            </w:pPr>
            <w:r>
              <w:rPr>
                <w:rFonts w:ascii="Arial" w:cs="Arial" w:eastAsia="Arial" w:hAnsi="Arial"/>
                <w:b/>
                <w:bCs/>
                <w:i w:val="false"/>
                <w:iCs w:val="false"/>
                <w:color w:val="8AAEDC"/>
                <w:sz w:val="19"/>
                <w:szCs w:val="19"/>
              </w:rPr>
              <w:t xml:space="preserve">PROPUESTA DE SERVICIOS PROFESIONALES</w:t>
            </w:r>
          </w:p>
          <w:p>
            <w:pPr>
              <w:spacing w:before="0" w:after="80"/>
            </w:pPr>
            <w:r>
              <w:rPr>
                <w:rFonts w:ascii="Arial" w:cs="Arial" w:eastAsia="Arial" w:hAnsi="Arial"/>
                <w:b/>
                <w:bCs/>
                <w:i w:val="false"/>
                <w:iCs w:val="false"/>
                <w:color w:val="FFFFFF"/>
                <w:sz w:val="44"/>
                <w:szCs w:val="44"/>
              </w:rPr>
              <w:t xml:space="preserve">Implementacion de Identidad Hibrida</w:t>
            </w:r>
          </w:p>
          <w:p>
            <w:pPr>
              <w:spacing w:before="0" w:after="70"/>
            </w:pPr>
            <w:r>
              <w:rPr>
                <w:rFonts w:ascii="Arial" w:cs="Arial" w:eastAsia="Arial" w:hAnsi="Arial"/>
                <w:b w:val="false"/>
                <w:bCs w:val="false"/>
                <w:i w:val="false"/>
                <w:iCs w:val="false"/>
                <w:color w:val="7FB3E8"/>
                <w:sz w:val="23"/>
                <w:szCs w:val="23"/>
              </w:rPr>
              <w:t xml:space="preserve">AD DS On-Premises + Sincronizacion con Microsoft Entra ID</w:t>
            </w:r>
          </w:p>
          <w:p>
            <w:pPr>
              <w:spacing w:before="0" w:after="0"/>
            </w:pPr>
            <w:r>
              <w:rPr>
                <w:rFonts w:ascii="Arial" w:cs="Arial" w:eastAsia="Arial" w:hAnsi="Arial"/>
                <w:b w:val="false"/>
                <w:bCs w:val="false"/>
                <w:i/>
                <w:iCs/>
                <w:color w:val="8AAEDC"/>
                <w:sz w:val="20"/>
                <w:szCs w:val="20"/>
              </w:rPr>
              <w:t xml:space="preserve">Escenario Hibrido  |  Apps Legacy  |  SSO  |  MFA  |  Seguridad de Identidad</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4300" w:hRule="exact"/>
        </w:trPr>
        <w:tc>
          <w:tcPr>
            <w:tcBorders>
              <w:top w:val="none" w:color="FFFFFF" w:sz="0"/>
              <w:left w:val="none" w:color="FFFFFF" w:sz="0"/>
              <w:bottom w:val="none" w:color="FFFFFF" w:sz="0"/>
              <w:right w:val="none" w:color="FFFFFF" w:sz="0"/>
            </w:tcBorders>
            <w:shd w:fill="FFFFFF" w:val="clear"/>
            <w:tcMar>
              <w:top w:type="dxa" w:w="500"/>
              <w:left w:type="dxa" w:w="1440"/>
              <w:bottom w:type="dxa" w:w="200"/>
              <w:right w:type="dxa" w:w="1440"/>
            </w:tcMar>
            <w:vAlign w:val="center"/>
          </w:tcPr>
          <w:p>
            <w:pPr>
              <w:spacing w:before="0" w:after="300"/>
            </w:pPr>
            <w:r>
              <w:rPr>
                <w:rFonts w:ascii="Arial" w:cs="Arial" w:eastAsia="Arial" w:hAnsi="Arial"/>
                <w:b w:val="false"/>
                <w:bCs w:val="false"/>
                <w:i/>
                <w:iCs/>
                <w:color w:val="595959"/>
                <w:sz w:val="21"/>
                <w:szCs w:val="21"/>
              </w:rPr>
              <w:t xml:space="preserve">Esta propuesta describe la implementacion de un modelo de Identidad Hibrida que mantiene el Active Directory Domain Services (AD DS) on-premises como directorio principal para aplicaciones legacy, y lo sincroniza con Microsoft Entra ID para habilitar capacidades modernas de identidad en la nube: SSO para aplicaciones SaaS, MFA, Conditional Access y gestion segura de identidades, sin requerir Microsoft Intune en esta etapa.</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tblGrid>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0" w:after="0"/>
                  </w:pPr>
                  <w:r>
                    <w:rPr>
                      <w:rFonts w:ascii="Arial" w:cs="Arial" w:eastAsia="Arial" w:hAnsi="Arial"/>
                      <w:b/>
                      <w:bCs/>
                      <w:i w:val="false"/>
                      <w:iCs w:val="false"/>
                      <w:color w:val="1F3864"/>
                      <w:sz w:val="20"/>
                      <w:szCs w:val="20"/>
                    </w:rPr>
                    <w:t xml:space="preserve">Version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1.0 — Marzo 2026</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0" w:after="0"/>
                  </w:pPr>
                  <w:r>
                    <w:rPr>
                      <w:rFonts w:ascii="Arial" w:cs="Arial" w:eastAsia="Arial" w:hAnsi="Arial"/>
                      <w:b/>
                      <w:bCs/>
                      <w:i w:val="false"/>
                      <w:iCs w:val="false"/>
                      <w:color w:val="1F3864"/>
                      <w:sz w:val="20"/>
                      <w:szCs w:val="20"/>
                    </w:rPr>
                    <w:t xml:space="preserve">Estado</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Para Revision y Aprobacion del Cliente</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0" w:after="0"/>
                  </w:pPr>
                  <w:r>
                    <w:rPr>
                      <w:rFonts w:ascii="Arial" w:cs="Arial" w:eastAsia="Arial" w:hAnsi="Arial"/>
                      <w:b/>
                      <w:bCs/>
                      <w:i w:val="false"/>
                      <w:iCs w:val="false"/>
                      <w:color w:val="1F3864"/>
                      <w:sz w:val="20"/>
                      <w:szCs w:val="20"/>
                    </w:rPr>
                    <w:t xml:space="preserve">Vigencia</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30 dias a partir de la fecha de emision</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0" w:after="0"/>
                  </w:pPr>
                  <w:r>
                    <w:rPr>
                      <w:rFonts w:ascii="Arial" w:cs="Arial" w:eastAsia="Arial" w:hAnsi="Arial"/>
                      <w:b/>
                      <w:bCs/>
                      <w:i w:val="false"/>
                      <w:iCs w:val="false"/>
                      <w:color w:val="1F3864"/>
                      <w:sz w:val="20"/>
                      <w:szCs w:val="20"/>
                    </w:rPr>
                    <w:t xml:space="preserve">Modelo de Identidad</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Hibrido — AD DS Local + Entra ID en la Nube</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0" w:after="0"/>
                  </w:pPr>
                  <w:r>
                    <w:rPr>
                      <w:rFonts w:ascii="Arial" w:cs="Arial" w:eastAsia="Arial" w:hAnsi="Arial"/>
                      <w:b/>
                      <w:bCs/>
                      <w:i w:val="false"/>
                      <w:iCs w:val="false"/>
                      <w:color w:val="1F3864"/>
                      <w:sz w:val="20"/>
                      <w:szCs w:val="20"/>
                    </w:rPr>
                    <w:t xml:space="preserve">Duracion Estimada</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6 a 8 semanas</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0" w:after="0"/>
                  </w:pPr>
                  <w:r>
                    <w:rPr>
                      <w:rFonts w:ascii="Arial" w:cs="Arial" w:eastAsia="Arial" w:hAnsi="Arial"/>
                      <w:b/>
                      <w:bCs/>
                      <w:i w:val="false"/>
                      <w:iCs w:val="false"/>
                      <w:color w:val="1F3864"/>
                      <w:sz w:val="20"/>
                      <w:szCs w:val="20"/>
                    </w:rPr>
                    <w:t xml:space="preserve">Intune / MDM</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Fuera de alcance en esta fase</w:t>
                  </w:r>
                </w:p>
              </w:tc>
            </w:tr>
          </w:tbl>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6540" w:hRule="exact"/>
        </w:trPr>
        <w:tc>
          <w:tcPr>
            <w:tcBorders>
              <w:top w:val="none" w:color="FFFFFF" w:sz="0"/>
              <w:left w:val="none" w:color="FFFFFF" w:sz="0"/>
              <w:bottom w:val="none" w:color="FFFFFF" w:sz="0"/>
              <w:right w:val="none" w:color="FFFFFF" w:sz="0"/>
            </w:tcBorders>
            <w:shd w:fill="1F3864" w:val="clear"/>
            <w:tcMar>
              <w:top w:type="dxa" w:w="400"/>
              <w:left w:type="dxa" w:w="1440"/>
              <w:bottom w:type="dxa" w:w="0"/>
              <w:right w:type="dxa" w:w="1440"/>
            </w:tcMar>
          </w:tcPr>
          <w:p>
            <w:pPr>
              <w:spacing w:before="0" w:after="160"/>
            </w:pPr>
            <w:r>
              <w:rPr>
                <w:rFonts w:ascii="Arial" w:cs="Arial" w:eastAsia="Arial" w:hAnsi="Arial"/>
                <w:b/>
                <w:bCs/>
                <w:i w:val="false"/>
                <w:iCs w:val="false"/>
                <w:color w:val="8AAEDC"/>
                <w:sz w:val="20"/>
                <w:szCs w:val="20"/>
              </w:rPr>
              <w:t xml:space="preserve">Contenido de la Propuesta:</w:t>
            </w:r>
          </w:p>
          <w:p>
            <w:pPr>
              <w:spacing w:before="0" w:after="45"/>
            </w:pPr>
            <w:r>
              <w:rPr>
                <w:rFonts w:ascii="Arial" w:cs="Arial" w:eastAsia="Arial" w:hAnsi="Arial"/>
                <w:b w:val="false"/>
                <w:bCs w:val="false"/>
                <w:i w:val="false"/>
                <w:iCs w:val="false"/>
                <w:color w:val="FFFFFF"/>
                <w:sz w:val="19"/>
                <w:szCs w:val="19"/>
              </w:rPr>
              <w:t xml:space="preserve">1.   Resumen Ejecutivo</w:t>
            </w:r>
          </w:p>
          <w:p>
            <w:pPr>
              <w:spacing w:before="0" w:after="45"/>
            </w:pPr>
            <w:r>
              <w:rPr>
                <w:rFonts w:ascii="Arial" w:cs="Arial" w:eastAsia="Arial" w:hAnsi="Arial"/>
                <w:b w:val="false"/>
                <w:bCs w:val="false"/>
                <w:i w:val="false"/>
                <w:iCs w:val="false"/>
                <w:color w:val="FFFFFF"/>
                <w:sz w:val="19"/>
                <w:szCs w:val="19"/>
              </w:rPr>
              <w:t xml:space="preserve">2.   Objetivos del Proyecto</w:t>
            </w:r>
          </w:p>
          <w:p>
            <w:pPr>
              <w:spacing w:before="0" w:after="45"/>
            </w:pPr>
            <w:r>
              <w:rPr>
                <w:rFonts w:ascii="Arial" w:cs="Arial" w:eastAsia="Arial" w:hAnsi="Arial"/>
                <w:b w:val="false"/>
                <w:bCs w:val="false"/>
                <w:i w:val="false"/>
                <w:iCs w:val="false"/>
                <w:color w:val="FFFFFF"/>
                <w:sz w:val="19"/>
                <w:szCs w:val="19"/>
              </w:rPr>
              <w:t xml:space="preserve">3.   Arquitectura de la Solucion — AS-IS y TO-BE Hibrido</w:t>
            </w:r>
          </w:p>
          <w:p>
            <w:pPr>
              <w:spacing w:before="0" w:after="45"/>
            </w:pPr>
            <w:r>
              <w:rPr>
                <w:rFonts w:ascii="Arial" w:cs="Arial" w:eastAsia="Arial" w:hAnsi="Arial"/>
                <w:b w:val="false"/>
                <w:bCs w:val="false"/>
                <w:i w:val="false"/>
                <w:iCs w:val="false"/>
                <w:color w:val="FFFFFF"/>
                <w:sz w:val="19"/>
                <w:szCs w:val="19"/>
              </w:rPr>
              <w:t xml:space="preserve">4.   Componentes Tecnicos de la Sincronizacion</w:t>
            </w:r>
          </w:p>
          <w:p>
            <w:pPr>
              <w:spacing w:before="0" w:after="45"/>
            </w:pPr>
            <w:r>
              <w:rPr>
                <w:rFonts w:ascii="Arial" w:cs="Arial" w:eastAsia="Arial" w:hAnsi="Arial"/>
                <w:b w:val="false"/>
                <w:bCs w:val="false"/>
                <w:i w:val="false"/>
                <w:iCs w:val="false"/>
                <w:color w:val="FFFFFF"/>
                <w:sz w:val="19"/>
                <w:szCs w:val="19"/>
              </w:rPr>
              <w:t xml:space="preserve">5.   Alcance de Servicios y Entregables</w:t>
            </w:r>
          </w:p>
          <w:p>
            <w:pPr>
              <w:spacing w:before="0" w:after="45"/>
            </w:pPr>
            <w:r>
              <w:rPr>
                <w:rFonts w:ascii="Arial" w:cs="Arial" w:eastAsia="Arial" w:hAnsi="Arial"/>
                <w:b w:val="false"/>
                <w:bCs w:val="false"/>
                <w:i w:val="false"/>
                <w:iCs w:val="false"/>
                <w:color w:val="FFFFFF"/>
                <w:sz w:val="19"/>
                <w:szCs w:val="19"/>
              </w:rPr>
              <w:t xml:space="preserve">6.   Fuera de Alcance</w:t>
            </w:r>
          </w:p>
          <w:p>
            <w:pPr>
              <w:spacing w:before="0" w:after="45"/>
            </w:pPr>
            <w:r>
              <w:rPr>
                <w:rFonts w:ascii="Arial" w:cs="Arial" w:eastAsia="Arial" w:hAnsi="Arial"/>
                <w:b w:val="false"/>
                <w:bCs w:val="false"/>
                <w:i w:val="false"/>
                <w:iCs w:val="false"/>
                <w:color w:val="FFFFFF"/>
                <w:sz w:val="19"/>
                <w:szCs w:val="19"/>
              </w:rPr>
              <w:t xml:space="preserve">7.   Supuestos del Proyecto</w:t>
            </w:r>
          </w:p>
          <w:p>
            <w:pPr>
              <w:spacing w:before="0" w:after="45"/>
            </w:pPr>
            <w:r>
              <w:rPr>
                <w:rFonts w:ascii="Arial" w:cs="Arial" w:eastAsia="Arial" w:hAnsi="Arial"/>
                <w:b w:val="false"/>
                <w:bCs w:val="false"/>
                <w:i w:val="false"/>
                <w:iCs w:val="false"/>
                <w:color w:val="FFFFFF"/>
                <w:sz w:val="19"/>
                <w:szCs w:val="19"/>
              </w:rPr>
              <w:t xml:space="preserve">8.   Requerimientos Tecnicos y Humanos</w:t>
            </w:r>
          </w:p>
          <w:p>
            <w:pPr>
              <w:spacing w:before="0" w:after="45"/>
            </w:pPr>
            <w:r>
              <w:rPr>
                <w:rFonts w:ascii="Arial" w:cs="Arial" w:eastAsia="Arial" w:hAnsi="Arial"/>
                <w:b w:val="false"/>
                <w:bCs w:val="false"/>
                <w:i w:val="false"/>
                <w:iCs w:val="false"/>
                <w:color w:val="FFFFFF"/>
                <w:sz w:val="19"/>
                <w:szCs w:val="19"/>
              </w:rPr>
              <w:t xml:space="preserve">9.   Estrategia de Seguridad — MFA y Conditional Access sin Intune</w:t>
            </w:r>
          </w:p>
          <w:p>
            <w:pPr>
              <w:spacing w:before="0" w:after="45"/>
            </w:pPr>
            <w:r>
              <w:rPr>
                <w:rFonts w:ascii="Arial" w:cs="Arial" w:eastAsia="Arial" w:hAnsi="Arial"/>
                <w:b w:val="false"/>
                <w:bCs w:val="false"/>
                <w:i w:val="false"/>
                <w:iCs w:val="false"/>
                <w:color w:val="FFFFFF"/>
                <w:sz w:val="19"/>
                <w:szCs w:val="19"/>
              </w:rPr>
              <w:t xml:space="preserve">10.  Plan de Implementacion por Fases</w:t>
            </w:r>
          </w:p>
          <w:p>
            <w:pPr>
              <w:spacing w:before="0" w:after="45"/>
            </w:pPr>
            <w:r>
              <w:rPr>
                <w:rFonts w:ascii="Arial" w:cs="Arial" w:eastAsia="Arial" w:hAnsi="Arial"/>
                <w:b w:val="false"/>
                <w:bCs w:val="false"/>
                <w:i w:val="false"/>
                <w:iCs w:val="false"/>
                <w:color w:val="FFFFFF"/>
                <w:sz w:val="19"/>
                <w:szCs w:val="19"/>
              </w:rPr>
              <w:t xml:space="preserve">11.  Estimacion de Tiempos</w:t>
            </w:r>
          </w:p>
          <w:p>
            <w:pPr>
              <w:spacing w:before="0" w:after="45"/>
            </w:pPr>
            <w:r>
              <w:rPr>
                <w:rFonts w:ascii="Arial" w:cs="Arial" w:eastAsia="Arial" w:hAnsi="Arial"/>
                <w:b w:val="false"/>
                <w:bCs w:val="false"/>
                <w:i w:val="false"/>
                <w:iCs w:val="false"/>
                <w:color w:val="FFFFFF"/>
                <w:sz w:val="19"/>
                <w:szCs w:val="19"/>
              </w:rPr>
              <w:t xml:space="preserve">12.  Calculadora de Costos — Licencias y Servicios Azure</w:t>
            </w:r>
          </w:p>
          <w:p>
            <w:pPr>
              <w:spacing w:before="0" w:after="45"/>
            </w:pPr>
            <w:r>
              <w:rPr>
                <w:rFonts w:ascii="Arial" w:cs="Arial" w:eastAsia="Arial" w:hAnsi="Arial"/>
                <w:b w:val="false"/>
                <w:bCs w:val="false"/>
                <w:i w:val="false"/>
                <w:iCs w:val="false"/>
                <w:color w:val="FFFFFF"/>
                <w:sz w:val="19"/>
                <w:szCs w:val="19"/>
              </w:rPr>
              <w:t xml:space="preserve">13.  Condiciones Comerciales y Garantia</w:t>
            </w:r>
          </w:p>
          <w:p>
            <w:pPr>
              <w:spacing w:before="0" w:after="45"/>
            </w:pPr>
            <w:r>
              <w:rPr>
                <w:rFonts w:ascii="Arial" w:cs="Arial" w:eastAsia="Arial" w:hAnsi="Arial"/>
                <w:b w:val="false"/>
                <w:bCs w:val="false"/>
                <w:i w:val="false"/>
                <w:iCs w:val="false"/>
                <w:color w:val="FFFFFF"/>
                <w:sz w:val="19"/>
                <w:szCs w:val="19"/>
              </w:rPr>
              <w:t xml:space="preserve">14.  Criterios de Exito y KPIs</w:t>
            </w:r>
          </w:p>
          <w:p>
            <w:pPr>
              <w:spacing w:before="0" w:after="45"/>
            </w:pPr>
            <w:r>
              <w:rPr>
                <w:rFonts w:ascii="Arial" w:cs="Arial" w:eastAsia="Arial" w:hAnsi="Arial"/>
                <w:b w:val="false"/>
                <w:bCs w:val="false"/>
                <w:i w:val="false"/>
                <w:iCs w:val="false"/>
                <w:color w:val="FFFFFF"/>
                <w:sz w:val="19"/>
                <w:szCs w:val="19"/>
              </w:rPr>
              <w:t xml:space="preserve">15.  Hoja de Ruta Futura — Hacia Intune y Cloud-Only (Referencia)</w:t>
            </w:r>
          </w:p>
        </w:tc>
      </w:tr>
    </w:tbl>
    <w:p>
      <w:pPr>
        <w:sectPr>
          <w:pgSz w:w="12240" w:h="15840" w:orient="portrait"/>
          <w:pgMar w:top="0" w:right="0" w:bottom="0" w:left="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1</w:t>
            </w:r>
          </w:p>
          <w:p>
            <w:pPr>
              <w:spacing w:before="0" w:after="60"/>
            </w:pPr>
            <w:r>
              <w:rPr>
                <w:rFonts w:ascii="Arial" w:cs="Arial" w:eastAsia="Arial" w:hAnsi="Arial"/>
                <w:b/>
                <w:bCs/>
                <w:i w:val="false"/>
                <w:iCs w:val="false"/>
                <w:color w:val="FFFFFF"/>
                <w:sz w:val="28"/>
                <w:szCs w:val="28"/>
              </w:rPr>
              <w:t xml:space="preserve">Resumen Ejecutivo</w:t>
            </w:r>
          </w:p>
          <w:p>
            <w:pPr>
              <w:spacing w:before="0" w:after="0"/>
            </w:pPr>
            <w:r>
              <w:rPr>
                <w:rFonts w:ascii="Arial" w:cs="Arial" w:eastAsia="Arial" w:hAnsi="Arial"/>
                <w:b w:val="false"/>
                <w:bCs w:val="false"/>
                <w:i/>
                <w:iCs/>
                <w:color w:val="8AAEDC"/>
                <w:sz w:val="19"/>
                <w:szCs w:val="19"/>
              </w:rPr>
              <w:t xml:space="preserve">Contexto del escenario hibrido y valor de la propuesta</w:t>
            </w:r>
          </w:p>
        </w:tc>
      </w:tr>
    </w:tbl>
    <w:p>
      <w:pPr>
        <w:spacing w:before="0" w:after="0"/>
      </w:pPr>
      <w:r>
        <w:t xml:space="preserve"/>
      </w:r>
    </w:p>
    <w:p>
      <w:pPr>
        <w:spacing w:before="80" w:after="80"/>
        <w:jc w:val="both"/>
      </w:pPr>
      <w:r>
        <w:rPr>
          <w:rFonts w:ascii="Arial" w:cs="Arial" w:eastAsia="Arial" w:hAnsi="Arial"/>
          <w:b w:val="false"/>
          <w:bCs w:val="false"/>
          <w:i w:val="false"/>
          <w:iCs w:val="false"/>
          <w:color w:val="1A1A1A"/>
          <w:sz w:val="21"/>
          <w:szCs w:val="21"/>
        </w:rPr>
        <w:t xml:space="preserve">La organizacion opera actualmente con un entorno de Active Directory Domain Services (AD DS) on-premises que continuara siendo el directorio principal de identidad para aplicaciones legacy que dependen de autenticacion de dominio tradicional (LDAP, Kerberos, NTLM). Estas aplicaciones no seran modificadas ni migradas en esta fase, por lo que el AD local permanece como la fuente de verdad de identidades.</w:t>
      </w:r>
    </w:p>
    <w:p>
      <w:pPr>
        <w:spacing w:before="0" w:after="0"/>
      </w:pPr>
      <w:r>
        <w:t xml:space="preserve"/>
      </w:r>
    </w:p>
    <w:p>
      <w:pPr>
        <w:spacing w:before="80" w:after="80"/>
        <w:jc w:val="both"/>
      </w:pPr>
      <w:r>
        <w:rPr>
          <w:rFonts w:ascii="Arial" w:cs="Arial" w:eastAsia="Arial" w:hAnsi="Arial"/>
          <w:b w:val="false"/>
          <w:bCs w:val="false"/>
          <w:i w:val="false"/>
          <w:iCs w:val="false"/>
          <w:color w:val="1A1A1A"/>
          <w:sz w:val="21"/>
          <w:szCs w:val="21"/>
        </w:rPr>
        <w:t xml:space="preserve">El objetivo de esta propuesta es implementar la sincronizacion del AD on-premises con Microsoft Entra ID (anteriormente Azure Active Directory) mediante Microsoft Entra Connect, habilitando un modelo de Identidad Hibrida que permita a los usuarios de la organizacion autenticarse con las mismas credenciales corporativas en aplicaciones modernas en la nube — Microsoft 365, aplicaciones SaaS y Azure — sin necesidad de gestionar cuentas separadas, y con controles de seguridad modernos como MFA y Conditional Access.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7" w:val="clear"/>
            <w:tcMar>
              <w:top w:type="dxa" w:w="160"/>
              <w:left w:type="dxa" w:w="280"/>
              <w:bottom w:type="dxa" w:w="160"/>
              <w:right w:type="dxa" w:w="280"/>
            </w:tcMar>
          </w:tcPr>
          <w:p>
            <w:pPr>
              <w:spacing w:before="0" w:after="80"/>
            </w:pPr>
            <w:r>
              <w:rPr>
                <w:rFonts w:ascii="Arial" w:cs="Arial" w:eastAsia="Arial" w:hAnsi="Arial"/>
                <w:b/>
                <w:bCs/>
                <w:i w:val="false"/>
                <w:iCs w:val="false"/>
                <w:color w:val="1F3864"/>
                <w:sz w:val="21"/>
                <w:szCs w:val="21"/>
              </w:rPr>
              <w:t xml:space="preserve">Lo que se habilita con esta propuesta (sin afectar las apps legacy)</w:t>
            </w:r>
          </w:p>
          <w:p>
            <w:pPr>
              <w:spacing w:before="0" w:after="40"/>
            </w:pPr>
            <w:r>
              <w:rPr>
                <w:rFonts w:ascii="Arial" w:cs="Arial" w:eastAsia="Arial" w:hAnsi="Arial"/>
                <w:b w:val="false"/>
                <w:bCs w:val="false"/>
                <w:i w:val="false"/>
                <w:iCs w:val="false"/>
                <w:color w:val="1A1A1A"/>
                <w:sz w:val="20"/>
                <w:szCs w:val="20"/>
              </w:rPr>
              <w:t xml:space="preserve">  Single Sign-On (SSO) para Microsoft 365 (Exchange Online, Teams, SharePoint, OneDrive) usando credenciales del AD local.</w:t>
            </w:r>
          </w:p>
          <w:p>
            <w:pPr>
              <w:spacing w:before="0" w:after="40"/>
            </w:pPr>
            <w:r>
              <w:rPr>
                <w:rFonts w:ascii="Arial" w:cs="Arial" w:eastAsia="Arial" w:hAnsi="Arial"/>
                <w:b w:val="false"/>
                <w:bCs w:val="false"/>
                <w:i w:val="false"/>
                <w:iCs w:val="false"/>
                <w:color w:val="1A1A1A"/>
                <w:sz w:val="20"/>
                <w:szCs w:val="20"/>
              </w:rPr>
              <w:t xml:space="preserve">  Autenticacion Multifactor (MFA) obligatorio para todos los usuarios via Microsoft Authenticator.</w:t>
            </w:r>
          </w:p>
          <w:p>
            <w:pPr>
              <w:spacing w:before="0" w:after="40"/>
            </w:pPr>
            <w:r>
              <w:rPr>
                <w:rFonts w:ascii="Arial" w:cs="Arial" w:eastAsia="Arial" w:hAnsi="Arial"/>
                <w:b w:val="false"/>
                <w:bCs w:val="false"/>
                <w:i w:val="false"/>
                <w:iCs w:val="false"/>
                <w:color w:val="1A1A1A"/>
                <w:sz w:val="20"/>
                <w:szCs w:val="20"/>
              </w:rPr>
              <w:t xml:space="preserve">  Acceso Condicional (Conditional Access): politicas de acceso basadas en usuario, IP, riesgo y aplicacion.</w:t>
            </w:r>
          </w:p>
          <w:p>
            <w:pPr>
              <w:spacing w:before="0" w:after="40"/>
            </w:pPr>
            <w:r>
              <w:rPr>
                <w:rFonts w:ascii="Arial" w:cs="Arial" w:eastAsia="Arial" w:hAnsi="Arial"/>
                <w:b w:val="false"/>
                <w:bCs w:val="false"/>
                <w:i w:val="false"/>
                <w:iCs w:val="false"/>
                <w:color w:val="1A1A1A"/>
                <w:sz w:val="20"/>
                <w:szCs w:val="20"/>
              </w:rPr>
              <w:t xml:space="preserve">  Self-Service Password Reset (SSPR): los usuarios pueden restablecer su propia contrasena sin llamar al helpdesk.</w:t>
            </w:r>
          </w:p>
          <w:p>
            <w:pPr>
              <w:spacing w:before="0" w:after="40"/>
            </w:pPr>
            <w:r>
              <w:rPr>
                <w:rFonts w:ascii="Arial" w:cs="Arial" w:eastAsia="Arial" w:hAnsi="Arial"/>
                <w:b w:val="false"/>
                <w:bCs w:val="false"/>
                <w:i w:val="false"/>
                <w:iCs w:val="false"/>
                <w:color w:val="1A1A1A"/>
                <w:sz w:val="20"/>
                <w:szCs w:val="20"/>
              </w:rPr>
              <w:t xml:space="preserve">  Password Writeback: los resets de contrasena desde la nube se aplican en el AD on-premises en tiempo real.</w:t>
            </w:r>
          </w:p>
          <w:p>
            <w:pPr>
              <w:spacing w:before="0" w:after="40"/>
            </w:pPr>
            <w:r>
              <w:rPr>
                <w:rFonts w:ascii="Arial" w:cs="Arial" w:eastAsia="Arial" w:hAnsi="Arial"/>
                <w:b w:val="false"/>
                <w:bCs w:val="false"/>
                <w:i w:val="false"/>
                <w:iCs w:val="false"/>
                <w:color w:val="1A1A1A"/>
                <w:sz w:val="20"/>
                <w:szCs w:val="20"/>
              </w:rPr>
              <w:t xml:space="preserve">  SSO para aplicaciones SaaS de terceros (Salesforce, ServiceNow, Zoom, etc.) integradas en Entra ID.</w:t>
            </w:r>
          </w:p>
          <w:p>
            <w:pPr>
              <w:spacing w:before="0" w:after="40"/>
            </w:pPr>
            <w:r>
              <w:rPr>
                <w:rFonts w:ascii="Arial" w:cs="Arial" w:eastAsia="Arial" w:hAnsi="Arial"/>
                <w:b w:val="false"/>
                <w:bCs w:val="false"/>
                <w:i w:val="false"/>
                <w:iCs w:val="false"/>
                <w:color w:val="1A1A1A"/>
                <w:sz w:val="20"/>
                <w:szCs w:val="20"/>
              </w:rPr>
              <w:t xml:space="preserve">  Visibilidad de identidades en la nube: quien se autentica, desde donde y con que aplicacion.</w:t>
            </w:r>
          </w:p>
          <w:p>
            <w:pPr>
              <w:spacing w:before="0" w:after="40"/>
            </w:pPr>
            <w:r>
              <w:rPr>
                <w:rFonts w:ascii="Arial" w:cs="Arial" w:eastAsia="Arial" w:hAnsi="Arial"/>
                <w:b w:val="false"/>
                <w:bCs w:val="false"/>
                <w:i w:val="false"/>
                <w:iCs w:val="false"/>
                <w:color w:val="1A1A1A"/>
                <w:sz w:val="20"/>
                <w:szCs w:val="20"/>
              </w:rPr>
              <w:t xml:space="preserve">  Microsoft Defender for Identity: deteccion de ataques sobre el AD on-premises en tiempo real.</w:t>
            </w:r>
          </w:p>
          <w:p>
            <w:pPr>
              <w:spacing w:before="0" w:after="40"/>
            </w:pPr>
            <w:r>
              <w:rPr>
                <w:rFonts w:ascii="Arial" w:cs="Arial" w:eastAsia="Arial" w:hAnsi="Arial"/>
                <w:b w:val="false"/>
                <w:bCs w:val="false"/>
                <w:i w:val="false"/>
                <w:iCs w:val="false"/>
                <w:color w:val="1A1A1A"/>
                <w:sz w:val="20"/>
                <w:szCs w:val="20"/>
              </w:rPr>
              <w:t xml:space="preserve">  Las aplicaciones legacy que usan LDAP/Kerberos/NTLM continuan funcionando SIN cambios.</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5FA3"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2</w:t>
            </w:r>
          </w:p>
          <w:p>
            <w:pPr>
              <w:spacing w:before="0" w:after="60"/>
            </w:pPr>
            <w:r>
              <w:rPr>
                <w:rFonts w:ascii="Arial" w:cs="Arial" w:eastAsia="Arial" w:hAnsi="Arial"/>
                <w:b/>
                <w:bCs/>
                <w:i w:val="false"/>
                <w:iCs w:val="false"/>
                <w:color w:val="FFFFFF"/>
                <w:sz w:val="28"/>
                <w:szCs w:val="28"/>
              </w:rPr>
              <w:t xml:space="preserve">Objetivos del Proyecto</w:t>
            </w:r>
          </w:p>
          <w:p>
            <w:pPr>
              <w:spacing w:before="0" w:after="0"/>
            </w:pPr>
            <w:r>
              <w:rPr>
                <w:rFonts w:ascii="Arial" w:cs="Arial" w:eastAsia="Arial" w:hAnsi="Arial"/>
                <w:b w:val="false"/>
                <w:bCs w:val="false"/>
                <w:i/>
                <w:iCs/>
                <w:color w:val="8AAEDC"/>
                <w:sz w:val="19"/>
                <w:szCs w:val="19"/>
              </w:rPr>
              <w:t xml:space="preserve">Metas especificas del modelo de identidad hibrida</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2.1 Objetivo General</w:t>
      </w:r>
    </w:p>
    <w:p>
      <w:pPr>
        <w:spacing w:before="80" w:after="80"/>
        <w:jc w:val="both"/>
      </w:pPr>
      <w:r>
        <w:rPr>
          <w:rFonts w:ascii="Arial" w:cs="Arial" w:eastAsia="Arial" w:hAnsi="Arial"/>
          <w:b w:val="false"/>
          <w:bCs w:val="false"/>
          <w:i w:val="false"/>
          <w:iCs w:val="false"/>
          <w:color w:val="1A1A1A"/>
          <w:sz w:val="21"/>
          <w:szCs w:val="21"/>
        </w:rPr>
        <w:t xml:space="preserve">Implementar la sincronizacion entre Active Directory Domain Services on-premises y Microsoft Entra ID mediante Microsoft Entra Connect, estableciendo un modelo de identidad hibrida que preserve la compatibilidad total con las aplicaciones legacy del entorno local, mientras habilita capacidades modernas de autenticacion, seguridad y acceso a aplicaciones en la nube para todos los usuarios de la organizacion.</w:t>
      </w:r>
    </w:p>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2.2 Objetivos Especificos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560"/>
        <w:gridCol w:w="1000"/>
      </w:tblGrid>
      <w:tr>
        <w:trPr>
          <w:tblHeader/>
        </w:trPr>
        <w:tc>
          <w:tcPr>
            <w:tcW w:type="dxa" w:w="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Objetivo</w:t>
            </w:r>
          </w:p>
        </w:tc>
        <w:tc>
          <w:tcPr>
            <w:tcW w:type="dxa" w:w="55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Descripcion</w:t>
            </w:r>
          </w:p>
        </w:tc>
        <w:tc>
          <w:tcPr>
            <w:tcW w:type="dxa" w:w="1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Prioridad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OBJ-01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Sincronizacion AD — Entra 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Implementar Entra Connect con Password Hash Sync (PHS) para sincronizar usuarios, grupos y atributos entre AD on-premises y Entra 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OBJ-02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Mismas Credenciales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Garantizar que los usuarios utilicen las mismas credenciales del AD local para acceder a Microsoft 365 y aplicaciones SaaS en la nube.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OBJ-03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MFA Obligatorio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Habilitar autenticacion multifactor (MFA) para el 100% de los usuarios en el acceso a aplicaciones en la nube via Entra 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OBJ-04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Conditional Access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Configurar politicas de acceso condicional para proteger el acceso a aplicaciones criticas basandose en usuario, ubicacion, riesgo y aplicacion.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OBJ-05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Password Writeback + SSPR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Habilitar el restablecimiento de contrasenas por el propio usuario desde la nube, propagando el cambio al AD on-premises.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OBJ-06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Proteccion del AD Local</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Implementar Microsoft Defender for Identity para detectar ataques sobre el AD on-premises (Pass-the-Hash, Golden Ticket, etc.).</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OBJ-07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SSO para SaaS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Habilitar Single Sign-On para aplicaciones SaaS de la organizacion integradas en Entra ID (SAML 2.0 / OIDC).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Media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OBJ-08</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Continuidad Apps Legacy</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Garantizar que NINGUNA aplicacion legacy que use LDAP, Kerberos o NTLM sea afectada por la implementacion.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OBJ-09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Documentacion y Capacitacion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Documentar el nuevo entorno hibrido y capacitar al equipo de TI para la administracion autonoma de Entra Connect y Entra 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Media</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6A72"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3</w:t>
            </w:r>
          </w:p>
          <w:p>
            <w:pPr>
              <w:spacing w:before="0" w:after="60"/>
            </w:pPr>
            <w:r>
              <w:rPr>
                <w:rFonts w:ascii="Arial" w:cs="Arial" w:eastAsia="Arial" w:hAnsi="Arial"/>
                <w:b/>
                <w:bCs/>
                <w:i w:val="false"/>
                <w:iCs w:val="false"/>
                <w:color w:val="FFFFFF"/>
                <w:sz w:val="28"/>
                <w:szCs w:val="28"/>
              </w:rPr>
              <w:t xml:space="preserve">Arquitectura de la Solucion</w:t>
            </w:r>
          </w:p>
          <w:p>
            <w:pPr>
              <w:spacing w:before="0" w:after="0"/>
            </w:pPr>
            <w:r>
              <w:rPr>
                <w:rFonts w:ascii="Arial" w:cs="Arial" w:eastAsia="Arial" w:hAnsi="Arial"/>
                <w:b w:val="false"/>
                <w:bCs w:val="false"/>
                <w:i/>
                <w:iCs/>
                <w:color w:val="8AAEDC"/>
                <w:sz w:val="19"/>
                <w:szCs w:val="19"/>
              </w:rPr>
              <w:t xml:space="preserve">Modelo AS-IS actual y arquitectura TO-BE hibrida</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3.1 Estado Actual — AS-IS</w:t>
      </w:r>
    </w:p>
    <w:p>
      <w:pPr>
        <w:spacing w:before="80" w:after="80"/>
        <w:jc w:val="both"/>
      </w:pPr>
      <w:r>
        <w:rPr>
          <w:rFonts w:ascii="Arial" w:cs="Arial" w:eastAsia="Arial" w:hAnsi="Arial"/>
          <w:b w:val="false"/>
          <w:bCs w:val="false"/>
          <w:i w:val="false"/>
          <w:iCs w:val="false"/>
          <w:color w:val="1A1A1A"/>
          <w:sz w:val="21"/>
          <w:szCs w:val="21"/>
        </w:rPr>
        <w:t xml:space="preserve">La organizacion cuenta con un entorno de AD DS on-premises con uno o mas Domain Controllers. Todos los usuarios y equipos son gestionados localmente. Las aplicaciones legacy (ERP, sistemas internos, file servers, impresoras) se autentican via LDAP, Kerberos o NTLM directamente contra los DC locales. No existe sincronizacion con ninguna nube.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Capa</w:t>
            </w:r>
          </w:p>
        </w:tc>
        <w:tc>
          <w:tcPr>
            <w:tcW w:type="dxa" w:w="21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Estado Actual</w:t>
            </w:r>
          </w:p>
        </w:tc>
        <w:tc>
          <w:tcPr>
            <w:tcW w:type="dxa" w:w="4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Descripcion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Directorio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AD DS On-Premises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DC locales. Fuente unica de verdad. Kerberos/LDAP/NTLM.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Autenticacion apps legacy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Directa al DC local</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LDAP, Kerberos, NTLM. Sin cambios en esta propuesta.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Acceso a M365 / SaaS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No unificado o sin SSO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Cuentas separadas o sin integracion con AD.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MFA</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No habilitado globalmente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Sin MFA nativo para acceso a aplicaciones en la nube.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Visibilidad de identidades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Solo on-premises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Sin visibilidad de accesos a aplicaciones SaaS.</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3.2 Arquitectura TO-BE — Modelo Hibrido</w:t>
      </w:r>
    </w:p>
    <w:p>
      <w:pPr>
        <w:spacing w:before="80" w:after="80"/>
        <w:jc w:val="both"/>
      </w:pPr>
      <w:r>
        <w:rPr>
          <w:rFonts w:ascii="Arial" w:cs="Arial" w:eastAsia="Arial" w:hAnsi="Arial"/>
          <w:b w:val="false"/>
          <w:bCs w:val="false"/>
          <w:i w:val="false"/>
          <w:iCs w:val="false"/>
          <w:color w:val="1A1A1A"/>
          <w:sz w:val="21"/>
          <w:szCs w:val="21"/>
        </w:rPr>
        <w:t xml:space="preserve">La arquitectura propuesta mantiene el AD DS on-premises como directorio principal y agrega Microsoft Entra ID como directorio de identidad en la nube, sincronizados de forma continua mediante Microsoft Entra Connect. Las aplicaciones legacy siguen autenticando contra los DC locales sin ningun cambio. Las aplicaciones SaaS y M365 autentican contra Entra ID, con las mismas credenciales del usuario.</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
        <w:gridCol w:w="2400"/>
        <w:gridCol w:w="320"/>
        <w:gridCol w:w="3720"/>
      </w:tblGrid>
      <w:tr>
        <w:tc>
          <w:tcPr>
            <w:tcW w:type="dxa" w:w="2600"/>
            <w:tcBorders>
              <w:top w:val="single" w:color="CCCCCC" w:sz="1"/>
              <w:left w:val="single" w:color="CCCCCC" w:sz="1"/>
              <w:bottom w:val="single" w:color="CCCCCC" w:sz="1"/>
              <w:right w:val="single" w:color="CCCCCC" w:sz="1"/>
            </w:tcBorders>
            <w:shd w:fill="1F3864" w:val="clear"/>
            <w:tcMar>
              <w:top w:type="dxa" w:w="180"/>
              <w:left w:type="dxa" w:w="150"/>
              <w:bottom w:type="dxa" w:w="180"/>
              <w:right w:type="dxa" w:w="150"/>
            </w:tcMar>
            <w:vAlign w:val="center"/>
          </w:tcPr>
          <w:p>
            <w:pPr>
              <w:spacing w:before="0" w:after="60"/>
              <w:jc w:val="center"/>
            </w:pPr>
            <w:r>
              <w:rPr>
                <w:rFonts w:ascii="Arial" w:cs="Arial" w:eastAsia="Arial" w:hAnsi="Arial"/>
                <w:b/>
                <w:bCs/>
                <w:i w:val="false"/>
                <w:iCs w:val="false"/>
                <w:color w:val="FFFFFF"/>
                <w:sz w:val="20"/>
                <w:szCs w:val="20"/>
              </w:rPr>
              <w:t xml:space="preserve">AD DS ON-PREMISES</w:t>
            </w:r>
          </w:p>
          <w:p>
            <w:pPr>
              <w:spacing w:before="0" w:after="40"/>
              <w:jc w:val="center"/>
            </w:pPr>
            <w:r>
              <w:rPr>
                <w:rFonts w:ascii="Arial" w:cs="Arial" w:eastAsia="Arial" w:hAnsi="Arial"/>
                <w:b w:val="false"/>
                <w:bCs w:val="false"/>
                <w:i w:val="false"/>
                <w:iCs w:val="false"/>
                <w:color w:val="C8DCEF"/>
                <w:sz w:val="17"/>
                <w:szCs w:val="17"/>
              </w:rPr>
              <w:t xml:space="preserve">Domain Controller(s)</w:t>
            </w:r>
          </w:p>
          <w:p>
            <w:pPr>
              <w:spacing w:before="0" w:after="30"/>
              <w:jc w:val="center"/>
            </w:pPr>
            <w:r>
              <w:rPr>
                <w:rFonts w:ascii="Arial" w:cs="Arial" w:eastAsia="Arial" w:hAnsi="Arial"/>
                <w:b w:val="false"/>
                <w:bCs w:val="false"/>
                <w:i w:val="false"/>
                <w:iCs w:val="false"/>
                <w:color w:val="FFFFFF"/>
                <w:sz w:val="16"/>
                <w:szCs w:val="16"/>
              </w:rPr>
              <w:t xml:space="preserve">+ LDAP / Kerberos</w:t>
            </w:r>
          </w:p>
          <w:p>
            <w:pPr>
              <w:spacing w:before="0" w:after="30"/>
              <w:jc w:val="center"/>
            </w:pPr>
            <w:r>
              <w:rPr>
                <w:rFonts w:ascii="Arial" w:cs="Arial" w:eastAsia="Arial" w:hAnsi="Arial"/>
                <w:b w:val="false"/>
                <w:bCs w:val="false"/>
                <w:i w:val="false"/>
                <w:iCs w:val="false"/>
                <w:color w:val="FFFFFF"/>
                <w:sz w:val="16"/>
                <w:szCs w:val="16"/>
              </w:rPr>
              <w:t xml:space="preserve">+ DNS / GPOs</w:t>
            </w:r>
          </w:p>
          <w:p>
            <w:pPr>
              <w:spacing w:before="0" w:after="0"/>
              <w:jc w:val="center"/>
            </w:pPr>
            <w:r>
              <w:rPr>
                <w:rFonts w:ascii="Arial" w:cs="Arial" w:eastAsia="Arial" w:hAnsi="Arial"/>
                <w:b/>
                <w:bCs/>
                <w:i w:val="false"/>
                <w:iCs w:val="false"/>
                <w:color w:val="7FB3E8"/>
                <w:sz w:val="15"/>
                <w:szCs w:val="15"/>
              </w:rPr>
              <w:t xml:space="preserve">FUENTE DE VERDAD</w:t>
            </w:r>
          </w:p>
        </w:tc>
        <w:tc>
          <w:tcPr>
            <w:tcW w:type="dxa" w:w="320"/>
            <w:tcBorders>
              <w:top w:val="none" w:color="FFFFFF" w:sz="0"/>
              <w:left w:val="none" w:color="FFFFFF" w:sz="0"/>
              <w:bottom w:val="none" w:color="FFFFFF" w:sz="0"/>
              <w:right w:val="none" w:color="FFFFFF" w:sz="0"/>
            </w:tcBorders>
            <w:vAlign w:val="center"/>
          </w:tcPr>
          <w:p>
            <w:pPr>
              <w:spacing w:before="0" w:after="0"/>
              <w:jc w:val="center"/>
            </w:pPr>
            <w:r>
              <w:rPr>
                <w:rFonts w:ascii="Arial" w:cs="Arial" w:eastAsia="Arial" w:hAnsi="Arial"/>
                <w:b/>
                <w:bCs/>
                <w:i w:val="false"/>
                <w:iCs w:val="false"/>
                <w:color w:val="2E5FA3"/>
                <w:sz w:val="20"/>
                <w:szCs w:val="20"/>
              </w:rPr>
              <w:t xml:space="preserve">&lt;-&gt;</w:t>
            </w:r>
          </w:p>
        </w:tc>
        <w:tc>
          <w:tcPr>
            <w:tcW w:type="dxa" w:w="2400"/>
            <w:tcBorders>
              <w:top w:val="single" w:color="CCCCCC" w:sz="1"/>
              <w:left w:val="single" w:color="CCCCCC" w:sz="1"/>
              <w:bottom w:val="single" w:color="CCCCCC" w:sz="1"/>
              <w:right w:val="single" w:color="CCCCCC" w:sz="1"/>
            </w:tcBorders>
            <w:shd w:fill="2E5FA3" w:val="clear"/>
            <w:tcMar>
              <w:top w:type="dxa" w:w="180"/>
              <w:left w:type="dxa" w:w="150"/>
              <w:bottom w:type="dxa" w:w="180"/>
              <w:right w:type="dxa" w:w="150"/>
            </w:tcMar>
            <w:vAlign w:val="center"/>
          </w:tcPr>
          <w:p>
            <w:pPr>
              <w:spacing w:before="0" w:after="60"/>
              <w:jc w:val="center"/>
            </w:pPr>
            <w:r>
              <w:rPr>
                <w:rFonts w:ascii="Arial" w:cs="Arial" w:eastAsia="Arial" w:hAnsi="Arial"/>
                <w:b/>
                <w:bCs/>
                <w:i w:val="false"/>
                <w:iCs w:val="false"/>
                <w:color w:val="FFFFFF"/>
                <w:sz w:val="20"/>
                <w:szCs w:val="20"/>
              </w:rPr>
              <w:t xml:space="preserve">ENTRA CONNECT</w:t>
            </w:r>
          </w:p>
          <w:p>
            <w:pPr>
              <w:spacing w:before="0" w:after="40"/>
              <w:jc w:val="center"/>
            </w:pPr>
            <w:r>
              <w:rPr>
                <w:rFonts w:ascii="Arial" w:cs="Arial" w:eastAsia="Arial" w:hAnsi="Arial"/>
                <w:b w:val="false"/>
                <w:bCs w:val="false"/>
                <w:i w:val="false"/>
                <w:iCs w:val="false"/>
                <w:color w:val="C8DCEF"/>
                <w:sz w:val="17"/>
                <w:szCs w:val="17"/>
              </w:rPr>
              <w:t xml:space="preserve">Motor de Sincronizacion</w:t>
            </w:r>
          </w:p>
          <w:p>
            <w:pPr>
              <w:spacing w:before="0" w:after="30"/>
              <w:jc w:val="center"/>
            </w:pPr>
            <w:r>
              <w:rPr>
                <w:rFonts w:ascii="Arial" w:cs="Arial" w:eastAsia="Arial" w:hAnsi="Arial"/>
                <w:b w:val="false"/>
                <w:bCs w:val="false"/>
                <w:i w:val="false"/>
                <w:iCs w:val="false"/>
                <w:color w:val="FFFFFF"/>
                <w:sz w:val="16"/>
                <w:szCs w:val="16"/>
              </w:rPr>
              <w:t xml:space="preserve">+ PHS (contrasenas)</w:t>
            </w:r>
          </w:p>
          <w:p>
            <w:pPr>
              <w:spacing w:before="0" w:after="30"/>
              <w:jc w:val="center"/>
            </w:pPr>
            <w:r>
              <w:rPr>
                <w:rFonts w:ascii="Arial" w:cs="Arial" w:eastAsia="Arial" w:hAnsi="Arial"/>
                <w:b w:val="false"/>
                <w:bCs w:val="false"/>
                <w:i w:val="false"/>
                <w:iCs w:val="false"/>
                <w:color w:val="FFFFFF"/>
                <w:sz w:val="16"/>
                <w:szCs w:val="16"/>
              </w:rPr>
              <w:t xml:space="preserve">+ Seamless SSO</w:t>
            </w:r>
          </w:p>
          <w:p>
            <w:pPr>
              <w:spacing w:before="0" w:after="0"/>
              <w:jc w:val="center"/>
            </w:pPr>
            <w:r>
              <w:rPr>
                <w:rFonts w:ascii="Arial" w:cs="Arial" w:eastAsia="Arial" w:hAnsi="Arial"/>
                <w:b w:val="false"/>
                <w:bCs w:val="false"/>
                <w:i w:val="false"/>
                <w:iCs w:val="false"/>
                <w:color w:val="C8DCEF"/>
                <w:sz w:val="15"/>
                <w:szCs w:val="15"/>
              </w:rPr>
              <w:t xml:space="preserve">Sync cada 30 min</w:t>
            </w:r>
          </w:p>
        </w:tc>
        <w:tc>
          <w:tcPr>
            <w:tcW w:type="dxa" w:w="320"/>
            <w:tcBorders>
              <w:top w:val="none" w:color="FFFFFF" w:sz="0"/>
              <w:left w:val="none" w:color="FFFFFF" w:sz="0"/>
              <w:bottom w:val="none" w:color="FFFFFF" w:sz="0"/>
              <w:right w:val="none" w:color="FFFFFF" w:sz="0"/>
            </w:tcBorders>
            <w:vAlign w:val="center"/>
          </w:tcPr>
          <w:p>
            <w:pPr>
              <w:spacing w:before="0" w:after="0"/>
              <w:jc w:val="center"/>
            </w:pPr>
            <w:r>
              <w:rPr>
                <w:rFonts w:ascii="Arial" w:cs="Arial" w:eastAsia="Arial" w:hAnsi="Arial"/>
                <w:b/>
                <w:bCs/>
                <w:i w:val="false"/>
                <w:iCs w:val="false"/>
                <w:color w:val="2E5FA3"/>
                <w:sz w:val="20"/>
                <w:szCs w:val="20"/>
              </w:rPr>
              <w:t xml:space="preserve">-&gt;</w:t>
            </w:r>
          </w:p>
        </w:tc>
        <w:tc>
          <w:tcPr>
            <w:tcW w:type="dxa" w:w="3720"/>
            <w:tcBorders>
              <w:top w:val="single" w:color="CCCCCC" w:sz="1"/>
              <w:left w:val="single" w:color="CCCCCC" w:sz="1"/>
              <w:bottom w:val="single" w:color="CCCCCC" w:sz="1"/>
              <w:right w:val="single" w:color="CCCCCC" w:sz="1"/>
            </w:tcBorders>
            <w:shd w:fill="4472C4" w:val="clear"/>
            <w:tcMar>
              <w:top w:type="dxa" w:w="180"/>
              <w:left w:type="dxa" w:w="150"/>
              <w:bottom w:type="dxa" w:w="180"/>
              <w:right w:type="dxa" w:w="150"/>
            </w:tcMar>
            <w:vAlign w:val="center"/>
          </w:tcPr>
          <w:p>
            <w:pPr>
              <w:spacing w:before="0" w:after="60"/>
              <w:jc w:val="center"/>
            </w:pPr>
            <w:r>
              <w:rPr>
                <w:rFonts w:ascii="Arial" w:cs="Arial" w:eastAsia="Arial" w:hAnsi="Arial"/>
                <w:b/>
                <w:bCs/>
                <w:i w:val="false"/>
                <w:iCs w:val="false"/>
                <w:color w:val="FFFFFF"/>
                <w:sz w:val="20"/>
                <w:szCs w:val="20"/>
              </w:rPr>
              <w:t xml:space="preserve">MICROSOFT ENTRA ID</w:t>
            </w:r>
          </w:p>
          <w:p>
            <w:pPr>
              <w:spacing w:before="0" w:after="40"/>
              <w:jc w:val="center"/>
            </w:pPr>
            <w:r>
              <w:rPr>
                <w:rFonts w:ascii="Arial" w:cs="Arial" w:eastAsia="Arial" w:hAnsi="Arial"/>
                <w:b w:val="false"/>
                <w:bCs w:val="false"/>
                <w:i w:val="false"/>
                <w:iCs w:val="false"/>
                <w:color w:val="C8DCEF"/>
                <w:sz w:val="17"/>
                <w:szCs w:val="17"/>
              </w:rPr>
              <w:t xml:space="preserve">Directorio en la Nube</w:t>
            </w:r>
          </w:p>
          <w:p>
            <w:pPr>
              <w:spacing w:before="0" w:after="30"/>
              <w:jc w:val="center"/>
            </w:pPr>
            <w:r>
              <w:rPr>
                <w:rFonts w:ascii="Arial" w:cs="Arial" w:eastAsia="Arial" w:hAnsi="Arial"/>
                <w:b w:val="false"/>
                <w:bCs w:val="false"/>
                <w:i w:val="false"/>
                <w:iCs w:val="false"/>
                <w:color w:val="FFFFFF"/>
                <w:sz w:val="16"/>
                <w:szCs w:val="16"/>
              </w:rPr>
              <w:t xml:space="preserve">+ MFA / Cond. Access</w:t>
            </w:r>
          </w:p>
          <w:p>
            <w:pPr>
              <w:spacing w:before="0" w:after="30"/>
              <w:jc w:val="center"/>
            </w:pPr>
            <w:r>
              <w:rPr>
                <w:rFonts w:ascii="Arial" w:cs="Arial" w:eastAsia="Arial" w:hAnsi="Arial"/>
                <w:b w:val="false"/>
                <w:bCs w:val="false"/>
                <w:i w:val="false"/>
                <w:iCs w:val="false"/>
                <w:color w:val="FFFFFF"/>
                <w:sz w:val="16"/>
                <w:szCs w:val="16"/>
              </w:rPr>
              <w:t xml:space="preserve">+ SSO para M365 / SaaS</w:t>
            </w:r>
          </w:p>
          <w:p>
            <w:pPr>
              <w:spacing w:before="0" w:after="0"/>
              <w:jc w:val="center"/>
            </w:pPr>
            <w:r>
              <w:rPr>
                <w:rFonts w:ascii="Arial" w:cs="Arial" w:eastAsia="Arial" w:hAnsi="Arial"/>
                <w:b w:val="false"/>
                <w:bCs w:val="false"/>
                <w:i w:val="false"/>
                <w:iCs w:val="false"/>
                <w:color w:val="FFFFFF"/>
                <w:sz w:val="16"/>
                <w:szCs w:val="16"/>
              </w:rPr>
              <w:t xml:space="preserve">+ SSPR / Defender Id.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760"/>
        <w:gridCol w:w="1000"/>
      </w:tblGrid>
      <w:tr>
        <w:tc>
          <w:tcPr>
            <w:tcW w:type="dxa" w:w="26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spacing w:before="0" w:after="0"/>
              <w:jc w:val="center"/>
            </w:pPr>
            <w:r>
              <w:rPr>
                <w:rFonts w:ascii="Arial" w:cs="Arial" w:eastAsia="Arial" w:hAnsi="Arial"/>
                <w:b/>
                <w:bCs/>
                <w:i w:val="false"/>
                <w:iCs w:val="false"/>
                <w:color w:val="1F3864"/>
                <w:sz w:val="20"/>
                <w:szCs w:val="20"/>
              </w:rPr>
              <w:t xml:space="preserve">Apps LEGACY (sin cambios)</w:t>
            </w:r>
          </w:p>
        </w:tc>
        <w:tc>
          <w:tcPr>
            <w:tcW w:type="dxa" w:w="576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spacing w:before="0" w:after="0"/>
            </w:pPr>
            <w:r>
              <w:rPr>
                <w:rFonts w:ascii="Arial" w:cs="Arial" w:eastAsia="Arial" w:hAnsi="Arial"/>
                <w:b w:val="false"/>
                <w:bCs w:val="false"/>
                <w:i w:val="false"/>
                <w:iCs w:val="false"/>
                <w:color w:val="1A1A1A"/>
                <w:sz w:val="20"/>
                <w:szCs w:val="20"/>
              </w:rPr>
              <w:t xml:space="preserve">ERP, sistemas internos, file servers, impresoras, aplicaciones con LDAP/Kerberos/NTLM. Autentican directamente contra los DC on-premises. Sin modificaciones.</w:t>
            </w:r>
          </w:p>
        </w:tc>
        <w:tc>
          <w:tcPr>
            <w:tcW w:type="dxa" w:w="1000"/>
            <w:tcBorders>
              <w:top w:val="single" w:color="CCCCCC" w:sz="1"/>
              <w:left w:val="single" w:color="CCCCCC" w:sz="1"/>
              <w:bottom w:val="single" w:color="CCCCCC" w:sz="1"/>
              <w:right w:val="single" w:color="CCCCCC" w:sz="1"/>
            </w:tcBorders>
            <w:shd w:fill="E2EFDA" w:val="clear"/>
            <w:tcMar>
              <w:top w:type="dxa" w:w="100"/>
              <w:left w:type="dxa" w:w="100"/>
              <w:bottom w:type="dxa" w:w="100"/>
              <w:right w:type="dxa" w:w="100"/>
            </w:tcMar>
          </w:tcPr>
          <w:p>
            <w:pPr>
              <w:spacing w:before="0" w:after="0"/>
              <w:jc w:val="center"/>
            </w:pPr>
            <w:r>
              <w:rPr>
                <w:rFonts w:ascii="Arial" w:cs="Arial" w:eastAsia="Arial" w:hAnsi="Arial"/>
                <w:b/>
                <w:bCs/>
                <w:i w:val="false"/>
                <w:iCs w:val="false"/>
                <w:color w:val="375623"/>
                <w:sz w:val="18"/>
                <w:szCs w:val="18"/>
              </w:rPr>
              <w:t xml:space="preserve">Sin cambio</w:t>
            </w:r>
          </w:p>
        </w:tc>
      </w:tr>
      <w:tr>
        <w:tc>
          <w:tcPr>
            <w:tcW w:type="dxa" w:w="2600"/>
            <w:tcBorders>
              <w:top w:val="single" w:color="CCCCCC" w:sz="1"/>
              <w:left w:val="single" w:color="CCCCCC" w:sz="1"/>
              <w:bottom w:val="single" w:color="CCCCCC" w:sz="1"/>
              <w:right w:val="single" w:color="CCCCCC" w:sz="1"/>
            </w:tcBorders>
            <w:shd w:fill="D4EEEF" w:val="clear"/>
            <w:tcMar>
              <w:top w:type="dxa" w:w="100"/>
              <w:left w:type="dxa" w:w="150"/>
              <w:bottom w:type="dxa" w:w="100"/>
              <w:right w:type="dxa" w:w="150"/>
            </w:tcMar>
          </w:tcPr>
          <w:p>
            <w:pPr>
              <w:spacing w:before="0" w:after="0"/>
              <w:jc w:val="center"/>
            </w:pPr>
            <w:r>
              <w:rPr>
                <w:rFonts w:ascii="Arial" w:cs="Arial" w:eastAsia="Arial" w:hAnsi="Arial"/>
                <w:b/>
                <w:bCs/>
                <w:i w:val="false"/>
                <w:iCs w:val="false"/>
                <w:color w:val="1D6A72"/>
                <w:sz w:val="20"/>
                <w:szCs w:val="20"/>
              </w:rPr>
              <w:t xml:space="preserve">Apps MODERNAS (habilitadas)</w:t>
            </w:r>
          </w:p>
        </w:tc>
        <w:tc>
          <w:tcPr>
            <w:tcW w:type="dxa" w:w="5760"/>
            <w:tcBorders>
              <w:top w:val="single" w:color="CCCCCC" w:sz="1"/>
              <w:left w:val="single" w:color="CCCCCC" w:sz="1"/>
              <w:bottom w:val="single" w:color="CCCCCC" w:sz="1"/>
              <w:right w:val="single" w:color="CCCCCC" w:sz="1"/>
            </w:tcBorders>
            <w:shd w:fill="D4EEEF" w:val="clear"/>
            <w:tcMar>
              <w:top w:type="dxa" w:w="100"/>
              <w:left w:type="dxa" w:w="150"/>
              <w:bottom w:type="dxa" w:w="100"/>
              <w:right w:type="dxa" w:w="150"/>
            </w:tcMar>
          </w:tcPr>
          <w:p>
            <w:pPr>
              <w:spacing w:before="0" w:after="0"/>
            </w:pPr>
            <w:r>
              <w:rPr>
                <w:rFonts w:ascii="Arial" w:cs="Arial" w:eastAsia="Arial" w:hAnsi="Arial"/>
                <w:b w:val="false"/>
                <w:bCs w:val="false"/>
                <w:i w:val="false"/>
                <w:iCs w:val="false"/>
                <w:color w:val="1A1A1A"/>
                <w:sz w:val="20"/>
                <w:szCs w:val="20"/>
              </w:rPr>
              <w:t xml:space="preserve">Microsoft 365 (Exchange, Teams, SharePoint, OneDrive), aplicaciones SaaS integradas (Salesforce, Zoom, ServiceNow, etc.). Autentican via Entra ID con SSO + MFA.</w:t>
            </w:r>
          </w:p>
        </w:tc>
        <w:tc>
          <w:tcPr>
            <w:tcW w:type="dxa" w:w="1000"/>
            <w:tcBorders>
              <w:top w:val="single" w:color="CCCCCC" w:sz="1"/>
              <w:left w:val="single" w:color="CCCCCC" w:sz="1"/>
              <w:bottom w:val="single" w:color="CCCCCC" w:sz="1"/>
              <w:right w:val="single" w:color="CCCCCC" w:sz="1"/>
            </w:tcBorders>
            <w:shd w:fill="D6E4F7" w:val="clear"/>
            <w:tcMar>
              <w:top w:type="dxa" w:w="100"/>
              <w:left w:type="dxa" w:w="100"/>
              <w:bottom w:type="dxa" w:w="100"/>
              <w:right w:type="dxa" w:w="100"/>
            </w:tcMar>
          </w:tcPr>
          <w:p>
            <w:pPr>
              <w:spacing w:before="0" w:after="0"/>
              <w:jc w:val="center"/>
            </w:pPr>
            <w:r>
              <w:rPr>
                <w:rFonts w:ascii="Arial" w:cs="Arial" w:eastAsia="Arial" w:hAnsi="Arial"/>
                <w:b/>
                <w:bCs/>
                <w:i w:val="false"/>
                <w:iCs w:val="false"/>
                <w:color w:val="2E5FA3"/>
                <w:sz w:val="18"/>
                <w:szCs w:val="18"/>
              </w:rPr>
              <w:t xml:space="preserve">Habilitado</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3.3 Comparativa AS-IS vs TO-BE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Capa</w:t>
            </w:r>
          </w:p>
        </w:tc>
        <w:tc>
          <w:tcPr>
            <w:tcW w:type="dxa" w:w="348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Estado Actual (AS-IS)</w:t>
            </w:r>
          </w:p>
        </w:tc>
        <w:tc>
          <w:tcPr>
            <w:tcW w:type="dxa" w:w="348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Con Identidad Hibrida (TO-BE)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Capa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Estado Actual (AS-IS)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Estado con Hibrido (TO-BE)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Directorio</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AD DS local (unico)</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AD DS local + Entra ID sincronizados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Apps legacy (LDAP/Kerberos)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Autenticando normalmente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Sin cambio — siguen igual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Acceso a M365 / SaaS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Sin SSO o cuentas separadas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SSO con credenciales del AD local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MFA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Sin MFA global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MFA obligatorio para acceso a la nube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Contrasenas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Gestion solo on-premises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SSPR: usuario resetea su propia contrasena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Seguridad del AD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Sin monitoreo de ataques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Defender for Identity activo en los DC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Visibilidad de accesos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Solo on-premises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Sign-in logs en Entra ID para apps en la nube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Administracion de identidades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Solo ADUC / PowerShell AD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ADUC on-prem + portal Entra ID</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4</w:t>
            </w:r>
          </w:p>
          <w:p>
            <w:pPr>
              <w:spacing w:before="0" w:after="60"/>
            </w:pPr>
            <w:r>
              <w:rPr>
                <w:rFonts w:ascii="Arial" w:cs="Arial" w:eastAsia="Arial" w:hAnsi="Arial"/>
                <w:b/>
                <w:bCs/>
                <w:i w:val="false"/>
                <w:iCs w:val="false"/>
                <w:color w:val="FFFFFF"/>
                <w:sz w:val="28"/>
                <w:szCs w:val="28"/>
              </w:rPr>
              <w:t xml:space="preserve">Componentes Tecnicos de la Sincronizacion</w:t>
            </w:r>
          </w:p>
          <w:p>
            <w:pPr>
              <w:spacing w:before="0" w:after="0"/>
            </w:pPr>
            <w:r>
              <w:rPr>
                <w:rFonts w:ascii="Arial" w:cs="Arial" w:eastAsia="Arial" w:hAnsi="Arial"/>
                <w:b w:val="false"/>
                <w:bCs w:val="false"/>
                <w:i/>
                <w:iCs/>
                <w:color w:val="8AAEDC"/>
                <w:sz w:val="19"/>
                <w:szCs w:val="19"/>
              </w:rPr>
              <w:t xml:space="preserve">Descripcion detallada de cada componente de la solucion hibrida</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160"/>
        <w:gridCol w:w="1400"/>
      </w:tblGrid>
      <w:tr>
        <w:trPr>
          <w:tblHeader/>
        </w:trPr>
        <w:tc>
          <w:tcPr>
            <w:tcW w:type="dxa" w:w="2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Componente</w:t>
            </w:r>
          </w:p>
        </w:tc>
        <w:tc>
          <w:tcPr>
            <w:tcW w:type="dxa" w:w="51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Descripcion y Funcion</w:t>
            </w:r>
          </w:p>
        </w:tc>
        <w:tc>
          <w:tcPr>
            <w:tcW w:type="dxa" w:w="1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Donde se Configura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Microsoft Entra Connect v2.x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Motor de sincronizacion instalado en un servidor Windows dedicado (NO en el DC). Se conecta al AD local y sincroniza objetos hacia Entra ID cada 30 minutos via HTTPS/TLS. Incluye Entra Connect Health para monitoreo.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Servidor dedicado on-premises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Password Hash Synchronization (PHS)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Metodo de autenticacion recomendado por Microsoft. El hash de la contrasena del AD se sincroniza a Entra ID. Los usuarios pueden autenticarse en la nube aunque el DC on-premises no este disponible. Es el metodo mas resiliente.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Configurado en Entra Connect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Seamless Single Sign-On (SSO)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Los usuarios en equipos unidos al dominio que ya estan autenticados con Kerberos no necesitan ingresar su contrasena de nuevo para acceder a aplicaciones de M365 o SaaS. La experiencia es transparente.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Configurado en Entra Connect + GPO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Password Writeback</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Cuando un usuario restablece su contrasena desde la nube (SSPR o Admin Reset en Entra ID), el cambio se propaga al AD on-premises en tiempo real. Garantiza la coherencia entre ambos directorios.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Configurado en Entra Connect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Self-Service Password Reset (SSPR)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Los usuarios pueden restablecer su propia contrasena desde portal.azure.com o desde la pantalla de login de Windows, sin necesidad de llamar al helpdesk. Requiere verificacion de identidad (MFA o preguntas de seguridad).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Configurado en portal Entra ID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Multi-Factor Authentication (MFA)</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Habilita un segundo factor de verificacion (Microsoft Authenticator, SMS, llamada) para el acceso a aplicaciones en la nube. Obligatorio para todos los usuarios via Conditional Access.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Configurado en Entra 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Conditional Access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Politicas de acceso que evaluan condiciones (usuario, ubicacion, aplicacion, riesgo) y aplican controles (exigir MFA, bloquear acceso, requerir dispositivo conforme). Sin Intune, las politicas se basan en usuario y 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Configurado en Entra ID P1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Entra Connect Health</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Servicio de monitoreo que alerta sobre errores de sincronizacion, problemas de replicacion y caidas del servicio Entra Connect. Visible en el portal de Entra ID.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Incluido en Entra ID P1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Microsoft Defender for Identity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Sensores instalados en cada DC on-premises que monitorean el trafico de autenticacion Kerberos/NTLM y detectan ataques de identidad en tiempo real: Pass-the-Hash, Golden Ticket, Kerberoasting, DCSync, etc.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Sensores en cada DC</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5FA3"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5</w:t>
            </w:r>
          </w:p>
          <w:p>
            <w:pPr>
              <w:spacing w:before="0" w:after="60"/>
            </w:pPr>
            <w:r>
              <w:rPr>
                <w:rFonts w:ascii="Arial" w:cs="Arial" w:eastAsia="Arial" w:hAnsi="Arial"/>
                <w:b/>
                <w:bCs/>
                <w:i w:val="false"/>
                <w:iCs w:val="false"/>
                <w:color w:val="FFFFFF"/>
                <w:sz w:val="28"/>
                <w:szCs w:val="28"/>
              </w:rPr>
              <w:t xml:space="preserve">Alcance de Servicios y Entregables</w:t>
            </w:r>
          </w:p>
          <w:p>
            <w:pPr>
              <w:spacing w:before="0" w:after="0"/>
            </w:pPr>
            <w:r>
              <w:rPr>
                <w:rFonts w:ascii="Arial" w:cs="Arial" w:eastAsia="Arial" w:hAnsi="Arial"/>
                <w:b w:val="false"/>
                <w:bCs w:val="false"/>
                <w:i/>
                <w:iCs/>
                <w:color w:val="8AAEDC"/>
                <w:sz w:val="19"/>
                <w:szCs w:val="19"/>
              </w:rPr>
              <w:t xml:space="preserve">Actividades e entregables incluidos en esta propuesta</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260"/>
        <w:gridCol w:w="800"/>
      </w:tblGrid>
      <w:tr>
        <w:trPr>
          <w:tblHeader/>
        </w:trPr>
        <w:tc>
          <w:tcPr>
            <w:tcW w:type="dxa" w:w="7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Entregable</w:t>
            </w:r>
          </w:p>
        </w:tc>
        <w:tc>
          <w:tcPr>
            <w:tcW w:type="dxa" w:w="52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Descripcion</w:t>
            </w:r>
          </w:p>
        </w:tc>
        <w:tc>
          <w:tcPr>
            <w:tcW w:type="dxa" w:w="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Incluido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Diagnostico y Preparacion</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DCDiag, Repadmin, IdFix. Correccion de atributos conflictivos. Configuracion de UPN suffix publico. Verificacion de dominio en M365. Informe de diagnostico.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Si</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ENT-02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Servidor Entra Connect</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Instalacion y configuracion de Entra Connect v2.x en servidor dedicado. Configuracion de Password Hash Sync (PHS). Sincronizacion inicial completa.</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Seamless SSO</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Configuracion de Seamless Single Sign-On para equipos unidos al dominio. Despliegue de la GPO requerida para el objeto de equipo en AD.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Si</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ENT-04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Password Writeback + SSPR</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Habilitacion de Password Writeback en Entra Connect. Configuracion de SSPR en Entra ID con verificacion por MFA. Prueba de reset de contrasena end-to-end.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MFA para todos los usuarios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Registro de metodo MFA (Microsoft Authenticator) para el 100% de los usuarios. Politica de MFA obligatorio via Conditional Access.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Si</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ENT-06</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Conditional Access — Politicas Base</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Configuracion de 4 politicas de Conditional Access sin Intune: MFA obligatorio siempre, bloqueo de paises de riesgo, proteccion de cuentas de administrador, politica de riesgo de inicio de sesion.</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ENT-07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Sincronizacion de scope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Definicion y configuracion del ambito de sincronizacion: que OUs, usuarios y grupos se sincronizan a Entra ID. Exclusion de cuentas de servicio criticas si aplica.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Si</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ENT-08</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Entra Connect Health</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Configuracion del monitoreo de Entra Connect Health. Configuracion de alertas por correo al equipo de TI ante errores de sincronizacion.</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ENT-09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Defender for Identity</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Instalacion de sensores en todos los DC on-premises. Configuracion de alertas criticas (Golden Ticket, Pass-the-Hash, Kerberoasting). Integracion con Defender XDR.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Si</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ENT-10</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Validacion apps legacy</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Verificacion documentada de que las aplicaciones legacy (LDAP, Kerberos, NTLM) continuan funcionando correctamente tras la implementacion de la sincronizacion.</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SSO para aplicaciones SaaS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Configuracion de SSO (SAML 2.0 o OIDC) para las aplicaciones SaaS de la organizacion que soporten federacion con Entra ID. Hasta 5 aplicaciones incluidas en esta propuesta.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Si</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ENT-12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Documentacion y Capacitacion</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Documentacion tecnica completa del entorno hibrido (diagramas, runbooks, politicas). 3 sesiones de capacitacion al equipo TI (Entra Connect, Entra ID admin, Seguridad y Conditional Access).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Si</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55A11"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6</w:t>
            </w:r>
          </w:p>
          <w:p>
            <w:pPr>
              <w:spacing w:before="0" w:after="60"/>
            </w:pPr>
            <w:r>
              <w:rPr>
                <w:rFonts w:ascii="Arial" w:cs="Arial" w:eastAsia="Arial" w:hAnsi="Arial"/>
                <w:b/>
                <w:bCs/>
                <w:i w:val="false"/>
                <w:iCs w:val="false"/>
                <w:color w:val="FFFFFF"/>
                <w:sz w:val="28"/>
                <w:szCs w:val="28"/>
              </w:rPr>
              <w:t xml:space="preserve">Fuera de Alcance</w:t>
            </w:r>
          </w:p>
          <w:p>
            <w:pPr>
              <w:spacing w:before="0" w:after="0"/>
            </w:pPr>
            <w:r>
              <w:rPr>
                <w:rFonts w:ascii="Arial" w:cs="Arial" w:eastAsia="Arial" w:hAnsi="Arial"/>
                <w:b w:val="false"/>
                <w:bCs w:val="false"/>
                <w:i/>
                <w:iCs/>
                <w:color w:val="8AAEDC"/>
                <w:sz w:val="19"/>
                <w:szCs w:val="19"/>
              </w:rPr>
              <w:t xml:space="preserve">Elementos NO incluidos en esta propuesta</w:t>
            </w:r>
          </w:p>
        </w:tc>
      </w:tr>
    </w:tbl>
    <w:p>
      <w:pPr>
        <w:spacing w:before="0" w:after="0"/>
      </w:pPr>
      <w:r>
        <w:t xml:space="preserve"/>
      </w:r>
    </w:p>
    <w:p>
      <w:pPr>
        <w:spacing w:before="80" w:after="80"/>
        <w:jc w:val="both"/>
      </w:pPr>
      <w:r>
        <w:rPr>
          <w:rFonts w:ascii="Arial" w:cs="Arial" w:eastAsia="Arial" w:hAnsi="Arial"/>
          <w:b w:val="false"/>
          <w:bCs w:val="false"/>
          <w:i w:val="false"/>
          <w:iCs w:val="false"/>
          <w:color w:val="1A1A1A"/>
          <w:sz w:val="21"/>
          <w:szCs w:val="21"/>
        </w:rPr>
        <w:t xml:space="preserve">Los siguientes elementos quedan expresamente excluidos de esta propuesta. Su inclusion requerira un addendum o una propuesta independiente: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ID</w:t>
            </w:r>
          </w:p>
        </w:tc>
        <w:tc>
          <w:tcPr>
            <w:tcW w:type="dxa" w:w="86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Elemento Excluido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FA-01</w:t>
            </w:r>
          </w:p>
        </w:tc>
        <w:tc>
          <w:tcPr>
            <w:tcW w:type="dxa" w:w="8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Microsoft Intune — Gestion de dispositivos (MDM/MAM). Contemplado como fase futura.</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FA-02</w:t>
            </w:r>
          </w:p>
        </w:tc>
        <w:tc>
          <w:tcPr>
            <w:tcW w:type="dxa" w:w="8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Migracion de Exchange on-premises a Exchange Online.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FA-03</w:t>
            </w:r>
          </w:p>
        </w:tc>
        <w:tc>
          <w:tcPr>
            <w:tcW w:type="dxa" w:w="8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Migracion de file servers a SharePoint Online y OneDrive for Business.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FA-04</w:t>
            </w:r>
          </w:p>
        </w:tc>
        <w:tc>
          <w:tcPr>
            <w:tcW w:type="dxa" w:w="8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Modernizacion de aplicaciones legacy (LDAP/Kerberos) a autenticacion moderna (SAML/OIDC).</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FA-05</w:t>
            </w:r>
          </w:p>
        </w:tc>
        <w:tc>
          <w:tcPr>
            <w:tcW w:type="dxa" w:w="8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Migracion de bases de datos locales a Azure SQL u otros servicios PaaS.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FA-06</w:t>
            </w:r>
          </w:p>
        </w:tc>
        <w:tc>
          <w:tcPr>
            <w:tcW w:type="dxa" w:w="8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Implementacion de Azure AD Domain Services (Azure AD DS).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FA-07</w:t>
            </w:r>
          </w:p>
        </w:tc>
        <w:tc>
          <w:tcPr>
            <w:tcW w:type="dxa" w:w="8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Descomision de Domain Controllers on-premises (el AD local se mantiene).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FA-08</w:t>
            </w:r>
          </w:p>
        </w:tc>
        <w:tc>
          <w:tcPr>
            <w:tcW w:type="dxa" w:w="8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Adquisicion y negociacion de licencias Microsoft 365 o Azure (provistas por el cliente).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FA-09</w:t>
            </w:r>
          </w:p>
        </w:tc>
        <w:tc>
          <w:tcPr>
            <w:tcW w:type="dxa" w:w="8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Implementacion de Microsoft Sentinel como SIEM (disponible como proyecto complementario).</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FA-10</w:t>
            </w:r>
          </w:p>
        </w:tc>
        <w:tc>
          <w:tcPr>
            <w:tcW w:type="dxa" w:w="8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Configuracion avanzada de Microsoft Purview (DLP, Sensitivity Labels).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FA-11</w:t>
            </w:r>
          </w:p>
        </w:tc>
        <w:tc>
          <w:tcPr>
            <w:tcW w:type="dxa" w:w="8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Soporte post-implementacion mas alla de los 30 dias de garantia incluidos por fase.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FA-12</w:t>
            </w:r>
          </w:p>
        </w:tc>
        <w:tc>
          <w:tcPr>
            <w:tcW w:type="dxa" w:w="8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SSO para mas de 5 aplicaciones SaaS (aplicaciones adicionales se cotizan por separado).</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7</w:t>
            </w:r>
          </w:p>
          <w:p>
            <w:pPr>
              <w:spacing w:before="0" w:after="60"/>
            </w:pPr>
            <w:r>
              <w:rPr>
                <w:rFonts w:ascii="Arial" w:cs="Arial" w:eastAsia="Arial" w:hAnsi="Arial"/>
                <w:b/>
                <w:bCs/>
                <w:i w:val="false"/>
                <w:iCs w:val="false"/>
                <w:color w:val="FFFFFF"/>
                <w:sz w:val="28"/>
                <w:szCs w:val="28"/>
              </w:rPr>
              <w:t xml:space="preserve">Supuestos del Proyecto</w:t>
            </w:r>
          </w:p>
          <w:p>
            <w:pPr>
              <w:spacing w:before="0" w:after="0"/>
            </w:pPr>
            <w:r>
              <w:rPr>
                <w:rFonts w:ascii="Arial" w:cs="Arial" w:eastAsia="Arial" w:hAnsi="Arial"/>
                <w:b w:val="false"/>
                <w:bCs w:val="false"/>
                <w:i/>
                <w:iCs/>
                <w:color w:val="8AAEDC"/>
                <w:sz w:val="19"/>
                <w:szCs w:val="19"/>
              </w:rPr>
              <w:t xml:space="preserve">Condiciones asumidas validas para la ejecucion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rPr>
          <w:tblHeader/>
        </w:trPr>
        <w:tc>
          <w:tcPr>
            <w:tcW w:type="dxa" w:w="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ID</w:t>
            </w:r>
          </w:p>
        </w:tc>
        <w:tc>
          <w:tcPr>
            <w:tcW w:type="dxa" w:w="79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Supuesto</w:t>
            </w:r>
          </w:p>
        </w:tc>
        <w:tc>
          <w:tcPr>
            <w:tcW w:type="dxa" w:w="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Criticidad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S-01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El cliente cuenta con al menos una licencia de Microsoft 365 (minimo M365 Business Basic para habilitar Entra ID y MFA). Entra ID P1 recomendado para Conditional Access y SSPR.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S-02</w:t>
            </w:r>
          </w:p>
        </w:tc>
        <w:tc>
          <w:tcPr>
            <w:tcW w:type="dxa" w:w="7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El AD on-premises tiene al menos un DC en Windows Server 2016 o superior. Si es inferior, la actualizacion del DC es prerequisito y se considera trabajo adicional.</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S-03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Existira un servidor dedicado (NO el DC) para instalar Entra Connect. Minimo: Windows Server 2019/2022, 4 GB RAM, 2 vCPU, 50 GB disco, acceso a internet HTTPS.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S-04</w:t>
            </w:r>
          </w:p>
        </w:tc>
        <w:tc>
          <w:tcPr>
            <w:tcW w:type="dxa" w:w="7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El dominio AD usa un sufijo UPN publico verificable (ej. @empresa.com). Si el sufijo es .local o interno, la conversion es prerequisito y se cotiza por separado.</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S-05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Los Domain Controllers tienen acceso saliente a internet en el puerto TCP 443 (HTTPS) para comunicarse con los endpoints de Entra ID y Microsoft 365.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S-06</w:t>
            </w:r>
          </w:p>
        </w:tc>
        <w:tc>
          <w:tcPr>
            <w:tcW w:type="dxa" w:w="7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 designara un administrador TI del cliente como punto de contacto con acceso de Domain Admin y Global Admin en el tenant de M365.</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S-07</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Existe un respaldo actualizado y funcional de todos los DC antes de iniciar cualquier actividad del proyecto.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S-08</w:t>
            </w:r>
          </w:p>
        </w:tc>
        <w:tc>
          <w:tcPr>
            <w:tcW w:type="dxa" w:w="7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Los cambios en produccion se realizaran en ventanas de mantenimiento acordadas fuera del horario laboral critico.</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S-09</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Las aplicaciones legacy han sido identificadas y documentadas previamente (o se realiza el inventario como parte de la Fase 1 de diagnostico).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Media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S-10</w:t>
            </w:r>
          </w:p>
        </w:tc>
        <w:tc>
          <w:tcPr>
            <w:tcW w:type="dxa" w:w="7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El equipo de TI participara activamente en las sesiones de capacitacion y transferencia de conocimiento.</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Media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S-11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Cualquier cambio de alcance sera formalizado mediante Change Request escrito con aprobacion de ambas partes.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5FA3"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8</w:t>
            </w:r>
          </w:p>
          <w:p>
            <w:pPr>
              <w:spacing w:before="0" w:after="60"/>
            </w:pPr>
            <w:r>
              <w:rPr>
                <w:rFonts w:ascii="Arial" w:cs="Arial" w:eastAsia="Arial" w:hAnsi="Arial"/>
                <w:b/>
                <w:bCs/>
                <w:i w:val="false"/>
                <w:iCs w:val="false"/>
                <w:color w:val="FFFFFF"/>
                <w:sz w:val="28"/>
                <w:szCs w:val="28"/>
              </w:rPr>
              <w:t xml:space="preserve">Requerimientos Tecnicos y Humanos</w:t>
            </w:r>
          </w:p>
          <w:p>
            <w:pPr>
              <w:spacing w:before="0" w:after="0"/>
            </w:pPr>
            <w:r>
              <w:rPr>
                <w:rFonts w:ascii="Arial" w:cs="Arial" w:eastAsia="Arial" w:hAnsi="Arial"/>
                <w:b w:val="false"/>
                <w:bCs w:val="false"/>
                <w:i/>
                <w:iCs/>
                <w:color w:val="8AAEDC"/>
                <w:sz w:val="19"/>
                <w:szCs w:val="19"/>
              </w:rPr>
              <w:t xml:space="preserve">Recursos necesarios para la implementacion exitosa</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8.1 Requerimientos Tecnicos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Componente</w:t>
            </w:r>
          </w:p>
        </w:tc>
        <w:tc>
          <w:tcPr>
            <w:tcW w:type="dxa" w:w="59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Especificacion y Requisito</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Domain Controllers (min. 1 activo)</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Windows Server 2016/2019/2022. Acceso a internet TCP 443. Credenciales de Domain Admin disponibles.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Servidor dedicado para Entra Connect</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Windows Server 2019 o 2022 (NO instalar en el DC). 4 GB RAM, 2 vCPU, 50 GB disco. Acceso a AD y a internet.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Tenant de Microsoft 365 / Entra ID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Tenant activo. Dominio personalizado verificado (ej. empresa.com). Cuenta de Global Admin disponible.</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Licencia Entra ID (minimo P1)</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Requerida para: Conditional Access, SSPR, Entra Connect Health, MFA avanzado y Seamless SSO. Ver seccion de costos.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Defender for Identity (opcional P2)</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Para proteccion del AD on-premises. Incluido en M365 E5 o adquirible standalone (~$5.50 USD/usr/mes).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UPN suffix publico verificado</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El dominio del UPN de los usuarios (@empresa.com) debe estar verificado en el tenant de M365. Prerequisito critico.</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Puertos de red requeridos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TCP 443 (HTTPS) saliente desde el servidor de Entra Connect y los DCs hacia internet. Sin restricciones de proxy para *.microsoftonline.com y *.azure.com.</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Conectividad entre Entra Connect y DC</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Acceso de red TCP 389 (LDAP), 636 (LDAPS), 3268 (GC) desde el servidor de Entra Connect hacia los DCs.</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8.2 Requerimientos Humanos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00"/>
        <w:gridCol w:w="4360"/>
        <w:gridCol w:w="150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Rol</w:t>
            </w:r>
          </w:p>
        </w:tc>
        <w:tc>
          <w:tcPr>
            <w:tcW w:type="dxa" w:w="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Cant.</w:t>
            </w:r>
          </w:p>
        </w:tc>
        <w:tc>
          <w:tcPr>
            <w:tcW w:type="dxa" w:w="4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Responsabilidades</w:t>
            </w:r>
          </w:p>
        </w:tc>
        <w:tc>
          <w:tcPr>
            <w:tcW w:type="dxa" w:w="1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Participacion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Arquitecto de Identidad Microsoft</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Diseno de la arquitectura hibrida, decisiones tecnicas criticas, validacion de cada entregable.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Todo el proyecto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Ingeniero de Entra ID / AD</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1-2</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Instalacion de Entra Connect, configuracion de PHS, Seamless SSO, Password Writeback, Conditional Access, SSPR.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Fases 1-4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Especialista en Seguridad M365</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Configuracion de MFA, Conditional Access, Defender for Identity, politicas de riesgo de identidad.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Fases 2-4</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Gerente de Proyecto</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1</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Coordinacion, seguimiento, comunicacion con stakeholders y control de cambios.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Todo el proyecto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Administrador TI (Cliente)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Acceso a sistemas, aprobacion de cambios, validacion de pruebas y soporte interno.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Todo el proyecto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Usuarios Piloto (QA)</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5-10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Validacion de MFA, SSPR y SSO en aplicaciones SaaS antes del despliegue masivo.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Fases 2-3</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C2D91"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9</w:t>
            </w:r>
          </w:p>
          <w:p>
            <w:pPr>
              <w:spacing w:before="0" w:after="60"/>
            </w:pPr>
            <w:r>
              <w:rPr>
                <w:rFonts w:ascii="Arial" w:cs="Arial" w:eastAsia="Arial" w:hAnsi="Arial"/>
                <w:b/>
                <w:bCs/>
                <w:i w:val="false"/>
                <w:iCs w:val="false"/>
                <w:color w:val="FFFFFF"/>
                <w:sz w:val="28"/>
                <w:szCs w:val="28"/>
              </w:rPr>
              <w:t xml:space="preserve">Estrategia de Seguridad — MFA y Conditional Access sin Intune</w:t>
            </w:r>
          </w:p>
          <w:p>
            <w:pPr>
              <w:spacing w:before="0" w:after="0"/>
            </w:pPr>
            <w:r>
              <w:rPr>
                <w:rFonts w:ascii="Arial" w:cs="Arial" w:eastAsia="Arial" w:hAnsi="Arial"/>
                <w:b w:val="false"/>
                <w:bCs w:val="false"/>
                <w:i/>
                <w:iCs/>
                <w:color w:val="8AAEDC"/>
                <w:sz w:val="19"/>
                <w:szCs w:val="19"/>
              </w:rPr>
              <w:t xml:space="preserve">Controles de identidad disponibles en el modelo hibrido</w:t>
            </w:r>
          </w:p>
        </w:tc>
      </w:tr>
    </w:tbl>
    <w:p>
      <w:pPr>
        <w:spacing w:before="0" w:after="0"/>
      </w:pPr>
      <w:r>
        <w:t xml:space="preserve"/>
      </w:r>
    </w:p>
    <w:p>
      <w:pPr>
        <w:spacing w:before="80" w:after="80"/>
        <w:jc w:val="both"/>
      </w:pPr>
      <w:r>
        <w:rPr>
          <w:rFonts w:ascii="Arial" w:cs="Arial" w:eastAsia="Arial" w:hAnsi="Arial"/>
          <w:b w:val="false"/>
          <w:bCs w:val="false"/>
          <w:i w:val="false"/>
          <w:iCs w:val="false"/>
          <w:color w:val="1A1A1A"/>
          <w:sz w:val="21"/>
          <w:szCs w:val="21"/>
        </w:rPr>
        <w:t xml:space="preserve">En el modelo hibrido sin Intune, los controles de seguridad se centran en la identidad del usuario (no en el dispositivo). Esto es completamente valido y cubre la mayoria de los vectores de ataque relacionados con el robo de credenciales. Los controles de dispositivo (Compliance Policies, BitLocker gestionado, etc.) se habilitan en la fase futura con Intune.</w:t>
      </w:r>
    </w:p>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9.1 Controles de Identidad Disponibles sin Intune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960"/>
        <w:gridCol w:w="1200"/>
      </w:tblGrid>
      <w:tr>
        <w:trPr>
          <w:tblHeader/>
        </w:trPr>
        <w:tc>
          <w:tcPr>
            <w:tcW w:type="dxa" w:w="3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Control de Seguridad</w:t>
            </w:r>
          </w:p>
        </w:tc>
        <w:tc>
          <w:tcPr>
            <w:tcW w:type="dxa" w:w="49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Descripcion</w:t>
            </w:r>
          </w:p>
        </w:tc>
        <w:tc>
          <w:tcPr>
            <w:tcW w:type="dxa" w:w="1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Licencia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MFA — Microsoft Authenticator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MFA obligatorio para TODOS los usuarios al acceder a aplicaciones en la nube via Entra ID. Segundo factor: app Authenticator, SMS o llamada.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Entra ID (incluido en P1)</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Conditional Access — MFA Siempre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Politica: cualquier usuario que acceda a cualquier app en la nube DEBE completar MFA. Sin excepcion.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Entra ID P1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Conditional Access — Bloqueo por Pais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Bloquear intentos de inicio de sesion desde paises donde la organizacion no opera. Reduce drasticamente ataques de credential stuffing.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Entra ID P1</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Conditional Access — Proteccion Admins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Politica mas estricta para cuentas de administrador: MFA siempre + restriccion de ubicaciones + sin persistencia de sesion.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Entra ID P1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Conditional Access — Riesgo de Sign-in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Bloquear o solicitar MFA cuando Entra ID detecta un inicio de sesion de riesgo alto (ubicacion anomala, IP maliciosa, patron inusual).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Entra ID P2</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SSPR — Reset de Contrasena</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Los usuarios resetean su propia contrasena via portal de Entra ID. Verificacion por MFA. Propagacion al AD on-premises via Password Writeback.</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Entra ID P1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Defender for Identity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Monitoreo del trafico Kerberos/NTLM en los DC on-premises. Alertas de ataques de identidad en tiempo real (Pass-the-Hash, Golden Ticket, Spray, etc.).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Defender for Identity P2</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Sign-in Logs y Auditoria</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Logs completos de todos los inicios de sesion: usuario, app, IP, resultado, MFA. Disponibles 30 dias en Entra ID (o 90 con P1/P2).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Entra ID (incluido)</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4D6" w:val="clear"/>
            <w:tcMar>
              <w:top w:type="dxa" w:w="160"/>
              <w:left w:type="dxa" w:w="280"/>
              <w:bottom w:type="dxa" w:w="160"/>
              <w:right w:type="dxa" w:w="280"/>
            </w:tcMar>
          </w:tcPr>
          <w:p>
            <w:pPr>
              <w:spacing w:before="0" w:after="80"/>
            </w:pPr>
            <w:r>
              <w:rPr>
                <w:rFonts w:ascii="Arial" w:cs="Arial" w:eastAsia="Arial" w:hAnsi="Arial"/>
                <w:b/>
                <w:bCs/>
                <w:i w:val="false"/>
                <w:iCs w:val="false"/>
                <w:color w:val="C55A11"/>
                <w:sz w:val="21"/>
                <w:szCs w:val="21"/>
              </w:rPr>
              <w:t xml:space="preserve">Que NO esta disponible sin Intune (para consideracion futura)</w:t>
            </w:r>
          </w:p>
          <w:p>
            <w:pPr>
              <w:spacing w:before="0" w:after="40"/>
            </w:pPr>
            <w:r>
              <w:rPr>
                <w:rFonts w:ascii="Arial" w:cs="Arial" w:eastAsia="Arial" w:hAnsi="Arial"/>
                <w:b w:val="false"/>
                <w:bCs w:val="false"/>
                <w:i w:val="false"/>
                <w:iCs w:val="false"/>
                <w:color w:val="1A1A1A"/>
                <w:sz w:val="20"/>
                <w:szCs w:val="20"/>
              </w:rPr>
              <w:t xml:space="preserve">Compliance Policies de dispositivos: no se puede verificar si el dispositivo tiene PIN, cifrado o version de OS actualizada.</w:t>
            </w:r>
          </w:p>
          <w:p>
            <w:pPr>
              <w:spacing w:before="0" w:after="40"/>
            </w:pPr>
            <w:r>
              <w:rPr>
                <w:rFonts w:ascii="Arial" w:cs="Arial" w:eastAsia="Arial" w:hAnsi="Arial"/>
                <w:b w:val="false"/>
                <w:bCs w:val="false"/>
                <w:i w:val="false"/>
                <w:iCs w:val="false"/>
                <w:color w:val="1A1A1A"/>
                <w:sz w:val="20"/>
                <w:szCs w:val="20"/>
              </w:rPr>
              <w:t xml:space="preserve">Conditional Access basado en cumplimiento del dispositivo: no se puede bloquear acceso desde dispositivos no conformes.</w:t>
            </w:r>
          </w:p>
          <w:p>
            <w:pPr>
              <w:spacing w:before="0" w:after="40"/>
            </w:pPr>
            <w:r>
              <w:rPr>
                <w:rFonts w:ascii="Arial" w:cs="Arial" w:eastAsia="Arial" w:hAnsi="Arial"/>
                <w:b w:val="false"/>
                <w:bCs w:val="false"/>
                <w:i w:val="false"/>
                <w:iCs w:val="false"/>
                <w:color w:val="1A1A1A"/>
                <w:sz w:val="20"/>
                <w:szCs w:val="20"/>
              </w:rPr>
              <w:t xml:space="preserve">Gestion de configuracion de endpoints: sin equivalente a GPOs en la nube (se mantienen las GPOs del AD local).</w:t>
            </w:r>
          </w:p>
          <w:p>
            <w:pPr>
              <w:spacing w:before="0" w:after="40"/>
            </w:pPr>
            <w:r>
              <w:rPr>
                <w:rFonts w:ascii="Arial" w:cs="Arial" w:eastAsia="Arial" w:hAnsi="Arial"/>
                <w:b w:val="false"/>
                <w:bCs w:val="false"/>
                <w:i w:val="false"/>
                <w:iCs w:val="false"/>
                <w:color w:val="1A1A1A"/>
                <w:sz w:val="20"/>
                <w:szCs w:val="20"/>
              </w:rPr>
              <w:t xml:space="preserve">Wipe remoto de dispositivos / Remote Lock desde la nube.</w:t>
            </w:r>
          </w:p>
          <w:p>
            <w:pPr>
              <w:spacing w:before="0" w:after="40"/>
            </w:pPr>
            <w:r>
              <w:rPr>
                <w:rFonts w:ascii="Arial" w:cs="Arial" w:eastAsia="Arial" w:hAnsi="Arial"/>
                <w:b w:val="false"/>
                <w:bCs w:val="false"/>
                <w:i w:val="false"/>
                <w:iCs w:val="false"/>
                <w:color w:val="1A1A1A"/>
                <w:sz w:val="20"/>
                <w:szCs w:val="20"/>
              </w:rPr>
              <w:t xml:space="preserve">Despliegue centralizado de aplicaciones a dispositivos.</w:t>
            </w:r>
          </w:p>
          <w:p>
            <w:pPr>
              <w:spacing w:before="0" w:after="40"/>
            </w:pPr>
            <w:r>
              <w:rPr>
                <w:rFonts w:ascii="Arial" w:cs="Arial" w:eastAsia="Arial" w:hAnsi="Arial"/>
                <w:b w:val="false"/>
                <w:bCs w:val="false"/>
                <w:i w:val="false"/>
                <w:iCs w:val="false"/>
                <w:color w:val="1A1A1A"/>
                <w:sz w:val="20"/>
                <w:szCs w:val="20"/>
              </w:rPr>
              <w:t xml:space="preserve">NOTA: Estos controles se habilitan en la fase futura de implementacion de Microsoft Intune.</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10</w:t>
            </w:r>
          </w:p>
          <w:p>
            <w:pPr>
              <w:spacing w:before="0" w:after="60"/>
            </w:pPr>
            <w:r>
              <w:rPr>
                <w:rFonts w:ascii="Arial" w:cs="Arial" w:eastAsia="Arial" w:hAnsi="Arial"/>
                <w:b/>
                <w:bCs/>
                <w:i w:val="false"/>
                <w:iCs w:val="false"/>
                <w:color w:val="FFFFFF"/>
                <w:sz w:val="28"/>
                <w:szCs w:val="28"/>
              </w:rPr>
              <w:t xml:space="preserve">Plan de Implementacion por Fases</w:t>
            </w:r>
          </w:p>
          <w:p>
            <w:pPr>
              <w:spacing w:before="0" w:after="0"/>
            </w:pPr>
            <w:r>
              <w:rPr>
                <w:rFonts w:ascii="Arial" w:cs="Arial" w:eastAsia="Arial" w:hAnsi="Arial"/>
                <w:b w:val="false"/>
                <w:bCs w:val="false"/>
                <w:i/>
                <w:iCs/>
                <w:color w:val="8AAEDC"/>
                <w:sz w:val="19"/>
                <w:szCs w:val="19"/>
              </w:rPr>
              <w:t xml:space="preserve">Roadmap de 6 a 8 semanas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7" w:val="clear"/>
            <w:tcMar>
              <w:top w:type="dxa" w:w="160"/>
              <w:left w:type="dxa" w:w="280"/>
              <w:bottom w:type="dxa" w:w="160"/>
              <w:right w:type="dxa" w:w="280"/>
            </w:tcMar>
          </w:tcPr>
          <w:p>
            <w:pPr>
              <w:spacing w:before="0" w:after="80"/>
            </w:pPr>
            <w:r>
              <w:rPr>
                <w:rFonts w:ascii="Arial" w:cs="Arial" w:eastAsia="Arial" w:hAnsi="Arial"/>
                <w:b/>
                <w:bCs/>
                <w:i w:val="false"/>
                <w:iCs w:val="false"/>
                <w:color w:val="1F3864"/>
                <w:sz w:val="21"/>
                <w:szCs w:val="21"/>
              </w:rPr>
              <w:t xml:space="preserve">Principios del plan</w:t>
            </w:r>
          </w:p>
          <w:p>
            <w:pPr>
              <w:spacing w:before="0" w:after="40"/>
            </w:pPr>
            <w:r>
              <w:rPr>
                <w:rFonts w:ascii="Arial" w:cs="Arial" w:eastAsia="Arial" w:hAnsi="Arial"/>
                <w:b w:val="false"/>
                <w:bCs w:val="false"/>
                <w:i w:val="false"/>
                <w:iCs w:val="false"/>
                <w:color w:val="1A1A1A"/>
                <w:sz w:val="20"/>
                <w:szCs w:val="20"/>
              </w:rPr>
              <w:t xml:space="preserve">Fase 1 es obligatoria — no se avanza sin resolver los hallazgos criticos del diagnostico.</w:t>
            </w:r>
          </w:p>
          <w:p>
            <w:pPr>
              <w:spacing w:before="0" w:after="40"/>
            </w:pPr>
            <w:r>
              <w:rPr>
                <w:rFonts w:ascii="Arial" w:cs="Arial" w:eastAsia="Arial" w:hAnsi="Arial"/>
                <w:b w:val="false"/>
                <w:bCs w:val="false"/>
                <w:i w:val="false"/>
                <w:iCs w:val="false"/>
                <w:color w:val="1A1A1A"/>
                <w:sz w:val="20"/>
                <w:szCs w:val="20"/>
              </w:rPr>
              <w:t xml:space="preserve">La validacion con grupo piloto (5-10 usuarios) precede siempre al despliegue masivo.</w:t>
            </w:r>
          </w:p>
          <w:p>
            <w:pPr>
              <w:spacing w:before="0" w:after="40"/>
            </w:pPr>
            <w:r>
              <w:rPr>
                <w:rFonts w:ascii="Arial" w:cs="Arial" w:eastAsia="Arial" w:hAnsi="Arial"/>
                <w:b w:val="false"/>
                <w:bCs w:val="false"/>
                <w:i w:val="false"/>
                <w:iCs w:val="false"/>
                <w:color w:val="1A1A1A"/>
                <w:sz w:val="20"/>
                <w:szCs w:val="20"/>
              </w:rPr>
              <w:t xml:space="preserve">Verificacion documentada de que las apps legacy siguen funcionando tras cada cambio.</w:t>
            </w:r>
          </w:p>
          <w:p>
            <w:pPr>
              <w:spacing w:before="0" w:after="40"/>
            </w:pPr>
            <w:r>
              <w:rPr>
                <w:rFonts w:ascii="Arial" w:cs="Arial" w:eastAsia="Arial" w:hAnsi="Arial"/>
                <w:b w:val="false"/>
                <w:bCs w:val="false"/>
                <w:i w:val="false"/>
                <w:iCs w:val="false"/>
                <w:color w:val="1A1A1A"/>
                <w:sz w:val="20"/>
                <w:szCs w:val="20"/>
              </w:rPr>
              <w:t xml:space="preserve">Todos los cambios en produccion en ventanas de mantenimiento acordadas.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vMerge w:val="restart"/>
            <w:tcBorders>
              <w:top w:val="none" w:color="FFFFFF" w:sz="0"/>
              <w:left w:val="none" w:color="FFFFFF" w:sz="0"/>
              <w:bottom w:val="none" w:color="FFFFFF" w:sz="0"/>
              <w:right w:val="none" w:color="FFFFFF" w:sz="0"/>
            </w:tcBorders>
            <w:shd w:fill="1D6A72" w:val="clear"/>
            <w:tcMar>
              <w:top w:type="dxa" w:w="120"/>
              <w:left w:type="dxa" w:w="120"/>
              <w:bottom w:type="dxa" w:w="0"/>
              <w:right w:type="dxa" w:w="120"/>
            </w:tcMar>
            <w:vAlign w:val="center"/>
          </w:tcPr>
          <w:p>
            <w:pPr>
              <w:spacing w:before="0" w:after="30"/>
              <w:jc w:val="center"/>
            </w:pPr>
            <w:r>
              <w:rPr>
                <w:rFonts w:ascii="Arial" w:cs="Arial" w:eastAsia="Arial" w:hAnsi="Arial"/>
                <w:b/>
                <w:bCs/>
                <w:i w:val="false"/>
                <w:iCs w:val="false"/>
                <w:color w:val="FFFFFF"/>
                <w:sz w:val="16"/>
                <w:szCs w:val="16"/>
              </w:rPr>
              <w:t xml:space="preserve">FASE</w:t>
            </w:r>
          </w:p>
          <w:p>
            <w:pPr>
              <w:spacing w:before="0" w:after="30"/>
              <w:jc w:val="center"/>
            </w:pPr>
            <w:r>
              <w:rPr>
                <w:rFonts w:ascii="Arial" w:cs="Arial" w:eastAsia="Arial" w:hAnsi="Arial"/>
                <w:b/>
                <w:bCs/>
                <w:i w:val="false"/>
                <w:iCs w:val="false"/>
                <w:color w:val="FFFFFF"/>
                <w:sz w:val="42"/>
                <w:szCs w:val="42"/>
              </w:rPr>
              <w:t xml:space="preserve">1</w:t>
            </w:r>
          </w:p>
        </w:tc>
        <w:tc>
          <w:tcPr>
            <w:tcW w:type="dxa" w:w="8260"/>
            <w:tcBorders>
              <w:top w:val="single" w:color="CCCCCC" w:sz="1"/>
              <w:left w:val="none" w:color="FFFFFF" w:sz="0"/>
              <w:bottom w:val="none" w:color="FFFFFF" w:sz="0"/>
              <w:right w:val="single" w:color="CCCCCC" w:sz="1"/>
            </w:tcBorders>
            <w:shd w:fill="F2F2F2" w:val="clear"/>
            <w:tcMar>
              <w:top w:type="dxa" w:w="100"/>
              <w:left w:type="dxa" w:w="200"/>
              <w:bottom w:type="dxa" w:w="50"/>
              <w:right w:type="dxa" w:w="120"/>
            </w:tcMar>
          </w:tcPr>
          <w:p>
            <w:pPr>
              <w:spacing w:before="0" w:after="0"/>
            </w:pPr>
            <w:r>
              <w:rPr>
                <w:rFonts w:ascii="Arial" w:cs="Arial" w:eastAsia="Arial" w:hAnsi="Arial"/>
                <w:b/>
                <w:bCs/>
                <w:i w:val="false"/>
                <w:iCs w:val="false"/>
                <w:color w:val="1D6A72"/>
                <w:sz w:val="23"/>
                <w:szCs w:val="23"/>
              </w:rPr>
              <w:t xml:space="preserve">Diagnostico y Preparacion del Entorno  </w:t>
            </w:r>
            <w:r>
              <w:rPr>
                <w:rFonts w:ascii="Arial" w:cs="Arial" w:eastAsia="Arial" w:hAnsi="Arial"/>
                <w:b w:val="false"/>
                <w:bCs w:val="false"/>
                <w:i/>
                <w:iCs/>
                <w:color w:val="595959"/>
                <w:sz w:val="19"/>
                <w:szCs w:val="19"/>
              </w:rPr>
              <w:t xml:space="preserve">| Semanas 1-2</w:t>
            </w:r>
          </w:p>
        </w:tc>
      </w:tr>
      <w:tr>
        <w:tc>
          <w:tcPr>
            <w:vMerge w:val="continue"/>
            <w:tcBorders>
              <w:top w:val="none" w:color="FFFFFF" w:sz="0"/>
              <w:left w:val="none" w:color="FFFFFF" w:sz="0"/>
              <w:bottom w:val="none" w:color="FFFFFF" w:sz="0"/>
              <w:right w:val="none" w:color="FFFFFF" w:sz="0"/>
            </w:tcBorders>
          </w:tcPr>
          <w:p/>
        </w:tc>
        <w:tc>
          <w:tcPr>
            <w:tcW w:type="dxa" w:w="8260"/>
            <w:tcBorders>
              <w:top w:val="none" w:color="FFFFFF" w:sz="0"/>
              <w:left w:val="none" w:color="FFFFFF" w:sz="0"/>
              <w:bottom w:val="single" w:color="CCCCCC" w:sz="1"/>
              <w:right w:val="single" w:color="CCCCCC" w:sz="1"/>
            </w:tcBorders>
            <w:shd w:fill="FFFFFF" w:val="clear"/>
            <w:tcMar>
              <w:top w:type="dxa" w:w="60"/>
              <w:left w:type="dxa" w:w="200"/>
              <w:bottom w:type="dxa" w:w="120"/>
              <w:right w:type="dxa" w:w="120"/>
            </w:tcMar>
          </w:tcPr>
          <w:p>
            <w:pPr>
              <w:spacing w:before="0" w:after="40"/>
            </w:pPr>
            <w:r>
              <w:rPr>
                <w:rFonts w:ascii="Arial" w:cs="Arial" w:eastAsia="Arial" w:hAnsi="Arial"/>
                <w:b w:val="false"/>
                <w:bCs w:val="false"/>
                <w:i w:val="false"/>
                <w:iCs w:val="false"/>
                <w:color w:val="1A1A1A"/>
                <w:sz w:val="20"/>
                <w:szCs w:val="20"/>
              </w:rPr>
              <w:t xml:space="preserve">+ Ejecutar DCDiag y Repadmin en todos los DC. Documentar el estado de salud.</w:t>
            </w:r>
          </w:p>
          <w:p>
            <w:pPr>
              <w:spacing w:before="0" w:after="40"/>
            </w:pPr>
            <w:r>
              <w:rPr>
                <w:rFonts w:ascii="Arial" w:cs="Arial" w:eastAsia="Arial" w:hAnsi="Arial"/>
                <w:b w:val="false"/>
                <w:bCs w:val="false"/>
                <w:i w:val="false"/>
                <w:iCs w:val="false"/>
                <w:color w:val="1A1A1A"/>
                <w:sz w:val="20"/>
                <w:szCs w:val="20"/>
              </w:rPr>
              <w:t xml:space="preserve">+ Ejecutar IdFix: identificar y corregir atributos conflictivos (UPN, proxyAddresses, duplicados).</w:t>
            </w:r>
          </w:p>
          <w:p>
            <w:pPr>
              <w:spacing w:before="0" w:after="40"/>
            </w:pPr>
            <w:r>
              <w:rPr>
                <w:rFonts w:ascii="Arial" w:cs="Arial" w:eastAsia="Arial" w:hAnsi="Arial"/>
                <w:b w:val="false"/>
                <w:bCs w:val="false"/>
                <w:i w:val="false"/>
                <w:iCs w:val="false"/>
                <w:color w:val="1A1A1A"/>
                <w:sz w:val="20"/>
                <w:szCs w:val="20"/>
              </w:rPr>
              <w:t xml:space="preserve">+ Verificar y configurar el UPN suffix publico para todos los usuarios (si no esta configurado).</w:t>
            </w:r>
          </w:p>
          <w:p>
            <w:pPr>
              <w:spacing w:before="0" w:after="40"/>
            </w:pPr>
            <w:r>
              <w:rPr>
                <w:rFonts w:ascii="Arial" w:cs="Arial" w:eastAsia="Arial" w:hAnsi="Arial"/>
                <w:b w:val="false"/>
                <w:bCs w:val="false"/>
                <w:i w:val="false"/>
                <w:iCs w:val="false"/>
                <w:color w:val="1A1A1A"/>
                <w:sz w:val="20"/>
                <w:szCs w:val="20"/>
              </w:rPr>
              <w:t xml:space="preserve">+ Verificar el dominio personalizado en el tenant de Microsoft 365 (agregar registro TXT en DNS publico).</w:t>
            </w:r>
          </w:p>
          <w:p>
            <w:pPr>
              <w:spacing w:before="0" w:after="40"/>
            </w:pPr>
            <w:r>
              <w:rPr>
                <w:rFonts w:ascii="Arial" w:cs="Arial" w:eastAsia="Arial" w:hAnsi="Arial"/>
                <w:b w:val="false"/>
                <w:bCs w:val="false"/>
                <w:i w:val="false"/>
                <w:iCs w:val="false"/>
                <w:color w:val="1A1A1A"/>
                <w:sz w:val="20"/>
                <w:szCs w:val="20"/>
              </w:rPr>
              <w:t xml:space="preserve">+ Evaluar el servidor dedicado para Entra Connect: sistema operativo, red, acceso a internet.</w:t>
            </w:r>
          </w:p>
          <w:p>
            <w:pPr>
              <w:spacing w:before="0" w:after="40"/>
            </w:pPr>
            <w:r>
              <w:rPr>
                <w:rFonts w:ascii="Arial" w:cs="Arial" w:eastAsia="Arial" w:hAnsi="Arial"/>
                <w:b w:val="false"/>
                <w:bCs w:val="false"/>
                <w:i w:val="false"/>
                <w:iCs w:val="false"/>
                <w:color w:val="1A1A1A"/>
                <w:sz w:val="20"/>
                <w:szCs w:val="20"/>
              </w:rPr>
              <w:t xml:space="preserve">+ Verificar conectividad TCP 443 desde el servidor de Entra Connect hacia endpoints de Microsoft.</w:t>
            </w:r>
          </w:p>
          <w:p>
            <w:pPr>
              <w:spacing w:before="0" w:after="40"/>
            </w:pPr>
            <w:r>
              <w:rPr>
                <w:rFonts w:ascii="Arial" w:cs="Arial" w:eastAsia="Arial" w:hAnsi="Arial"/>
                <w:b w:val="false"/>
                <w:bCs w:val="false"/>
                <w:i w:val="false"/>
                <w:iCs w:val="false"/>
                <w:color w:val="1A1A1A"/>
                <w:sz w:val="20"/>
                <w:szCs w:val="20"/>
              </w:rPr>
              <w:t xml:space="preserve">+ Inventariar las aplicaciones legacy y confirmar que usan autenticacion de dominio local.</w:t>
            </w:r>
          </w:p>
          <w:p>
            <w:pPr>
              <w:spacing w:before="0" w:after="40"/>
            </w:pPr>
            <w:r>
              <w:rPr>
                <w:rFonts w:ascii="Arial" w:cs="Arial" w:eastAsia="Arial" w:hAnsi="Arial"/>
                <w:b w:val="false"/>
                <w:bCs w:val="false"/>
                <w:i w:val="false"/>
                <w:iCs w:val="false"/>
                <w:color w:val="1A1A1A"/>
                <w:sz w:val="20"/>
                <w:szCs w:val="20"/>
              </w:rPr>
              <w:t xml:space="preserve">+ Tomar snapshot / backup de todos los DC antes de iniciar.</w:t>
            </w:r>
          </w:p>
          <w:p>
            <w:pPr>
              <w:spacing w:before="0" w:after="40"/>
            </w:pPr>
            <w:r>
              <w:rPr>
                <w:rFonts w:ascii="Arial" w:cs="Arial" w:eastAsia="Arial" w:hAnsi="Arial"/>
                <w:b w:val="false"/>
                <w:bCs w:val="false"/>
                <w:i w:val="false"/>
                <w:iCs w:val="false"/>
                <w:color w:val="1A1A1A"/>
                <w:sz w:val="20"/>
                <w:szCs w:val="20"/>
              </w:rPr>
              <w:t xml:space="preserve">+ Entregable: Informe de diagnostico. Entorno preparado. Atributos corregidos con IdFix.</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vMerge w:val="restart"/>
            <w:tcBorders>
              <w:top w:val="none" w:color="FFFFFF" w:sz="0"/>
              <w:left w:val="none" w:color="FFFFFF" w:sz="0"/>
              <w:bottom w:val="none" w:color="FFFFFF" w:sz="0"/>
              <w:right w:val="none" w:color="FFFFFF" w:sz="0"/>
            </w:tcBorders>
            <w:shd w:fill="2E5FA3" w:val="clear"/>
            <w:tcMar>
              <w:top w:type="dxa" w:w="120"/>
              <w:left w:type="dxa" w:w="120"/>
              <w:bottom w:type="dxa" w:w="0"/>
              <w:right w:type="dxa" w:w="120"/>
            </w:tcMar>
            <w:vAlign w:val="center"/>
          </w:tcPr>
          <w:p>
            <w:pPr>
              <w:spacing w:before="0" w:after="30"/>
              <w:jc w:val="center"/>
            </w:pPr>
            <w:r>
              <w:rPr>
                <w:rFonts w:ascii="Arial" w:cs="Arial" w:eastAsia="Arial" w:hAnsi="Arial"/>
                <w:b/>
                <w:bCs/>
                <w:i w:val="false"/>
                <w:iCs w:val="false"/>
                <w:color w:val="FFFFFF"/>
                <w:sz w:val="16"/>
                <w:szCs w:val="16"/>
              </w:rPr>
              <w:t xml:space="preserve">FASE</w:t>
            </w:r>
          </w:p>
          <w:p>
            <w:pPr>
              <w:spacing w:before="0" w:after="30"/>
              <w:jc w:val="center"/>
            </w:pPr>
            <w:r>
              <w:rPr>
                <w:rFonts w:ascii="Arial" w:cs="Arial" w:eastAsia="Arial" w:hAnsi="Arial"/>
                <w:b/>
                <w:bCs/>
                <w:i w:val="false"/>
                <w:iCs w:val="false"/>
                <w:color w:val="FFFFFF"/>
                <w:sz w:val="42"/>
                <w:szCs w:val="42"/>
              </w:rPr>
              <w:t xml:space="preserve">2</w:t>
            </w:r>
          </w:p>
        </w:tc>
        <w:tc>
          <w:tcPr>
            <w:tcW w:type="dxa" w:w="8260"/>
            <w:tcBorders>
              <w:top w:val="single" w:color="CCCCCC" w:sz="1"/>
              <w:left w:val="none" w:color="FFFFFF" w:sz="0"/>
              <w:bottom w:val="none" w:color="FFFFFF" w:sz="0"/>
              <w:right w:val="single" w:color="CCCCCC" w:sz="1"/>
            </w:tcBorders>
            <w:shd w:fill="F2F2F2" w:val="clear"/>
            <w:tcMar>
              <w:top w:type="dxa" w:w="100"/>
              <w:left w:type="dxa" w:w="200"/>
              <w:bottom w:type="dxa" w:w="50"/>
              <w:right w:type="dxa" w:w="120"/>
            </w:tcMar>
          </w:tcPr>
          <w:p>
            <w:pPr>
              <w:spacing w:before="0" w:after="0"/>
            </w:pPr>
            <w:r>
              <w:rPr>
                <w:rFonts w:ascii="Arial" w:cs="Arial" w:eastAsia="Arial" w:hAnsi="Arial"/>
                <w:b/>
                <w:bCs/>
                <w:i w:val="false"/>
                <w:iCs w:val="false"/>
                <w:color w:val="2E5FA3"/>
                <w:sz w:val="23"/>
                <w:szCs w:val="23"/>
              </w:rPr>
              <w:t xml:space="preserve">Implementacion de Entra Connect  </w:t>
            </w:r>
            <w:r>
              <w:rPr>
                <w:rFonts w:ascii="Arial" w:cs="Arial" w:eastAsia="Arial" w:hAnsi="Arial"/>
                <w:b w:val="false"/>
                <w:bCs w:val="false"/>
                <w:i/>
                <w:iCs/>
                <w:color w:val="595959"/>
                <w:sz w:val="19"/>
                <w:szCs w:val="19"/>
              </w:rPr>
              <w:t xml:space="preserve">| Semanas 2-3</w:t>
            </w:r>
          </w:p>
        </w:tc>
      </w:tr>
      <w:tr>
        <w:tc>
          <w:tcPr>
            <w:vMerge w:val="continue"/>
            <w:tcBorders>
              <w:top w:val="none" w:color="FFFFFF" w:sz="0"/>
              <w:left w:val="none" w:color="FFFFFF" w:sz="0"/>
              <w:bottom w:val="none" w:color="FFFFFF" w:sz="0"/>
              <w:right w:val="none" w:color="FFFFFF" w:sz="0"/>
            </w:tcBorders>
          </w:tcPr>
          <w:p/>
        </w:tc>
        <w:tc>
          <w:tcPr>
            <w:tcW w:type="dxa" w:w="8260"/>
            <w:tcBorders>
              <w:top w:val="none" w:color="FFFFFF" w:sz="0"/>
              <w:left w:val="none" w:color="FFFFFF" w:sz="0"/>
              <w:bottom w:val="single" w:color="CCCCCC" w:sz="1"/>
              <w:right w:val="single" w:color="CCCCCC" w:sz="1"/>
            </w:tcBorders>
            <w:shd w:fill="FFFFFF" w:val="clear"/>
            <w:tcMar>
              <w:top w:type="dxa" w:w="60"/>
              <w:left w:type="dxa" w:w="200"/>
              <w:bottom w:type="dxa" w:w="120"/>
              <w:right w:type="dxa" w:w="120"/>
            </w:tcMar>
          </w:tcPr>
          <w:p>
            <w:pPr>
              <w:spacing w:before="0" w:after="40"/>
            </w:pPr>
            <w:r>
              <w:rPr>
                <w:rFonts w:ascii="Arial" w:cs="Arial" w:eastAsia="Arial" w:hAnsi="Arial"/>
                <w:b w:val="false"/>
                <w:bCs w:val="false"/>
                <w:i w:val="false"/>
                <w:iCs w:val="false"/>
                <w:color w:val="1A1A1A"/>
                <w:sz w:val="20"/>
                <w:szCs w:val="20"/>
              </w:rPr>
              <w:t xml:space="preserve">+ Instalar Microsoft Entra Connect v2.x en el servidor dedicado.</w:t>
            </w:r>
          </w:p>
          <w:p>
            <w:pPr>
              <w:spacing w:before="0" w:after="40"/>
            </w:pPr>
            <w:r>
              <w:rPr>
                <w:rFonts w:ascii="Arial" w:cs="Arial" w:eastAsia="Arial" w:hAnsi="Arial"/>
                <w:b w:val="false"/>
                <w:bCs w:val="false"/>
                <w:i w:val="false"/>
                <w:iCs w:val="false"/>
                <w:color w:val="1A1A1A"/>
                <w:sz w:val="20"/>
                <w:szCs w:val="20"/>
              </w:rPr>
              <w:t xml:space="preserve">+ Configurar el metodo de sincronizacion: Password Hash Synchronization (PHS).</w:t>
            </w:r>
          </w:p>
          <w:p>
            <w:pPr>
              <w:spacing w:before="0" w:after="40"/>
            </w:pPr>
            <w:r>
              <w:rPr>
                <w:rFonts w:ascii="Arial" w:cs="Arial" w:eastAsia="Arial" w:hAnsi="Arial"/>
                <w:b w:val="false"/>
                <w:bCs w:val="false"/>
                <w:i w:val="false"/>
                <w:iCs w:val="false"/>
                <w:color w:val="1A1A1A"/>
                <w:sz w:val="20"/>
                <w:szCs w:val="20"/>
              </w:rPr>
              <w:t xml:space="preserve">+ Definir el scope de sincronizacion: seleccionar las OUs a sincronizar.</w:t>
            </w:r>
          </w:p>
          <w:p>
            <w:pPr>
              <w:spacing w:before="0" w:after="40"/>
            </w:pPr>
            <w:r>
              <w:rPr>
                <w:rFonts w:ascii="Arial" w:cs="Arial" w:eastAsia="Arial" w:hAnsi="Arial"/>
                <w:b w:val="false"/>
                <w:bCs w:val="false"/>
                <w:i w:val="false"/>
                <w:iCs w:val="false"/>
                <w:color w:val="1A1A1A"/>
                <w:sz w:val="20"/>
                <w:szCs w:val="20"/>
              </w:rPr>
              <w:t xml:space="preserve">+ Configurar Password Writeback para habilitar SSPR.</w:t>
            </w:r>
          </w:p>
          <w:p>
            <w:pPr>
              <w:spacing w:before="0" w:after="40"/>
            </w:pPr>
            <w:r>
              <w:rPr>
                <w:rFonts w:ascii="Arial" w:cs="Arial" w:eastAsia="Arial" w:hAnsi="Arial"/>
                <w:b w:val="false"/>
                <w:bCs w:val="false"/>
                <w:i w:val="false"/>
                <w:iCs w:val="false"/>
                <w:color w:val="1A1A1A"/>
                <w:sz w:val="20"/>
                <w:szCs w:val="20"/>
              </w:rPr>
              <w:t xml:space="preserve">+ Configurar Seamless Single Sign-On (SSO).</w:t>
            </w:r>
          </w:p>
          <w:p>
            <w:pPr>
              <w:spacing w:before="0" w:after="40"/>
            </w:pPr>
            <w:r>
              <w:rPr>
                <w:rFonts w:ascii="Arial" w:cs="Arial" w:eastAsia="Arial" w:hAnsi="Arial"/>
                <w:b w:val="false"/>
                <w:bCs w:val="false"/>
                <w:i w:val="false"/>
                <w:iCs w:val="false"/>
                <w:color w:val="1A1A1A"/>
                <w:sz w:val="20"/>
                <w:szCs w:val="20"/>
              </w:rPr>
              <w:t xml:space="preserve">+ Ejecutar la sincronizacion inicial completa y validar los objetos en el portal de Entra ID.</w:t>
            </w:r>
          </w:p>
          <w:p>
            <w:pPr>
              <w:spacing w:before="0" w:after="40"/>
            </w:pPr>
            <w:r>
              <w:rPr>
                <w:rFonts w:ascii="Arial" w:cs="Arial" w:eastAsia="Arial" w:hAnsi="Arial"/>
                <w:b w:val="false"/>
                <w:bCs w:val="false"/>
                <w:i w:val="false"/>
                <w:iCs w:val="false"/>
                <w:color w:val="1A1A1A"/>
                <w:sz w:val="20"/>
                <w:szCs w:val="20"/>
              </w:rPr>
              <w:t xml:space="preserve">+ Configurar Entra Connect Health y alertas por correo al equipo de TI.</w:t>
            </w:r>
          </w:p>
          <w:p>
            <w:pPr>
              <w:spacing w:before="0" w:after="40"/>
            </w:pPr>
            <w:r>
              <w:rPr>
                <w:rFonts w:ascii="Arial" w:cs="Arial" w:eastAsia="Arial" w:hAnsi="Arial"/>
                <w:b w:val="false"/>
                <w:bCs w:val="false"/>
                <w:i w:val="false"/>
                <w:iCs w:val="false"/>
                <w:color w:val="1A1A1A"/>
                <w:sz w:val="20"/>
                <w:szCs w:val="20"/>
              </w:rPr>
              <w:t xml:space="preserve">+ Verificar que las apps legacy siguen funcionando correctamente (prueba documentada).</w:t>
            </w:r>
          </w:p>
          <w:p>
            <w:pPr>
              <w:spacing w:before="0" w:after="40"/>
            </w:pPr>
            <w:r>
              <w:rPr>
                <w:rFonts w:ascii="Arial" w:cs="Arial" w:eastAsia="Arial" w:hAnsi="Arial"/>
                <w:b w:val="false"/>
                <w:bCs w:val="false"/>
                <w:i w:val="false"/>
                <w:iCs w:val="false"/>
                <w:color w:val="1A1A1A"/>
                <w:sz w:val="20"/>
                <w:szCs w:val="20"/>
              </w:rPr>
              <w:t xml:space="preserve">+ Entregable: Sincronizacion AD — Entra ID activa. Usuarios visibles en Entra ID. Apps legacy validadas.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vMerge w:val="restart"/>
            <w:tcBorders>
              <w:top w:val="none" w:color="FFFFFF" w:sz="0"/>
              <w:left w:val="none" w:color="FFFFFF" w:sz="0"/>
              <w:bottom w:val="none" w:color="FFFFFF" w:sz="0"/>
              <w:right w:val="none" w:color="FFFFFF" w:sz="0"/>
            </w:tcBorders>
            <w:shd w:fill="5C2D91" w:val="clear"/>
            <w:tcMar>
              <w:top w:type="dxa" w:w="120"/>
              <w:left w:type="dxa" w:w="120"/>
              <w:bottom w:type="dxa" w:w="0"/>
              <w:right w:type="dxa" w:w="120"/>
            </w:tcMar>
            <w:vAlign w:val="center"/>
          </w:tcPr>
          <w:p>
            <w:pPr>
              <w:spacing w:before="0" w:after="30"/>
              <w:jc w:val="center"/>
            </w:pPr>
            <w:r>
              <w:rPr>
                <w:rFonts w:ascii="Arial" w:cs="Arial" w:eastAsia="Arial" w:hAnsi="Arial"/>
                <w:b/>
                <w:bCs/>
                <w:i w:val="false"/>
                <w:iCs w:val="false"/>
                <w:color w:val="FFFFFF"/>
                <w:sz w:val="16"/>
                <w:szCs w:val="16"/>
              </w:rPr>
              <w:t xml:space="preserve">FASE</w:t>
            </w:r>
          </w:p>
          <w:p>
            <w:pPr>
              <w:spacing w:before="0" w:after="30"/>
              <w:jc w:val="center"/>
            </w:pPr>
            <w:r>
              <w:rPr>
                <w:rFonts w:ascii="Arial" w:cs="Arial" w:eastAsia="Arial" w:hAnsi="Arial"/>
                <w:b/>
                <w:bCs/>
                <w:i w:val="false"/>
                <w:iCs w:val="false"/>
                <w:color w:val="FFFFFF"/>
                <w:sz w:val="42"/>
                <w:szCs w:val="42"/>
              </w:rPr>
              <w:t xml:space="preserve">3</w:t>
            </w:r>
          </w:p>
        </w:tc>
        <w:tc>
          <w:tcPr>
            <w:tcW w:type="dxa" w:w="8260"/>
            <w:tcBorders>
              <w:top w:val="single" w:color="CCCCCC" w:sz="1"/>
              <w:left w:val="none" w:color="FFFFFF" w:sz="0"/>
              <w:bottom w:val="none" w:color="FFFFFF" w:sz="0"/>
              <w:right w:val="single" w:color="CCCCCC" w:sz="1"/>
            </w:tcBorders>
            <w:shd w:fill="F2F2F2" w:val="clear"/>
            <w:tcMar>
              <w:top w:type="dxa" w:w="100"/>
              <w:left w:type="dxa" w:w="200"/>
              <w:bottom w:type="dxa" w:w="50"/>
              <w:right w:type="dxa" w:w="120"/>
            </w:tcMar>
          </w:tcPr>
          <w:p>
            <w:pPr>
              <w:spacing w:before="0" w:after="0"/>
            </w:pPr>
            <w:r>
              <w:rPr>
                <w:rFonts w:ascii="Arial" w:cs="Arial" w:eastAsia="Arial" w:hAnsi="Arial"/>
                <w:b/>
                <w:bCs/>
                <w:i w:val="false"/>
                <w:iCs w:val="false"/>
                <w:color w:val="5C2D91"/>
                <w:sz w:val="23"/>
                <w:szCs w:val="23"/>
              </w:rPr>
              <w:t xml:space="preserve">MFA, SSPR y Conditional Access  </w:t>
            </w:r>
            <w:r>
              <w:rPr>
                <w:rFonts w:ascii="Arial" w:cs="Arial" w:eastAsia="Arial" w:hAnsi="Arial"/>
                <w:b w:val="false"/>
                <w:bCs w:val="false"/>
                <w:i/>
                <w:iCs/>
                <w:color w:val="595959"/>
                <w:sz w:val="19"/>
                <w:szCs w:val="19"/>
              </w:rPr>
              <w:t xml:space="preserve">| Semanas 3-5</w:t>
            </w:r>
          </w:p>
        </w:tc>
      </w:tr>
      <w:tr>
        <w:tc>
          <w:tcPr>
            <w:vMerge w:val="continue"/>
            <w:tcBorders>
              <w:top w:val="none" w:color="FFFFFF" w:sz="0"/>
              <w:left w:val="none" w:color="FFFFFF" w:sz="0"/>
              <w:bottom w:val="none" w:color="FFFFFF" w:sz="0"/>
              <w:right w:val="none" w:color="FFFFFF" w:sz="0"/>
            </w:tcBorders>
          </w:tcPr>
          <w:p/>
        </w:tc>
        <w:tc>
          <w:tcPr>
            <w:tcW w:type="dxa" w:w="8260"/>
            <w:tcBorders>
              <w:top w:val="none" w:color="FFFFFF" w:sz="0"/>
              <w:left w:val="none" w:color="FFFFFF" w:sz="0"/>
              <w:bottom w:val="single" w:color="CCCCCC" w:sz="1"/>
              <w:right w:val="single" w:color="CCCCCC" w:sz="1"/>
            </w:tcBorders>
            <w:shd w:fill="FFFFFF" w:val="clear"/>
            <w:tcMar>
              <w:top w:type="dxa" w:w="60"/>
              <w:left w:type="dxa" w:w="200"/>
              <w:bottom w:type="dxa" w:w="120"/>
              <w:right w:type="dxa" w:w="120"/>
            </w:tcMar>
          </w:tcPr>
          <w:p>
            <w:pPr>
              <w:spacing w:before="0" w:after="40"/>
            </w:pPr>
            <w:r>
              <w:rPr>
                <w:rFonts w:ascii="Arial" w:cs="Arial" w:eastAsia="Arial" w:hAnsi="Arial"/>
                <w:b w:val="false"/>
                <w:bCs w:val="false"/>
                <w:i w:val="false"/>
                <w:iCs w:val="false"/>
                <w:color w:val="1A1A1A"/>
                <w:sz w:val="20"/>
                <w:szCs w:val="20"/>
              </w:rPr>
              <w:t xml:space="preserve">+ Registro de Microsoft Authenticator para el grupo piloto (5-10 usuarios).</w:t>
            </w:r>
          </w:p>
          <w:p>
            <w:pPr>
              <w:spacing w:before="0" w:after="40"/>
            </w:pPr>
            <w:r>
              <w:rPr>
                <w:rFonts w:ascii="Arial" w:cs="Arial" w:eastAsia="Arial" w:hAnsi="Arial"/>
                <w:b w:val="false"/>
                <w:bCs w:val="false"/>
                <w:i w:val="false"/>
                <w:iCs w:val="false"/>
                <w:color w:val="1A1A1A"/>
                <w:sz w:val="20"/>
                <w:szCs w:val="20"/>
              </w:rPr>
              <w:t xml:space="preserve">+ Habilitacion de SSPR (Self-Service Password Reset) en el grupo piloto.</w:t>
            </w:r>
          </w:p>
          <w:p>
            <w:pPr>
              <w:spacing w:before="0" w:after="40"/>
            </w:pPr>
            <w:r>
              <w:rPr>
                <w:rFonts w:ascii="Arial" w:cs="Arial" w:eastAsia="Arial" w:hAnsi="Arial"/>
                <w:b w:val="false"/>
                <w:bCs w:val="false"/>
                <w:i w:val="false"/>
                <w:iCs w:val="false"/>
                <w:color w:val="1A1A1A"/>
                <w:sz w:val="20"/>
                <w:szCs w:val="20"/>
              </w:rPr>
              <w:t xml:space="preserve">+ Prueba end-to-end de reset de contrasena: usuario resetea en la nube -&gt; cambio se aplica en el AD local.</w:t>
            </w:r>
          </w:p>
          <w:p>
            <w:pPr>
              <w:spacing w:before="0" w:after="40"/>
            </w:pPr>
            <w:r>
              <w:rPr>
                <w:rFonts w:ascii="Arial" w:cs="Arial" w:eastAsia="Arial" w:hAnsi="Arial"/>
                <w:b w:val="false"/>
                <w:bCs w:val="false"/>
                <w:i w:val="false"/>
                <w:iCs w:val="false"/>
                <w:color w:val="1A1A1A"/>
                <w:sz w:val="20"/>
                <w:szCs w:val="20"/>
              </w:rPr>
              <w:t xml:space="preserve">+ Activar Conditional Access — Politica 1: MFA obligatorio para el grupo piloto.</w:t>
            </w:r>
          </w:p>
          <w:p>
            <w:pPr>
              <w:spacing w:before="0" w:after="40"/>
            </w:pPr>
            <w:r>
              <w:rPr>
                <w:rFonts w:ascii="Arial" w:cs="Arial" w:eastAsia="Arial" w:hAnsi="Arial"/>
                <w:b w:val="false"/>
                <w:bCs w:val="false"/>
                <w:i w:val="false"/>
                <w:iCs w:val="false"/>
                <w:color w:val="1A1A1A"/>
                <w:sz w:val="20"/>
                <w:szCs w:val="20"/>
              </w:rPr>
              <w:t xml:space="preserve">+ Validar experiencia de usuario con MFA en M365 (Outlook, Teams, SharePoint).</w:t>
            </w:r>
          </w:p>
          <w:p>
            <w:pPr>
              <w:spacing w:before="0" w:after="40"/>
            </w:pPr>
            <w:r>
              <w:rPr>
                <w:rFonts w:ascii="Arial" w:cs="Arial" w:eastAsia="Arial" w:hAnsi="Arial"/>
                <w:b w:val="false"/>
                <w:bCs w:val="false"/>
                <w:i w:val="false"/>
                <w:iCs w:val="false"/>
                <w:color w:val="1A1A1A"/>
                <w:sz w:val="20"/>
                <w:szCs w:val="20"/>
              </w:rPr>
              <w:t xml:space="preserve">+ Activar Conditional Access — Politica 2: Bloqueo por paises de riesgo.</w:t>
            </w:r>
          </w:p>
          <w:p>
            <w:pPr>
              <w:spacing w:before="0" w:after="40"/>
            </w:pPr>
            <w:r>
              <w:rPr>
                <w:rFonts w:ascii="Arial" w:cs="Arial" w:eastAsia="Arial" w:hAnsi="Arial"/>
                <w:b w:val="false"/>
                <w:bCs w:val="false"/>
                <w:i w:val="false"/>
                <w:iCs w:val="false"/>
                <w:color w:val="1A1A1A"/>
                <w:sz w:val="20"/>
                <w:szCs w:val="20"/>
              </w:rPr>
              <w:t xml:space="preserve">+ Activar Conditional Access — Politica 3: Proteccion de cuentas de administrador.</w:t>
            </w:r>
          </w:p>
          <w:p>
            <w:pPr>
              <w:spacing w:before="0" w:after="40"/>
            </w:pPr>
            <w:r>
              <w:rPr>
                <w:rFonts w:ascii="Arial" w:cs="Arial" w:eastAsia="Arial" w:hAnsi="Arial"/>
                <w:b w:val="false"/>
                <w:bCs w:val="false"/>
                <w:i w:val="false"/>
                <w:iCs w:val="false"/>
                <w:color w:val="1A1A1A"/>
                <w:sz w:val="20"/>
                <w:szCs w:val="20"/>
              </w:rPr>
              <w:t xml:space="preserve">+ Despliegue masivo de MFA y SSPR a todos los usuarios.</w:t>
            </w:r>
          </w:p>
          <w:p>
            <w:pPr>
              <w:spacing w:before="0" w:after="40"/>
            </w:pPr>
            <w:r>
              <w:rPr>
                <w:rFonts w:ascii="Arial" w:cs="Arial" w:eastAsia="Arial" w:hAnsi="Arial"/>
                <w:b w:val="false"/>
                <w:bCs w:val="false"/>
                <w:i w:val="false"/>
                <w:iCs w:val="false"/>
                <w:color w:val="1A1A1A"/>
                <w:sz w:val="20"/>
                <w:szCs w:val="20"/>
              </w:rPr>
              <w:t xml:space="preserve">+ Campana de comunicacion a usuarios: como registrar MFA y como usar SSPR.</w:t>
            </w:r>
          </w:p>
          <w:p>
            <w:pPr>
              <w:spacing w:before="0" w:after="40"/>
            </w:pPr>
            <w:r>
              <w:rPr>
                <w:rFonts w:ascii="Arial" w:cs="Arial" w:eastAsia="Arial" w:hAnsi="Arial"/>
                <w:b w:val="false"/>
                <w:bCs w:val="false"/>
                <w:i w:val="false"/>
                <w:iCs w:val="false"/>
                <w:color w:val="1A1A1A"/>
                <w:sz w:val="20"/>
                <w:szCs w:val="20"/>
              </w:rPr>
              <w:t xml:space="preserve">+ Entregable: MFA activo al 100% de usuarios. SSPR funcional. 3 Conditional Access policies activas.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vMerge w:val="restart"/>
            <w:tcBorders>
              <w:top w:val="none" w:color="FFFFFF" w:sz="0"/>
              <w:left w:val="none" w:color="FFFFFF" w:sz="0"/>
              <w:bottom w:val="none" w:color="FFFFFF" w:sz="0"/>
              <w:right w:val="none" w:color="FFFFFF" w:sz="0"/>
            </w:tcBorders>
            <w:shd w:fill="4472C4" w:val="clear"/>
            <w:tcMar>
              <w:top w:type="dxa" w:w="120"/>
              <w:left w:type="dxa" w:w="120"/>
              <w:bottom w:type="dxa" w:w="0"/>
              <w:right w:type="dxa" w:w="120"/>
            </w:tcMar>
            <w:vAlign w:val="center"/>
          </w:tcPr>
          <w:p>
            <w:pPr>
              <w:spacing w:before="0" w:after="30"/>
              <w:jc w:val="center"/>
            </w:pPr>
            <w:r>
              <w:rPr>
                <w:rFonts w:ascii="Arial" w:cs="Arial" w:eastAsia="Arial" w:hAnsi="Arial"/>
                <w:b/>
                <w:bCs/>
                <w:i w:val="false"/>
                <w:iCs w:val="false"/>
                <w:color w:val="FFFFFF"/>
                <w:sz w:val="16"/>
                <w:szCs w:val="16"/>
              </w:rPr>
              <w:t xml:space="preserve">FASE</w:t>
            </w:r>
          </w:p>
          <w:p>
            <w:pPr>
              <w:spacing w:before="0" w:after="30"/>
              <w:jc w:val="center"/>
            </w:pPr>
            <w:r>
              <w:rPr>
                <w:rFonts w:ascii="Arial" w:cs="Arial" w:eastAsia="Arial" w:hAnsi="Arial"/>
                <w:b/>
                <w:bCs/>
                <w:i w:val="false"/>
                <w:iCs w:val="false"/>
                <w:color w:val="FFFFFF"/>
                <w:sz w:val="42"/>
                <w:szCs w:val="42"/>
              </w:rPr>
              <w:t xml:space="preserve">4</w:t>
            </w:r>
          </w:p>
        </w:tc>
        <w:tc>
          <w:tcPr>
            <w:tcW w:type="dxa" w:w="8260"/>
            <w:tcBorders>
              <w:top w:val="single" w:color="CCCCCC" w:sz="1"/>
              <w:left w:val="none" w:color="FFFFFF" w:sz="0"/>
              <w:bottom w:val="none" w:color="FFFFFF" w:sz="0"/>
              <w:right w:val="single" w:color="CCCCCC" w:sz="1"/>
            </w:tcBorders>
            <w:shd w:fill="F2F2F2" w:val="clear"/>
            <w:tcMar>
              <w:top w:type="dxa" w:w="100"/>
              <w:left w:type="dxa" w:w="200"/>
              <w:bottom w:type="dxa" w:w="50"/>
              <w:right w:type="dxa" w:w="120"/>
            </w:tcMar>
          </w:tcPr>
          <w:p>
            <w:pPr>
              <w:spacing w:before="0" w:after="0"/>
            </w:pPr>
            <w:r>
              <w:rPr>
                <w:rFonts w:ascii="Arial" w:cs="Arial" w:eastAsia="Arial" w:hAnsi="Arial"/>
                <w:b/>
                <w:bCs/>
                <w:i w:val="false"/>
                <w:iCs w:val="false"/>
                <w:color w:val="4472C4"/>
                <w:sz w:val="23"/>
                <w:szCs w:val="23"/>
              </w:rPr>
              <w:t xml:space="preserve">Defender for Identity y SSO para SaaS  </w:t>
            </w:r>
            <w:r>
              <w:rPr>
                <w:rFonts w:ascii="Arial" w:cs="Arial" w:eastAsia="Arial" w:hAnsi="Arial"/>
                <w:b w:val="false"/>
                <w:bCs w:val="false"/>
                <w:i/>
                <w:iCs/>
                <w:color w:val="595959"/>
                <w:sz w:val="19"/>
                <w:szCs w:val="19"/>
              </w:rPr>
              <w:t xml:space="preserve">| Semanas 4-6</w:t>
            </w:r>
          </w:p>
        </w:tc>
      </w:tr>
      <w:tr>
        <w:tc>
          <w:tcPr>
            <w:vMerge w:val="continue"/>
            <w:tcBorders>
              <w:top w:val="none" w:color="FFFFFF" w:sz="0"/>
              <w:left w:val="none" w:color="FFFFFF" w:sz="0"/>
              <w:bottom w:val="none" w:color="FFFFFF" w:sz="0"/>
              <w:right w:val="none" w:color="FFFFFF" w:sz="0"/>
            </w:tcBorders>
          </w:tcPr>
          <w:p/>
        </w:tc>
        <w:tc>
          <w:tcPr>
            <w:tcW w:type="dxa" w:w="8260"/>
            <w:tcBorders>
              <w:top w:val="none" w:color="FFFFFF" w:sz="0"/>
              <w:left w:val="none" w:color="FFFFFF" w:sz="0"/>
              <w:bottom w:val="single" w:color="CCCCCC" w:sz="1"/>
              <w:right w:val="single" w:color="CCCCCC" w:sz="1"/>
            </w:tcBorders>
            <w:shd w:fill="FFFFFF" w:val="clear"/>
            <w:tcMar>
              <w:top w:type="dxa" w:w="60"/>
              <w:left w:type="dxa" w:w="200"/>
              <w:bottom w:type="dxa" w:w="120"/>
              <w:right w:type="dxa" w:w="120"/>
            </w:tcMar>
          </w:tcPr>
          <w:p>
            <w:pPr>
              <w:spacing w:before="0" w:after="40"/>
            </w:pPr>
            <w:r>
              <w:rPr>
                <w:rFonts w:ascii="Arial" w:cs="Arial" w:eastAsia="Arial" w:hAnsi="Arial"/>
                <w:b w:val="false"/>
                <w:bCs w:val="false"/>
                <w:i w:val="false"/>
                <w:iCs w:val="false"/>
                <w:color w:val="1A1A1A"/>
                <w:sz w:val="20"/>
                <w:szCs w:val="20"/>
              </w:rPr>
              <w:t xml:space="preserve">+ Instalar sensores de Defender for Identity en todos los DC on-premises.</w:t>
            </w:r>
          </w:p>
          <w:p>
            <w:pPr>
              <w:spacing w:before="0" w:after="40"/>
            </w:pPr>
            <w:r>
              <w:rPr>
                <w:rFonts w:ascii="Arial" w:cs="Arial" w:eastAsia="Arial" w:hAnsi="Arial"/>
                <w:b w:val="false"/>
                <w:bCs w:val="false"/>
                <w:i w:val="false"/>
                <w:iCs w:val="false"/>
                <w:color w:val="1A1A1A"/>
                <w:sz w:val="20"/>
                <w:szCs w:val="20"/>
              </w:rPr>
              <w:t xml:space="preserve">+ Configurar alertas criticas: Golden Ticket, Pass-the-Hash, Kerberoasting, DCSync, Password Spray.</w:t>
            </w:r>
          </w:p>
          <w:p>
            <w:pPr>
              <w:spacing w:before="0" w:after="40"/>
            </w:pPr>
            <w:r>
              <w:rPr>
                <w:rFonts w:ascii="Arial" w:cs="Arial" w:eastAsia="Arial" w:hAnsi="Arial"/>
                <w:b w:val="false"/>
                <w:bCs w:val="false"/>
                <w:i w:val="false"/>
                <w:iCs w:val="false"/>
                <w:color w:val="1A1A1A"/>
                <w:sz w:val="20"/>
                <w:szCs w:val="20"/>
              </w:rPr>
              <w:t xml:space="preserve">+ Integrar Defender for Identity con Microsoft Defender XDR (portal unificado de seguridad).</w:t>
            </w:r>
          </w:p>
          <w:p>
            <w:pPr>
              <w:spacing w:before="0" w:after="40"/>
            </w:pPr>
            <w:r>
              <w:rPr>
                <w:rFonts w:ascii="Arial" w:cs="Arial" w:eastAsia="Arial" w:hAnsi="Arial"/>
                <w:b w:val="false"/>
                <w:bCs w:val="false"/>
                <w:i w:val="false"/>
                <w:iCs w:val="false"/>
                <w:color w:val="1A1A1A"/>
                <w:sz w:val="20"/>
                <w:szCs w:val="20"/>
              </w:rPr>
              <w:t xml:space="preserve">+ Verificar que los sensores estan recibiendo trafico de autenticacion de los DC.</w:t>
            </w:r>
          </w:p>
          <w:p>
            <w:pPr>
              <w:spacing w:before="0" w:after="40"/>
            </w:pPr>
            <w:r>
              <w:rPr>
                <w:rFonts w:ascii="Arial" w:cs="Arial" w:eastAsia="Arial" w:hAnsi="Arial"/>
                <w:b w:val="false"/>
                <w:bCs w:val="false"/>
                <w:i w:val="false"/>
                <w:iCs w:val="false"/>
                <w:color w:val="1A1A1A"/>
                <w:sz w:val="20"/>
                <w:szCs w:val="20"/>
              </w:rPr>
              <w:t xml:space="preserve">+ Configurar SSO (SAML 2.0 o OIDC) para las aplicaciones SaaS prioritarias (hasta 5 apps).</w:t>
            </w:r>
          </w:p>
          <w:p>
            <w:pPr>
              <w:spacing w:before="0" w:after="40"/>
            </w:pPr>
            <w:r>
              <w:rPr>
                <w:rFonts w:ascii="Arial" w:cs="Arial" w:eastAsia="Arial" w:hAnsi="Arial"/>
                <w:b w:val="false"/>
                <w:bCs w:val="false"/>
                <w:i w:val="false"/>
                <w:iCs w:val="false"/>
                <w:color w:val="1A1A1A"/>
                <w:sz w:val="20"/>
                <w:szCs w:val="20"/>
              </w:rPr>
              <w:t xml:space="preserve">+ Probar el flujo de SSO para cada aplicacion integrada con los usuarios piloto.</w:t>
            </w:r>
          </w:p>
          <w:p>
            <w:pPr>
              <w:spacing w:before="0" w:after="40"/>
            </w:pPr>
            <w:r>
              <w:rPr>
                <w:rFonts w:ascii="Arial" w:cs="Arial" w:eastAsia="Arial" w:hAnsi="Arial"/>
                <w:b w:val="false"/>
                <w:bCs w:val="false"/>
                <w:i w:val="false"/>
                <w:iCs w:val="false"/>
                <w:color w:val="1A1A1A"/>
                <w:sz w:val="20"/>
                <w:szCs w:val="20"/>
              </w:rPr>
              <w:t xml:space="preserve">+ Despliegue de SSO a todos los usuarios para cada aplicacion validada.</w:t>
            </w:r>
          </w:p>
          <w:p>
            <w:pPr>
              <w:spacing w:before="0" w:after="40"/>
            </w:pPr>
            <w:r>
              <w:rPr>
                <w:rFonts w:ascii="Arial" w:cs="Arial" w:eastAsia="Arial" w:hAnsi="Arial"/>
                <w:b w:val="false"/>
                <w:bCs w:val="false"/>
                <w:i w:val="false"/>
                <w:iCs w:val="false"/>
                <w:color w:val="1A1A1A"/>
                <w:sz w:val="20"/>
                <w:szCs w:val="20"/>
              </w:rPr>
              <w:t xml:space="preserve">+ Entregable: Defender for Identity operativo. SSO activo para apps SaaS configuradas.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vMerge w:val="restart"/>
            <w:tcBorders>
              <w:top w:val="none" w:color="FFFFFF" w:sz="0"/>
              <w:left w:val="none" w:color="FFFFFF" w:sz="0"/>
              <w:bottom w:val="none" w:color="FFFFFF" w:sz="0"/>
              <w:right w:val="none" w:color="FFFFFF" w:sz="0"/>
            </w:tcBorders>
            <w:shd w:fill="C55A11" w:val="clear"/>
            <w:tcMar>
              <w:top w:type="dxa" w:w="120"/>
              <w:left w:type="dxa" w:w="120"/>
              <w:bottom w:type="dxa" w:w="0"/>
              <w:right w:type="dxa" w:w="120"/>
            </w:tcMar>
            <w:vAlign w:val="center"/>
          </w:tcPr>
          <w:p>
            <w:pPr>
              <w:spacing w:before="0" w:after="30"/>
              <w:jc w:val="center"/>
            </w:pPr>
            <w:r>
              <w:rPr>
                <w:rFonts w:ascii="Arial" w:cs="Arial" w:eastAsia="Arial" w:hAnsi="Arial"/>
                <w:b/>
                <w:bCs/>
                <w:i w:val="false"/>
                <w:iCs w:val="false"/>
                <w:color w:val="FFFFFF"/>
                <w:sz w:val="16"/>
                <w:szCs w:val="16"/>
              </w:rPr>
              <w:t xml:space="preserve">FASE</w:t>
            </w:r>
          </w:p>
          <w:p>
            <w:pPr>
              <w:spacing w:before="0" w:after="30"/>
              <w:jc w:val="center"/>
            </w:pPr>
            <w:r>
              <w:rPr>
                <w:rFonts w:ascii="Arial" w:cs="Arial" w:eastAsia="Arial" w:hAnsi="Arial"/>
                <w:b/>
                <w:bCs/>
                <w:i w:val="false"/>
                <w:iCs w:val="false"/>
                <w:color w:val="FFFFFF"/>
                <w:sz w:val="42"/>
                <w:szCs w:val="42"/>
              </w:rPr>
              <w:t xml:space="preserve">5</w:t>
            </w:r>
          </w:p>
        </w:tc>
        <w:tc>
          <w:tcPr>
            <w:tcW w:type="dxa" w:w="8260"/>
            <w:tcBorders>
              <w:top w:val="single" w:color="CCCCCC" w:sz="1"/>
              <w:left w:val="none" w:color="FFFFFF" w:sz="0"/>
              <w:bottom w:val="none" w:color="FFFFFF" w:sz="0"/>
              <w:right w:val="single" w:color="CCCCCC" w:sz="1"/>
            </w:tcBorders>
            <w:shd w:fill="F2F2F2" w:val="clear"/>
            <w:tcMar>
              <w:top w:type="dxa" w:w="100"/>
              <w:left w:type="dxa" w:w="200"/>
              <w:bottom w:type="dxa" w:w="50"/>
              <w:right w:type="dxa" w:w="120"/>
            </w:tcMar>
          </w:tcPr>
          <w:p>
            <w:pPr>
              <w:spacing w:before="0" w:after="0"/>
            </w:pPr>
            <w:r>
              <w:rPr>
                <w:rFonts w:ascii="Arial" w:cs="Arial" w:eastAsia="Arial" w:hAnsi="Arial"/>
                <w:b/>
                <w:bCs/>
                <w:i w:val="false"/>
                <w:iCs w:val="false"/>
                <w:color w:val="C55A11"/>
                <w:sz w:val="23"/>
                <w:szCs w:val="23"/>
              </w:rPr>
              <w:t xml:space="preserve">Estabilizacion, Documentacion y Capacitacion  </w:t>
            </w:r>
            <w:r>
              <w:rPr>
                <w:rFonts w:ascii="Arial" w:cs="Arial" w:eastAsia="Arial" w:hAnsi="Arial"/>
                <w:b w:val="false"/>
                <w:bCs w:val="false"/>
                <w:i/>
                <w:iCs/>
                <w:color w:val="595959"/>
                <w:sz w:val="19"/>
                <w:szCs w:val="19"/>
              </w:rPr>
              <w:t xml:space="preserve">| Semanas 6-8</w:t>
            </w:r>
          </w:p>
        </w:tc>
      </w:tr>
      <w:tr>
        <w:tc>
          <w:tcPr>
            <w:vMerge w:val="continue"/>
            <w:tcBorders>
              <w:top w:val="none" w:color="FFFFFF" w:sz="0"/>
              <w:left w:val="none" w:color="FFFFFF" w:sz="0"/>
              <w:bottom w:val="none" w:color="FFFFFF" w:sz="0"/>
              <w:right w:val="none" w:color="FFFFFF" w:sz="0"/>
            </w:tcBorders>
          </w:tcPr>
          <w:p/>
        </w:tc>
        <w:tc>
          <w:tcPr>
            <w:tcW w:type="dxa" w:w="8260"/>
            <w:tcBorders>
              <w:top w:val="none" w:color="FFFFFF" w:sz="0"/>
              <w:left w:val="none" w:color="FFFFFF" w:sz="0"/>
              <w:bottom w:val="single" w:color="CCCCCC" w:sz="1"/>
              <w:right w:val="single" w:color="CCCCCC" w:sz="1"/>
            </w:tcBorders>
            <w:shd w:fill="FFFFFF" w:val="clear"/>
            <w:tcMar>
              <w:top w:type="dxa" w:w="60"/>
              <w:left w:type="dxa" w:w="200"/>
              <w:bottom w:type="dxa" w:w="120"/>
              <w:right w:type="dxa" w:w="120"/>
            </w:tcMar>
          </w:tcPr>
          <w:p>
            <w:pPr>
              <w:spacing w:before="0" w:after="40"/>
            </w:pPr>
            <w:r>
              <w:rPr>
                <w:rFonts w:ascii="Arial" w:cs="Arial" w:eastAsia="Arial" w:hAnsi="Arial"/>
                <w:b w:val="false"/>
                <w:bCs w:val="false"/>
                <w:i w:val="false"/>
                <w:iCs w:val="false"/>
                <w:color w:val="1A1A1A"/>
                <w:sz w:val="20"/>
                <w:szCs w:val="20"/>
              </w:rPr>
              <w:t xml:space="preserve">+ Monitorear los logs de sincronizacion de Entra Connect durante 2 semanas sin errores.</w:t>
            </w:r>
          </w:p>
          <w:p>
            <w:pPr>
              <w:spacing w:before="0" w:after="40"/>
            </w:pPr>
            <w:r>
              <w:rPr>
                <w:rFonts w:ascii="Arial" w:cs="Arial" w:eastAsia="Arial" w:hAnsi="Arial"/>
                <w:b w:val="false"/>
                <w:bCs w:val="false"/>
                <w:i w:val="false"/>
                <w:iCs w:val="false"/>
                <w:color w:val="1A1A1A"/>
                <w:sz w:val="20"/>
                <w:szCs w:val="20"/>
              </w:rPr>
              <w:t xml:space="preserve">+ Revisar y ajustar las politicas de Conditional Access segun la experiencia de uso.</w:t>
            </w:r>
          </w:p>
          <w:p>
            <w:pPr>
              <w:spacing w:before="0" w:after="40"/>
            </w:pPr>
            <w:r>
              <w:rPr>
                <w:rFonts w:ascii="Arial" w:cs="Arial" w:eastAsia="Arial" w:hAnsi="Arial"/>
                <w:b w:val="false"/>
                <w:bCs w:val="false"/>
                <w:i w:val="false"/>
                <w:iCs w:val="false"/>
                <w:color w:val="1A1A1A"/>
                <w:sz w:val="20"/>
                <w:szCs w:val="20"/>
              </w:rPr>
              <w:t xml:space="preserve">+ Verificar Entra Connect Health: sin errores de sincronizacion en el periodo de estabilizacion.</w:t>
            </w:r>
          </w:p>
          <w:p>
            <w:pPr>
              <w:spacing w:before="0" w:after="40"/>
            </w:pPr>
            <w:r>
              <w:rPr>
                <w:rFonts w:ascii="Arial" w:cs="Arial" w:eastAsia="Arial" w:hAnsi="Arial"/>
                <w:b w:val="false"/>
                <w:bCs w:val="false"/>
                <w:i w:val="false"/>
                <w:iCs w:val="false"/>
                <w:color w:val="1A1A1A"/>
                <w:sz w:val="20"/>
                <w:szCs w:val="20"/>
              </w:rPr>
              <w:t xml:space="preserve">+ Revisar los Sign-in Logs de Entra ID: identificar accesos bloqueados o patrones inusuales.</w:t>
            </w:r>
          </w:p>
          <w:p>
            <w:pPr>
              <w:spacing w:before="0" w:after="40"/>
            </w:pPr>
            <w:r>
              <w:rPr>
                <w:rFonts w:ascii="Arial" w:cs="Arial" w:eastAsia="Arial" w:hAnsi="Arial"/>
                <w:b w:val="false"/>
                <w:bCs w:val="false"/>
                <w:i w:val="false"/>
                <w:iCs w:val="false"/>
                <w:color w:val="1A1A1A"/>
                <w:sz w:val="20"/>
                <w:szCs w:val="20"/>
              </w:rPr>
              <w:t xml:space="preserve">+ Documentacion tecnica: diagrama de arquitectura hibrida, runbook de Entra Connect, politicas de CA.</w:t>
            </w:r>
          </w:p>
          <w:p>
            <w:pPr>
              <w:spacing w:before="0" w:after="40"/>
            </w:pPr>
            <w:r>
              <w:rPr>
                <w:rFonts w:ascii="Arial" w:cs="Arial" w:eastAsia="Arial" w:hAnsi="Arial"/>
                <w:b w:val="false"/>
                <w:bCs w:val="false"/>
                <w:i w:val="false"/>
                <w:iCs w:val="false"/>
                <w:color w:val="1A1A1A"/>
                <w:sz w:val="20"/>
                <w:szCs w:val="20"/>
              </w:rPr>
              <w:t xml:space="preserve">+ Sesion 1 de capacitacion: Administracion de Entra Connect (sincronizacion, salud, troubleshooting).</w:t>
            </w:r>
          </w:p>
          <w:p>
            <w:pPr>
              <w:spacing w:before="0" w:after="40"/>
            </w:pPr>
            <w:r>
              <w:rPr>
                <w:rFonts w:ascii="Arial" w:cs="Arial" w:eastAsia="Arial" w:hAnsi="Arial"/>
                <w:b w:val="false"/>
                <w:bCs w:val="false"/>
                <w:i w:val="false"/>
                <w:iCs w:val="false"/>
                <w:color w:val="1A1A1A"/>
                <w:sz w:val="20"/>
                <w:szCs w:val="20"/>
              </w:rPr>
              <w:t xml:space="preserve">+ Sesion 2 de capacitacion: Portal de Entra ID — usuarios, grupos, licencias, sign-in logs.</w:t>
            </w:r>
          </w:p>
          <w:p>
            <w:pPr>
              <w:spacing w:before="0" w:after="40"/>
            </w:pPr>
            <w:r>
              <w:rPr>
                <w:rFonts w:ascii="Arial" w:cs="Arial" w:eastAsia="Arial" w:hAnsi="Arial"/>
                <w:b w:val="false"/>
                <w:bCs w:val="false"/>
                <w:i w:val="false"/>
                <w:iCs w:val="false"/>
                <w:color w:val="1A1A1A"/>
                <w:sz w:val="20"/>
                <w:szCs w:val="20"/>
              </w:rPr>
              <w:t xml:space="preserve">+ Sesion 3 de capacitacion: Conditional Access, MFA y Defender for Identity.</w:t>
            </w:r>
          </w:p>
          <w:p>
            <w:pPr>
              <w:spacing w:before="0" w:after="40"/>
            </w:pPr>
            <w:r>
              <w:rPr>
                <w:rFonts w:ascii="Arial" w:cs="Arial" w:eastAsia="Arial" w:hAnsi="Arial"/>
                <w:b w:val="false"/>
                <w:bCs w:val="false"/>
                <w:i w:val="false"/>
                <w:iCs w:val="false"/>
                <w:color w:val="1A1A1A"/>
                <w:sz w:val="20"/>
                <w:szCs w:val="20"/>
              </w:rPr>
              <w:t xml:space="preserve">+ Entregable: Entorno hibrido estabilizado. Documentacion completa. Equipo TI capacitado.</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5FA3"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11</w:t>
            </w:r>
          </w:p>
          <w:p>
            <w:pPr>
              <w:spacing w:before="0" w:after="60"/>
            </w:pPr>
            <w:r>
              <w:rPr>
                <w:rFonts w:ascii="Arial" w:cs="Arial" w:eastAsia="Arial" w:hAnsi="Arial"/>
                <w:b/>
                <w:bCs/>
                <w:i w:val="false"/>
                <w:iCs w:val="false"/>
                <w:color w:val="FFFFFF"/>
                <w:sz w:val="28"/>
                <w:szCs w:val="28"/>
              </w:rPr>
              <w:t xml:space="preserve">Estimacion de Tiempos</w:t>
            </w:r>
          </w:p>
          <w:p>
            <w:pPr>
              <w:spacing w:before="0" w:after="0"/>
            </w:pPr>
            <w:r>
              <w:rPr>
                <w:rFonts w:ascii="Arial" w:cs="Arial" w:eastAsia="Arial" w:hAnsi="Arial"/>
                <w:b w:val="false"/>
                <w:bCs w:val="false"/>
                <w:i/>
                <w:iCs/>
                <w:color w:val="8AAEDC"/>
                <w:sz w:val="19"/>
                <w:szCs w:val="19"/>
              </w:rPr>
              <w:t xml:space="preserve">Cronograma consolidado del proyecto</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000"/>
        <w:gridCol w:w="700"/>
        <w:gridCol w:w="2760"/>
        <w:gridCol w:w="1900"/>
      </w:tblGrid>
      <w:tr>
        <w:trPr>
          <w:tblHeader/>
        </w:trPr>
        <w:tc>
          <w:tcPr>
            <w:tcW w:type="dxa" w:w="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Fase</w:t>
            </w:r>
          </w:p>
        </w:tc>
        <w:tc>
          <w:tcPr>
            <w:tcW w:type="dxa" w:w="1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Periodo</w:t>
            </w:r>
          </w:p>
        </w:tc>
        <w:tc>
          <w:tcPr>
            <w:tcW w:type="dxa" w:w="7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Dur.</w:t>
            </w:r>
          </w:p>
        </w:tc>
        <w:tc>
          <w:tcPr>
            <w:tcW w:type="dxa" w:w="27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Equipo</w:t>
            </w:r>
          </w:p>
        </w:tc>
        <w:tc>
          <w:tcPr>
            <w:tcW w:type="dxa" w:w="19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Entregable Clave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Diagnostico y Preparacion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Sem. 1-2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2 sem.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Arq. + Ing. AD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Informe diagnostico. Entorno preparado.</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Implementacion Entra Connect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Sem. 2-3</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2 sem.</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Ing. AD + Arq.</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Sincronizacion activa. Apps legacy validadas.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MFA, SSPR y Cond. Access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Sem. 3-5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3 sem.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Ing. AD + Esp. Seg.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MFA 100%, SSPR funcional, 3 CA policies.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Defender Identity + SSO SaaS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Sem. 4-6</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3 sem.</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Ing. AD + Esp. Seg.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Defender activo. SSO en apps SaaS.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Estabilizacion y Documentacion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Sem. 6-8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2 sem.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Todos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Entorno estable. Doc. y capacitacion.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DURACION TOTAL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6-8 sem.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Equipo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Identidad hibrida operativa y segura.</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6A72"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12</w:t>
            </w:r>
          </w:p>
          <w:p>
            <w:pPr>
              <w:spacing w:before="0" w:after="60"/>
            </w:pPr>
            <w:r>
              <w:rPr>
                <w:rFonts w:ascii="Arial" w:cs="Arial" w:eastAsia="Arial" w:hAnsi="Arial"/>
                <w:b/>
                <w:bCs/>
                <w:i w:val="false"/>
                <w:iCs w:val="false"/>
                <w:color w:val="FFFFFF"/>
                <w:sz w:val="28"/>
                <w:szCs w:val="28"/>
              </w:rPr>
              <w:t xml:space="preserve">Calculadora de Costos — Licencias y Servicios Azure</w:t>
            </w:r>
          </w:p>
          <w:p>
            <w:pPr>
              <w:spacing w:before="0" w:after="0"/>
            </w:pPr>
            <w:r>
              <w:rPr>
                <w:rFonts w:ascii="Arial" w:cs="Arial" w:eastAsia="Arial" w:hAnsi="Arial"/>
                <w:b w:val="false"/>
                <w:bCs w:val="false"/>
                <w:i/>
                <w:iCs/>
                <w:color w:val="8AAEDC"/>
                <w:sz w:val="19"/>
                <w:szCs w:val="19"/>
              </w:rPr>
              <w:t xml:space="preserve">Estimacion de costos para el modelo hibrido sin Intune (USD 2026)</w:t>
            </w:r>
          </w:p>
        </w:tc>
      </w:tr>
    </w:tbl>
    <w:p>
      <w:pPr>
        <w:spacing w:before="0" w:after="0"/>
      </w:pPr>
      <w:r>
        <w:t xml:space="preserve"/>
      </w:r>
    </w:p>
    <w:p>
      <w:pPr>
        <w:spacing w:before="80" w:after="80"/>
        <w:jc w:val="both"/>
      </w:pPr>
      <w:r>
        <w:rPr>
          <w:rFonts w:ascii="Arial" w:cs="Arial" w:eastAsia="Arial" w:hAnsi="Arial"/>
          <w:b w:val="false"/>
          <w:bCs w:val="false"/>
          <w:i w:val="false"/>
          <w:iCs w:val="false"/>
          <w:color w:val="1A1A1A"/>
          <w:sz w:val="21"/>
          <w:szCs w:val="21"/>
        </w:rPr>
        <w:t xml:space="preserve">En el modelo hibrido sin Intune, el requerimiento de licenciamiento es menor que en un escenario completo de M365. Los precios son de referencia para el mercado global y pueden variar segun el canal de distribucion (CSP, EA, MCA) y el volumen de licencias. Se recomienda solicitar cotizacion a un proveedor Microsoft certificado (CSP).</w:t>
      </w:r>
    </w:p>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12.1 Opciones de Licenciamiento para el Modelo Hibrido sin Intune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4360"/>
        <w:gridCol w:w="1400"/>
      </w:tblGrid>
      <w:tr>
        <w:trPr>
          <w:tblHeader/>
        </w:trPr>
        <w:tc>
          <w:tcPr>
            <w:tcW w:type="dxa" w:w="2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Plan / Licencia</w:t>
            </w:r>
          </w:p>
        </w:tc>
        <w:tc>
          <w:tcPr>
            <w:tcW w:type="dxa" w:w="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USD/usr/mes</w:t>
            </w:r>
          </w:p>
        </w:tc>
        <w:tc>
          <w:tcPr>
            <w:tcW w:type="dxa" w:w="4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Que incluye relevante para el modelo hibrido</w:t>
            </w:r>
          </w:p>
        </w:tc>
        <w:tc>
          <w:tcPr>
            <w:tcW w:type="dxa" w:w="1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Recomendacion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Entra ID Free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$0.00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Sincronizacion basica con Entra Connect. MFA basico. Sin Conditional Access ni SSPR. NO recomendado para produccion.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No recomendado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Entra ID P1 (standalone)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$6.00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Conditional Access completo, SSPR, Hybrid Join, MFA avanzado, Entra Connect Health. MINIMO recomendado para esta propuesta.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MINIMO recomendado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Entra ID P2 (standalone)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$9.00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Todo P1 + Identity Protection (riesgo de usuario/sign-in), PIM (acceso JIT a roles admins), Access Reviews.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Recomendado para seguridad avanzada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M365 Business Basic</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$6.00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Incluye Entra ID Free + Exchange Online + Teams + SharePoint + OneDrive. Sin P1.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Solo si no se necesita CA ni SSPR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M365 Business Basic + Entra ID P1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$6.00 + $6.00 = $12.00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Combinacion optima para PYMES: M365 apps en la nube + Conditional Access + SSPR.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Recomendado PYMES sin Office Apps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M365 Business Premium</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$22.00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Incluye Entra ID P1 + Intune + Defender for Business + Office Apps. Si se planea Intune en el futuro, es mas economico adquirir ya.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5623"/>
                <w:sz w:val="20"/>
                <w:szCs w:val="20"/>
              </w:rPr>
              <w:t xml:space="preserve">Recomendado si Intune es plan futuro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M365 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$36.00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Entra ID P1 + Office Apps + Exchange + SharePoint + Teams + Intune. Para empresas medianas.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5623"/>
                <w:sz w:val="20"/>
                <w:szCs w:val="20"/>
              </w:rPr>
              <w:t xml:space="preserve">Para 300+ usuarios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Defender for Identity (add-on)</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$5.50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Proteccion del AD on-premises. Deteccion de ataques Kerberos/NTLM. Incluido en M365 E5 o como add-on.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Recomendado incluir en esta fase</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12.2 Escenarios de Licenciamiento Recomendados para esta Propuesta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2560"/>
        <w:gridCol w:w="1200"/>
      </w:tblGrid>
      <w:tr>
        <w:trPr>
          <w:tblHeader/>
        </w:trPr>
        <w:tc>
          <w:tcPr>
            <w:tcW w:type="dxa" w:w="2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Escenario</w:t>
            </w:r>
          </w:p>
        </w:tc>
        <w:tc>
          <w:tcPr>
            <w:tcW w:type="dxa" w:w="1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Plan</w:t>
            </w:r>
          </w:p>
        </w:tc>
        <w:tc>
          <w:tcPr>
            <w:tcW w:type="dxa" w:w="1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USD/usr/mes</w:t>
            </w:r>
          </w:p>
        </w:tc>
        <w:tc>
          <w:tcPr>
            <w:tcW w:type="dxa" w:w="25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Que incluye</w:t>
            </w:r>
          </w:p>
        </w:tc>
        <w:tc>
          <w:tcPr>
            <w:tcW w:type="dxa" w:w="1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Cuando elegirlo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Escenario A — Minimo Funcional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Entra ID P1 standalone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$6.00/usr/mes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Solo identidad hibrida + CA + SSPR. Sin apps M365. Util si ya tienen O365 legacy.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Para organizaciones con O365 existente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Escenario B — Hibrido Completo sin Office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M365 Business Basic + Entra ID P1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$12.00/usr/mes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Exchange Online + Teams + SharePoint + Entra ID P1 + Conditional Access + SSPR.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Recomendado para PYMES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Escenario C — Hibrido con Office Apps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M365 Business Premium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$22.00/usr/mes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Todo el escenario B + Office Apps + Intune (listo para fase futura) + Defender for Business.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Recomendado si Intune es plan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Escenario D — Seguridad Avanzada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Entra ID P2 standalone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$9.00/usr/mes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Escenario A + Identity Protection + PIM. Solo identidad, seguridad maxima.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Para ambientes con alta exposicion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Add-on recomendado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Defender for Identity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$5.50/usr/mes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Proteccion del AD on-premises. Se agrega a cualquier escenario.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+$5.50 adicional por usuario</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12.3 Calculadora por Numero de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rPr>
          <w:tblHeader/>
        </w:trPr>
        <w:tc>
          <w:tcPr>
            <w:tcW w:type="dxa" w:w="1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N Usuarios</w:t>
            </w:r>
          </w:p>
        </w:tc>
        <w:tc>
          <w:tcPr>
            <w:tcW w:type="dxa" w:w="189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Esc. A — Entra P1</w:t>
            </w:r>
          </w:p>
        </w:tc>
        <w:tc>
          <w:tcPr>
            <w:tcW w:type="dxa" w:w="189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Esc. B — Biz+P1</w:t>
            </w:r>
          </w:p>
        </w:tc>
        <w:tc>
          <w:tcPr>
            <w:tcW w:type="dxa" w:w="189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Esc. C — Premium</w:t>
            </w:r>
          </w:p>
        </w:tc>
        <w:tc>
          <w:tcPr>
            <w:tcW w:type="dxa" w:w="189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Esc. C + Def. 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N Usuarios</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Escenario A
Entra ID P1
($6/usr)</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Escenario B
Biz Basic+P1
($12/usr)</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Escenario C
Biz Premium
($22/usr)</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Escenario C
+ Defender Id.
($27.50/usr)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25 usuarios</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$ 150 / mes</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$ 300 / mes</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5623"/>
                <w:sz w:val="20"/>
                <w:szCs w:val="20"/>
              </w:rPr>
              <w:t xml:space="preserve">$ 550 / mes</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5623"/>
                <w:sz w:val="20"/>
                <w:szCs w:val="20"/>
              </w:rPr>
              <w:t xml:space="preserve">$ 688 / mes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50 usuarios</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$ 300 / mes</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$ 600 / mes</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5623"/>
                <w:sz w:val="20"/>
                <w:szCs w:val="20"/>
              </w:rPr>
              <w:t xml:space="preserve">$ 1,100 / mes</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5623"/>
                <w:sz w:val="20"/>
                <w:szCs w:val="20"/>
              </w:rPr>
              <w:t xml:space="preserve">$ 1,375 / mes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100 usuarios</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$ 600 / mes</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$ 1,200 / mes</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5623"/>
                <w:sz w:val="20"/>
                <w:szCs w:val="20"/>
              </w:rPr>
              <w:t xml:space="preserve">$ 2,200 / mes</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5623"/>
                <w:sz w:val="20"/>
                <w:szCs w:val="20"/>
              </w:rPr>
              <w:t xml:space="preserve">$ 2,750 / mes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200 usuarios</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$ 1,200 / mes</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$ 2,400 / mes</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5623"/>
                <w:sz w:val="20"/>
                <w:szCs w:val="20"/>
              </w:rPr>
              <w:t xml:space="preserve">$ 4,400 / mes</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5623"/>
                <w:sz w:val="20"/>
                <w:szCs w:val="20"/>
              </w:rPr>
              <w:t xml:space="preserve">$ 5,500 / mes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300 usuarios</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$ 1,800 / mes</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$ 3,600 / mes</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5623"/>
                <w:sz w:val="20"/>
                <w:szCs w:val="20"/>
              </w:rPr>
              <w:t xml:space="preserve">$ 6,600 / mes</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5623"/>
                <w:sz w:val="20"/>
                <w:szCs w:val="20"/>
              </w:rPr>
              <w:t xml:space="preserve">$ 8,250 / mes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500 usuarios</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$ 3,000 / mes</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$ 6,000 / mes</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N/A (max 300)</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N/A (max 300)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1,000 usuarios</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$ 6,000 / mes</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$ 12,000 / mes</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N/A (max 300)</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N/A (max 300)</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12.4 Infraestructura Azure Adicional Requerida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60"/>
        <w:gridCol w:w="360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Componente Azure</w:t>
            </w:r>
          </w:p>
        </w:tc>
        <w:tc>
          <w:tcPr>
            <w:tcW w:type="dxa" w:w="27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Costo Estimado</w:t>
            </w:r>
          </w:p>
        </w:tc>
        <w:tc>
          <w:tcPr>
            <w:tcW w:type="dxa" w:w="3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Notas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Servidor Entra Connect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On-premises (VM o fisico existente)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$0 adicional de Azure si se usa infraestructura existente on-prem.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Entra Connect Health</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Incluido en Entra ID P1</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Sin costo adicional. Monitoreo de sincronizacion desde portal de Entra 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Azure Monitor (opcional)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~$2.30 USD / GB ingestado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Para logs adicionales de Entra ID y Defender for Identity. Primeros 5 GB gratis.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Microsoft Sentinel (opcional)</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~$2.46 USD / GB / dia</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SIEM en la nube. Recomendado como proyecto de segunda fase para visibilidad avanzada.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Azure Backup para DC (recomendado)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~$5-15 USD / DC / mes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Respaldo del System State de los DC. Proteccion ante falla durante y post implementacion.</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12.5 Estimacion de Esfuerzo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1960"/>
        <w:gridCol w:w="3400"/>
      </w:tblGrid>
      <w:tr>
        <w:trPr>
          <w:tblHeader/>
        </w:trPr>
        <w:tc>
          <w:tcPr>
            <w:tcW w:type="dxa" w:w="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w:t>
            </w:r>
          </w:p>
        </w:tc>
        <w:tc>
          <w:tcPr>
            <w:tcW w:type="dxa" w:w="3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Actividad</w:t>
            </w:r>
          </w:p>
        </w:tc>
        <w:tc>
          <w:tcPr>
            <w:tcW w:type="dxa" w:w="19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Esfuerzo Estimado</w:t>
            </w:r>
          </w:p>
        </w:tc>
        <w:tc>
          <w:tcPr>
            <w:tcW w:type="dxa" w:w="3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Equipo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Fase 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Diagnostico y Preparacion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32 horas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Arq. + Ing. AD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Fase 2</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Implementacion Entra Connect</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40 horas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Ing. AD + Arq.</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Fase 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MFA, SSPR y Conditional Access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40 horas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Ing. AD + Esp. Seg.</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Fase 4</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Defender for Identity + SSO SaaS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32 horas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Ing. AD + Esp. Seg.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Fase 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Estabilizacion y Documentacion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24 horas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Todos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PM</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Gestion del Proyecto</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20 horas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Project Manager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TOTAL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188 horas de implementacion estimadas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188 hrs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Equipo completo</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2CC" w:val="clear"/>
            <w:tcMar>
              <w:top w:type="dxa" w:w="160"/>
              <w:left w:type="dxa" w:w="280"/>
              <w:bottom w:type="dxa" w:w="160"/>
              <w:right w:type="dxa" w:w="280"/>
            </w:tcMar>
          </w:tcPr>
          <w:p>
            <w:pPr>
              <w:spacing w:before="0" w:after="80"/>
            </w:pPr>
            <w:r>
              <w:rPr>
                <w:rFonts w:ascii="Arial" w:cs="Arial" w:eastAsia="Arial" w:hAnsi="Arial"/>
                <w:b/>
                <w:bCs/>
                <w:i w:val="false"/>
                <w:iCs w:val="false"/>
                <w:color w:val="7F6000"/>
                <w:sz w:val="21"/>
                <w:szCs w:val="21"/>
              </w:rPr>
              <w:t xml:space="preserve">Recomendacion de licenciamiento para esta propuesta</w:t>
            </w:r>
          </w:p>
          <w:p>
            <w:pPr>
              <w:spacing w:before="0" w:after="40"/>
            </w:pPr>
            <w:r>
              <w:rPr>
                <w:rFonts w:ascii="Arial" w:cs="Arial" w:eastAsia="Arial" w:hAnsi="Arial"/>
                <w:b w:val="false"/>
                <w:bCs w:val="false"/>
                <w:i w:val="false"/>
                <w:iCs w:val="false"/>
                <w:color w:val="1A1A1A"/>
                <w:sz w:val="20"/>
                <w:szCs w:val="20"/>
              </w:rPr>
              <w:t xml:space="preserve">Para organizaciones PYMES (&lt;300 usuarios): Escenario B (M365 Business Basic + Entra ID P1 = $12/usr/mes) + Defender for Identity ($5.50) = $17.50/usr/mes.</w:t>
            </w:r>
          </w:p>
          <w:p>
            <w:pPr>
              <w:spacing w:before="0" w:after="40"/>
            </w:pPr>
            <w:r>
              <w:rPr>
                <w:rFonts w:ascii="Arial" w:cs="Arial" w:eastAsia="Arial" w:hAnsi="Arial"/>
                <w:b w:val="false"/>
                <w:bCs w:val="false"/>
                <w:i w:val="false"/>
                <w:iCs w:val="false"/>
                <w:color w:val="1A1A1A"/>
                <w:sz w:val="20"/>
                <w:szCs w:val="20"/>
              </w:rPr>
              <w:t xml:space="preserve">Si ya se planea Intune como siguiente fase: adquirir M365 Business Premium ($22/usr/mes) desde ahora es mas economico a largo plazo.</w:t>
            </w:r>
          </w:p>
          <w:p>
            <w:pPr>
              <w:spacing w:before="0" w:after="40"/>
            </w:pPr>
            <w:r>
              <w:rPr>
                <w:rFonts w:ascii="Arial" w:cs="Arial" w:eastAsia="Arial" w:hAnsi="Arial"/>
                <w:b w:val="false"/>
                <w:bCs w:val="false"/>
                <w:i w:val="false"/>
                <w:iCs w:val="false"/>
                <w:color w:val="1A1A1A"/>
                <w:sz w:val="20"/>
                <w:szCs w:val="20"/>
              </w:rPr>
              <w:t xml:space="preserve">La facturacion ANUAL tiene descuento del 17-20% vs facturacion mensual.</w:t>
            </w:r>
          </w:p>
          <w:p>
            <w:pPr>
              <w:spacing w:before="0" w:after="40"/>
            </w:pPr>
            <w:r>
              <w:rPr>
                <w:rFonts w:ascii="Arial" w:cs="Arial" w:eastAsia="Arial" w:hAnsi="Arial"/>
                <w:b w:val="false"/>
                <w:bCs w:val="false"/>
                <w:i w:val="false"/>
                <w:iCs w:val="false"/>
                <w:color w:val="1A1A1A"/>
                <w:sz w:val="20"/>
                <w:szCs w:val="20"/>
              </w:rPr>
              <w:t xml:space="preserve">Calculadora oficial: https://azure.microsoft.com/pricing/calculator/</w:t>
            </w:r>
          </w:p>
          <w:p>
            <w:pPr>
              <w:spacing w:before="0" w:after="40"/>
            </w:pPr>
            <w:r>
              <w:rPr>
                <w:rFonts w:ascii="Arial" w:cs="Arial" w:eastAsia="Arial" w:hAnsi="Arial"/>
                <w:b w:val="false"/>
                <w:bCs w:val="false"/>
                <w:i w:val="false"/>
                <w:iCs w:val="false"/>
                <w:color w:val="1A1A1A"/>
                <w:sz w:val="20"/>
                <w:szCs w:val="20"/>
              </w:rPr>
              <w:t xml:space="preserve">Comparador de planes: https://www.microsoft.com/microsoft-365/business/compare-all-plans</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13</w:t>
            </w:r>
          </w:p>
          <w:p>
            <w:pPr>
              <w:spacing w:before="0" w:after="60"/>
            </w:pPr>
            <w:r>
              <w:rPr>
                <w:rFonts w:ascii="Arial" w:cs="Arial" w:eastAsia="Arial" w:hAnsi="Arial"/>
                <w:b/>
                <w:bCs/>
                <w:i w:val="false"/>
                <w:iCs w:val="false"/>
                <w:color w:val="FFFFFF"/>
                <w:sz w:val="28"/>
                <w:szCs w:val="28"/>
              </w:rPr>
              <w:t xml:space="preserve">Condiciones Comerciales y Garantia</w:t>
            </w:r>
          </w:p>
          <w:p>
            <w:pPr>
              <w:spacing w:before="0" w:after="0"/>
            </w:pPr>
            <w:r>
              <w:rPr>
                <w:rFonts w:ascii="Arial" w:cs="Arial" w:eastAsia="Arial" w:hAnsi="Arial"/>
                <w:b w:val="false"/>
                <w:bCs w:val="false"/>
                <w:i/>
                <w:iCs/>
                <w:color w:val="8AAEDC"/>
                <w:sz w:val="19"/>
                <w:szCs w:val="19"/>
              </w:rPr>
              <w:t xml:space="preserve">Terminos, condiciones y niveles de servicio</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Condicion</w:t>
            </w:r>
          </w:p>
        </w:tc>
        <w:tc>
          <w:tcPr>
            <w:tcW w:type="dxa" w:w="6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Detalle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Vigencia de la Propuesta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30 dias calendario desde la fecha de emision.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Forma de Pago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50% al inicio del proyecto. 25% al completar la Fase 2 (Entra Connect activo). 25% al cierre.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Garantia Post-Implementacion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30 dias de soporte sin costo para correccion de defectos por fase completada.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SLA de Respuesta</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Critico: 4 horas. Alto: 8 horas. Medio: 24 horas. Bajo: 48 horas habiles.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Gestion de Cambios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Cambios de alcance via Change Request escrito con valoracion y aprobacion formal.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Ventanas de Mantenimiento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Cambios en produccion: L-V 8pm-12am o Sabado 8am-6pm (ajustable por acuerdo).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Propiedad Intelectual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Toda la documentacion generada es propiedad del cliente al cerrar el proyecto.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Confidencialidad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Firma de NDA antes del inicio. Informacion del cliente es estrictamente confidencial.</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6A72"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14</w:t>
            </w:r>
          </w:p>
          <w:p>
            <w:pPr>
              <w:spacing w:before="0" w:after="60"/>
            </w:pPr>
            <w:r>
              <w:rPr>
                <w:rFonts w:ascii="Arial" w:cs="Arial" w:eastAsia="Arial" w:hAnsi="Arial"/>
                <w:b/>
                <w:bCs/>
                <w:i w:val="false"/>
                <w:iCs w:val="false"/>
                <w:color w:val="FFFFFF"/>
                <w:sz w:val="28"/>
                <w:szCs w:val="28"/>
              </w:rPr>
              <w:t xml:space="preserve">Criterios de Exito y KPIs</w:t>
            </w:r>
          </w:p>
          <w:p>
            <w:pPr>
              <w:spacing w:before="0" w:after="0"/>
            </w:pPr>
            <w:r>
              <w:rPr>
                <w:rFonts w:ascii="Arial" w:cs="Arial" w:eastAsia="Arial" w:hAnsi="Arial"/>
                <w:b w:val="false"/>
                <w:bCs w:val="false"/>
                <w:i/>
                <w:iCs/>
                <w:color w:val="8AAEDC"/>
                <w:sz w:val="19"/>
                <w:szCs w:val="19"/>
              </w:rPr>
              <w:t xml:space="preserve">Indicadores para medir el exito del proyecto</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560"/>
        <w:gridCol w:w="2800"/>
      </w:tblGrid>
      <w:tr>
        <w:trPr>
          <w:tblHeader/>
        </w:trPr>
        <w:tc>
          <w:tcPr>
            <w:tcW w:type="dxa" w:w="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Indicador</w:t>
            </w:r>
          </w:p>
        </w:tc>
        <w:tc>
          <w:tcPr>
            <w:tcW w:type="dxa" w:w="25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Meta</w:t>
            </w:r>
          </w:p>
        </w:tc>
        <w:tc>
          <w:tcPr>
            <w:tcW w:type="dxa" w:w="2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Fuente de Medicion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KPI-01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Sincronizacion Entra Connect sin errores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0 errores en Entra Connect Health por 14 dias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Portal Entra ID — Entra Connect Health</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KPI-02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Usuarios sincronizados a Entra ID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100% de usuarios habilitados sincronizados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Portal Entra ID — Usuarios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KPI-03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MFA habilitado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100% de usuarios con MFA registrado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Entra ID — Authentication Methods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KPI-04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SSPR funcional</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100% de pruebas de reset de contrasena exitosas (propagacion al AD local)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Pruebas documentadas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KPI-05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Politicas Conditional Access activas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4 politicas configuradas y activas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Portal Entra ID — Conditional Access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KPI-06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Apps legacy sin interrupcion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0 incidentes de autenticacion en apps legacy durante y post implementacion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Reporte de incidentes TI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KPI-07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Defender for Identity activo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Sensores en todos los DC. Sin alertas criticas sin atender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Defender XDR — Identity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KPI-08</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SSO para apps SaaS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100% de apps SaaS acordadas con SSO funcional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Pruebas de usuario por aplicacion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KPI-09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Tickets de reset de contrasena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Reduccion mayor a 70% por habilitacion de SSPR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Helpdesk ITSM — Categoria reset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KPI-10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Documentacion entregada</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100% de diagramas, runbooks y politicas documentados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Repositorio interno del cliente</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C2D91"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15</w:t>
            </w:r>
          </w:p>
          <w:p>
            <w:pPr>
              <w:spacing w:before="0" w:after="60"/>
            </w:pPr>
            <w:r>
              <w:rPr>
                <w:rFonts w:ascii="Arial" w:cs="Arial" w:eastAsia="Arial" w:hAnsi="Arial"/>
                <w:b/>
                <w:bCs/>
                <w:i w:val="false"/>
                <w:iCs w:val="false"/>
                <w:color w:val="FFFFFF"/>
                <w:sz w:val="28"/>
                <w:szCs w:val="28"/>
              </w:rPr>
              <w:t xml:space="preserve">Hoja de Ruta Futura — Siguiente Fase</w:t>
            </w:r>
          </w:p>
          <w:p>
            <w:pPr>
              <w:spacing w:before="0" w:after="0"/>
            </w:pPr>
            <w:r>
              <w:rPr>
                <w:rFonts w:ascii="Arial" w:cs="Arial" w:eastAsia="Arial" w:hAnsi="Arial"/>
                <w:b w:val="false"/>
                <w:bCs w:val="false"/>
                <w:i/>
                <w:iCs/>
                <w:color w:val="8AAEDC"/>
                <w:sz w:val="19"/>
                <w:szCs w:val="19"/>
              </w:rPr>
              <w:t xml:space="preserve">De identidad hibrida hacia Intune y modernizacion completa (referencia)</w:t>
            </w:r>
          </w:p>
        </w:tc>
      </w:tr>
    </w:tbl>
    <w:p>
      <w:pPr>
        <w:spacing w:before="0" w:after="0"/>
      </w:pPr>
      <w:r>
        <w:t xml:space="preserve"/>
      </w:r>
    </w:p>
    <w:p>
      <w:pPr>
        <w:spacing w:before="80" w:after="80"/>
        <w:jc w:val="both"/>
      </w:pPr>
      <w:r>
        <w:rPr>
          <w:rFonts w:ascii="Arial" w:cs="Arial" w:eastAsia="Arial" w:hAnsi="Arial"/>
          <w:b w:val="false"/>
          <w:bCs w:val="false"/>
          <w:i w:val="false"/>
          <w:iCs w:val="false"/>
          <w:color w:val="1A1A1A"/>
          <w:sz w:val="21"/>
          <w:szCs w:val="21"/>
        </w:rPr>
        <w:t xml:space="preserve">Esta propuesta cubre la implementacion de la sincronizacion hibrida AD DS + Entra ID como primera y fundamental etapa. Las siguientes fases son proyectos independientes que pueden ejecutarse cuando la organizacion este lista, sin modificar lo implementado en esta propuesta.</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4560"/>
        <w:gridCol w:w="800"/>
      </w:tblGrid>
      <w:tr>
        <w:trPr>
          <w:tblHeader/>
        </w:trPr>
        <w:tc>
          <w:tcPr>
            <w:tcW w:type="dxa" w:w="1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Etapa</w:t>
            </w:r>
          </w:p>
        </w:tc>
        <w:tc>
          <w:tcPr>
            <w:tcW w:type="dxa" w:w="2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Modelo</w:t>
            </w:r>
          </w:p>
        </w:tc>
        <w:tc>
          <w:tcPr>
            <w:tcW w:type="dxa" w:w="45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Descripcion</w:t>
            </w:r>
          </w:p>
        </w:tc>
        <w:tc>
          <w:tcPr>
            <w:tcW w:type="dxa" w:w="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Horizonte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FASE ACTUAL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AD DS Local + Entra ID Hibrido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Esta propuesta. Sincronizacion activa, MFA, Conditional Access, Defender for Identity, SSO para SaaS.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Completado</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FASE 2 (Futura)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Microsoft Intune — MDM</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Gestion moderna de dispositivos Windows, iOS, Android y macOS. Migracion de GPOs a Configuration Profiles.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6-12 meses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FASE 3 (Futura)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Hybrid Azure AD Join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Equipos Windows unidos al dominio local Y registrados en Entra ID. Habilita co-management con Intune.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Con Fase 2</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FASE 4 (Futura)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4472C4"/>
                <w:sz w:val="20"/>
                <w:szCs w:val="20"/>
              </w:rPr>
              <w:t xml:space="preserve">Migracion de Servicios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Exchange Online, SharePoint, OneDrive. Carpetas en la nube. Servidores de impresion a Universal Print.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595959"/>
                <w:sz w:val="20"/>
                <w:szCs w:val="20"/>
              </w:rPr>
              <w:t xml:space="preserve">12-24 meses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FASE 5 (Futura)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5C2D91"/>
                <w:sz w:val="20"/>
                <w:szCs w:val="20"/>
              </w:rPr>
              <w:t xml:space="preserve">Seguridad Avanzada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PIM, Identity Protection, Microsoft Purview (DLP), Sentinel, Microsoft Secure Score &gt;80%.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595959"/>
                <w:sz w:val="20"/>
                <w:szCs w:val="20"/>
              </w:rPr>
              <w:t xml:space="preserve">Con Fase 4</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DESTINO FINAL
(Opcional)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5623"/>
                <w:sz w:val="20"/>
                <w:szCs w:val="20"/>
              </w:rPr>
              <w:t xml:space="preserve">Entra ID Cloud-Only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Descomision de DC on-premises cuando todas las dependencias de apps legacy esten resueltas.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595959"/>
                <w:sz w:val="20"/>
                <w:szCs w:val="20"/>
              </w:rPr>
              <w:t xml:space="preserve">24-36 meses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2EFDA" w:val="clear"/>
            <w:tcMar>
              <w:top w:type="dxa" w:w="160"/>
              <w:left w:type="dxa" w:w="280"/>
              <w:bottom w:type="dxa" w:w="160"/>
              <w:right w:type="dxa" w:w="280"/>
            </w:tcMar>
          </w:tcPr>
          <w:p>
            <w:pPr>
              <w:spacing w:before="0" w:after="80"/>
            </w:pPr>
            <w:r>
              <w:rPr>
                <w:rFonts w:ascii="Arial" w:cs="Arial" w:eastAsia="Arial" w:hAnsi="Arial"/>
                <w:b/>
                <w:bCs/>
                <w:i w:val="false"/>
                <w:iCs w:val="false"/>
                <w:color w:val="375623"/>
                <w:sz w:val="21"/>
                <w:szCs w:val="21"/>
              </w:rPr>
              <w:t xml:space="preserve">Ventaja del enfoque gradual</w:t>
            </w:r>
          </w:p>
          <w:p>
            <w:pPr>
              <w:spacing w:before="0" w:after="40"/>
            </w:pPr>
            <w:r>
              <w:rPr>
                <w:rFonts w:ascii="Arial" w:cs="Arial" w:eastAsia="Arial" w:hAnsi="Arial"/>
                <w:b w:val="false"/>
                <w:bCs w:val="false"/>
                <w:i w:val="false"/>
                <w:iCs w:val="false"/>
                <w:color w:val="1A1A1A"/>
                <w:sz w:val="20"/>
                <w:szCs w:val="20"/>
              </w:rPr>
              <w:t xml:space="preserve">Lo implementado en esta propuesta es el cimiento de TODAS las fases futuras — no se descarta nada.</w:t>
            </w:r>
          </w:p>
          <w:p>
            <w:pPr>
              <w:spacing w:before="0" w:after="40"/>
            </w:pPr>
            <w:r>
              <w:rPr>
                <w:rFonts w:ascii="Arial" w:cs="Arial" w:eastAsia="Arial" w:hAnsi="Arial"/>
                <w:b w:val="false"/>
                <w:bCs w:val="false"/>
                <w:i w:val="false"/>
                <w:iCs w:val="false"/>
                <w:color w:val="1A1A1A"/>
                <w:sz w:val="20"/>
                <w:szCs w:val="20"/>
              </w:rPr>
              <w:t xml:space="preserve">Cada fase futura agrega capacidades SIN requerir redisenar lo ya implementado.</w:t>
            </w:r>
          </w:p>
          <w:p>
            <w:pPr>
              <w:spacing w:before="0" w:after="40"/>
            </w:pPr>
            <w:r>
              <w:rPr>
                <w:rFonts w:ascii="Arial" w:cs="Arial" w:eastAsia="Arial" w:hAnsi="Arial"/>
                <w:b w:val="false"/>
                <w:bCs w:val="false"/>
                <w:i w:val="false"/>
                <w:iCs w:val="false"/>
                <w:color w:val="1A1A1A"/>
                <w:sz w:val="20"/>
                <w:szCs w:val="20"/>
              </w:rPr>
              <w:t xml:space="preserve">La organizacion puede avanzar a su propio ritmo y presupuesto, fase por fase.</w:t>
            </w:r>
          </w:p>
          <w:p>
            <w:pPr>
              <w:spacing w:before="0" w:after="40"/>
            </w:pPr>
            <w:r>
              <w:rPr>
                <w:rFonts w:ascii="Arial" w:cs="Arial" w:eastAsia="Arial" w:hAnsi="Arial"/>
                <w:b w:val="false"/>
                <w:bCs w:val="false"/>
                <w:i w:val="false"/>
                <w:iCs w:val="false"/>
                <w:color w:val="1A1A1A"/>
                <w:sz w:val="20"/>
                <w:szCs w:val="20"/>
              </w:rPr>
              <w:t xml:space="preserve">Las apps legacy continuan funcionando en todas las fases futuras hasta que se decida modernizarlas.</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pPr>
              <w:pBdr>
                <w:bottom w:val="single" w:color="333333" w:sz="4"/>
              </w:pBdr>
              <w:spacing w:before="800" w:after="120"/>
            </w:pPr>
            <w:r>
              <w:t xml:space="preserve"/>
            </w:r>
          </w:p>
          <w:p>
            <w:pPr>
              <w:spacing w:before="80" w:after="80"/>
              <w:jc w:val="both"/>
            </w:pPr>
            <w:r>
              <w:rPr>
                <w:rFonts w:ascii="Arial" w:cs="Arial" w:eastAsia="Arial" w:hAnsi="Arial"/>
                <w:b/>
                <w:bCs/>
                <w:i w:val="false"/>
                <w:iCs w:val="false"/>
                <w:color w:val="1F3864"/>
                <w:sz w:val="20"/>
                <w:szCs w:val="20"/>
              </w:rPr>
              <w:t xml:space="preserve">Firma y Sello — Proveedor de Servicios</w:t>
            </w:r>
          </w:p>
          <w:p>
            <w:pPr>
              <w:spacing w:before="80" w:after="80"/>
              <w:jc w:val="both"/>
            </w:pPr>
            <w:r>
              <w:rPr>
                <w:rFonts w:ascii="Arial" w:cs="Arial" w:eastAsia="Arial" w:hAnsi="Arial"/>
                <w:b w:val="false"/>
                <w:bCs w:val="false"/>
                <w:i/>
                <w:iCs/>
                <w:color w:val="888888"/>
                <w:sz w:val="18"/>
                <w:szCs w:val="18"/>
              </w:rPr>
              <w:t xml:space="preserve">Nombre / Cargo / Fecha</w:t>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tcPr>
          <w:p>
            <w:pPr>
              <w:pBdr>
                <w:bottom w:val="single" w:color="333333" w:sz="4"/>
              </w:pBdr>
              <w:spacing w:before="800" w:after="120"/>
            </w:pPr>
            <w:r>
              <w:t xml:space="preserve"/>
            </w:r>
          </w:p>
          <w:p>
            <w:pPr>
              <w:spacing w:before="80" w:after="80"/>
              <w:jc w:val="both"/>
            </w:pPr>
            <w:r>
              <w:rPr>
                <w:rFonts w:ascii="Arial" w:cs="Arial" w:eastAsia="Arial" w:hAnsi="Arial"/>
                <w:b/>
                <w:bCs/>
                <w:i w:val="false"/>
                <w:iCs w:val="false"/>
                <w:color w:val="1F3864"/>
                <w:sz w:val="20"/>
                <w:szCs w:val="20"/>
              </w:rPr>
              <w:t xml:space="preserve">Firma y Sello — Representante Autorizado del Cliente</w:t>
            </w:r>
          </w:p>
          <w:p>
            <w:pPr>
              <w:spacing w:before="80" w:after="80"/>
              <w:jc w:val="both"/>
            </w:pPr>
            <w:r>
              <w:rPr>
                <w:rFonts w:ascii="Arial" w:cs="Arial" w:eastAsia="Arial" w:hAnsi="Arial"/>
                <w:b w:val="false"/>
                <w:bCs w:val="false"/>
                <w:i/>
                <w:iCs/>
                <w:color w:val="888888"/>
                <w:sz w:val="18"/>
                <w:szCs w:val="18"/>
              </w:rPr>
              <w:t xml:space="preserve">Nombre / Cargo / Fecha</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2"/>
      </w:pBdr>
      <w:tabs>
        <w:tab w:val="right" w:pos="9360"/>
      </w:tabs>
      <w:spacing w:before="0" w:after="0"/>
    </w:pPr>
    <w:r>
      <w:rPr>
        <w:rFonts w:ascii="Arial" w:cs="Arial" w:eastAsia="Arial" w:hAnsi="Arial"/>
        <w:b w:val="false"/>
        <w:bCs w:val="false"/>
        <w:i w:val="false"/>
        <w:iCs w:val="false"/>
        <w:color w:val="888888"/>
        <w:sz w:val="16"/>
        <w:szCs w:val="16"/>
      </w:rPr>
      <w:t xml:space="preserve">Infraestructura TI — Servicios Profesionales Microsoft | 2026</w:t>
    </w:r>
    <w:r>
      <w:rPr>
        <w:rFonts w:ascii="Arial" w:cs="Arial" w:eastAsia="Arial" w:hAnsi="Arial"/>
        <w:color w:val="888888"/>
        <w:sz w:val="16"/>
        <w:szCs w:val="16"/>
      </w:rPr>
      <w:t xml:space="preserve">	Identidad Hibrida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2"/>
      </w:pBdr>
      <w:tabs>
        <w:tab w:val="right" w:pos="9360"/>
      </w:tabs>
      <w:spacing w:before="0" w:after="0"/>
    </w:pPr>
    <w:r>
      <w:rPr>
        <w:rFonts w:ascii="Arial" w:cs="Arial" w:eastAsia="Arial" w:hAnsi="Arial"/>
        <w:b w:val="false"/>
        <w:bCs w:val="false"/>
        <w:i w:val="false"/>
        <w:iCs w:val="false"/>
        <w:color w:val="888888"/>
        <w:sz w:val="18"/>
        <w:szCs w:val="18"/>
      </w:rPr>
      <w:t xml:space="preserve">Propuesta — Identidad Hibrida: AD DS On-Premises + Microsoft Entra ID</w:t>
    </w:r>
    <w:r>
      <w:rPr>
        <w:rFonts w:ascii="Arial" w:cs="Arial" w:eastAsia="Arial" w:hAnsi="Arial"/>
        <w:i/>
        <w:iCs/>
        <w:color w:val="888888"/>
        <w:sz w:val="18"/>
        <w:szCs w:val="18"/>
      </w:rPr>
      <w:t xml:space="preserve">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0"/>
      <w:szCs w:val="30"/>
    </w:rPr>
  </w:style>
  <w:style w:type="paragraph" w:styleId="Heading2">
    <w:name w:val="Heading 2"/>
    <w:basedOn w:val="Normal"/>
    <w:next w:val="Normal"/>
    <w:qFormat/>
    <w:pPr>
      <w:spacing w:before="260" w:after="100"/>
      <w:outlineLvl w:val="1"/>
    </w:pPr>
    <w:rPr>
      <w:rFonts w:ascii="Arial" w:cs="Arial" w:eastAsia="Arial" w:hAnsi="Arial"/>
      <w:b/>
      <w:bCs/>
      <w:color w:val="2E5FA3"/>
      <w:sz w:val="25"/>
      <w:szCs w:val="25"/>
    </w:rPr>
  </w:style>
  <w:style w:type="paragraph" w:styleId="Heading3">
    <w:name w:val="Heading 3"/>
    <w:basedOn w:val="Normal"/>
    <w:next w:val="Normal"/>
    <w:qFormat/>
    <w:pPr>
      <w:spacing w:before="180" w:after="80"/>
      <w:outlineLvl w:val="2"/>
    </w:pPr>
    <w:rPr>
      <w:rFonts w:ascii="Arial" w:cs="Arial" w:eastAsia="Arial" w:hAnsi="Arial"/>
      <w:b/>
      <w:bCs/>
      <w:color w:val="1D6A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2026-03-31T04:26:46.982Z</dcterms:created>
  <dcterms:modified xsi:type="dcterms:W3CDTF">2026-03-31T04:26:47.031Z</dcterms:modified>
</cp:coreProperties>
</file>

<file path=docProps/custom.xml><?xml version="1.0" encoding="utf-8"?>
<Properties xmlns="http://schemas.openxmlformats.org/officeDocument/2006/custom-properties" xmlns:vt="http://schemas.openxmlformats.org/officeDocument/2006/docPropsVTypes"/>
</file>