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spacing w:after="200"/>
        <w:jc w:val="center"/>
      </w:pPr>
      <w:r>
        <w:rPr>
          <w:b/>
          <w:bCs/>
          <w:color w:val="1F3864"/>
          <w:sz w:val="44"/>
          <w:szCs w:val="44"/>
        </w:rPr>
        <w:t xml:space="preserve">Propuesta Técnica de Implementación</w:t>
      </w:r>
    </w:p>
    <w:p>
      <w:pPr>
        <w:spacing w:after="600"/>
        <w:jc w:val="center"/>
      </w:pPr>
      <w:r>
        <w:rPr>
          <w:color w:val="2E74B5"/>
          <w:sz w:val="26"/>
          <w:szCs w:val="26"/>
        </w:rPr>
        <w:t xml:space="preserve">Conectividad Privada entre Azure App Service (South Central US) y Base de Datos (Central US) mediante Global VNet Peering</w:t>
      </w:r>
    </w:p>
    <w:p>
      <w:pPr>
        <w:jc w:val="center"/>
      </w:pPr>
      <w:r>
        <w:rPr>
          <w:i/>
          <w:iCs/>
          <w:color w:val="555555"/>
          <w:sz w:val="22"/>
          <w:szCs w:val="22"/>
        </w:rPr>
        <w:t xml:space="preserve">Documento de propuesta técnica para revisión y aprobación del cliente</w:t>
      </w:r>
    </w:p>
    <w:p>
      <w:pPr>
        <w:spacing w:before="120"/>
        <w:jc w:val="center"/>
      </w:pPr>
      <w:r>
        <w:rPr>
          <w:color w:val="555555"/>
          <w:sz w:val="20"/>
          <w:szCs w:val="20"/>
        </w:rPr>
        <w:t xml:space="preserve">Fecha: Septiembre 2026</w:t>
      </w:r>
    </w:p>
    <w:p>
      <w:pPr>
        <w:pageBreakBefore/>
      </w:pPr>
      <w:r>
        <w:br/>
        <w:t xml:space="preserve"/>
      </w:r>
    </w:p>
    <w:p>
      <w:pPr>
        <w:pStyle w:val="Heading1"/>
        <w:spacing w:after="160" w:before="360"/>
      </w:pPr>
      <w:r>
        <w:t xml:space="preserve">1. Situación Actual</w:t>
      </w:r>
    </w:p>
    <w:p>
      <w:pPr>
        <w:spacing w:after="160"/>
      </w:pPr>
      <w:r>
        <w:t xml:space="preserve">El cliente cuenta hoy con un Azure App Service desplegado en la región South Central US. Como parte de una nueva necesidad de negocio, se requiere que la base de datos que consumirá esta aplicación resida en la región Central US.</w:t>
      </w:r>
    </w:p>
    <w:p>
      <w:pPr>
        <w:spacing w:after="160"/>
      </w:pPr>
      <w:r>
        <w:t xml:space="preserve">Esto genera un escenario de arquitectura multi-región, donde la capa de aplicación y la capa de datos estarán físicamente separadas y deberán comunicarse de forma privada, segura y con la menor latencia posible, sin exponer la base de datos a Internet.</w:t>
      </w:r>
    </w:p>
    <w:p>
      <w:pPr>
        <w:pStyle w:val="Heading1"/>
        <w:spacing w:after="160" w:before="360"/>
      </w:pPr>
      <w:r>
        <w:t xml:space="preserve">2. Objetivo</w:t>
      </w:r>
    </w:p>
    <w:p>
      <w:pPr>
        <w:spacing w:after="160"/>
      </w:pPr>
      <w:r>
        <w:t xml:space="preserve">Definir e implementar el mecanismo de conectividad de red más adecuado entre el App Service (South Central US) y la base de datos (Central US), garantizando:</w:t>
      </w:r>
    </w:p>
    <w:p>
      <w:pPr>
        <w:pStyle w:val="ListParagraph"/>
        <w:numPr>
          <w:ilvl w:val="0"/>
          <w:numId w:val="2"/>
        </w:numPr>
        <w:spacing w:after="80"/>
      </w:pPr>
      <w:r>
        <w:t xml:space="preserve">Comunicación privada, sin tránsito por Internet público.</w:t>
      </w:r>
    </w:p>
    <w:p>
      <w:pPr>
        <w:pStyle w:val="ListParagraph"/>
        <w:numPr>
          <w:ilvl w:val="0"/>
          <w:numId w:val="2"/>
        </w:numPr>
        <w:spacing w:after="80"/>
      </w:pPr>
      <w:r>
        <w:t xml:space="preserve">Latencia mínima entre ambas regiones.</w:t>
      </w:r>
    </w:p>
    <w:p>
      <w:pPr>
        <w:pStyle w:val="ListParagraph"/>
        <w:numPr>
          <w:ilvl w:val="0"/>
          <w:numId w:val="2"/>
        </w:numPr>
        <w:spacing w:after="80"/>
      </w:pPr>
      <w:r>
        <w:t xml:space="preserve">Cumplimiento de buenas prácticas de seguridad (segmentación por NSG, sin exposición pública de la base de datos).</w:t>
      </w:r>
    </w:p>
    <w:p>
      <w:pPr>
        <w:pStyle w:val="ListParagraph"/>
        <w:numPr>
          <w:ilvl w:val="0"/>
          <w:numId w:val="2"/>
        </w:numPr>
        <w:spacing w:after="80"/>
      </w:pPr>
      <w:r>
        <w:t xml:space="preserve">Una solución simple de operar y con el menor costo recurrente posible.</w:t>
      </w:r>
    </w:p>
    <w:p>
      <w:pPr>
        <w:pStyle w:val="Heading1"/>
        <w:spacing w:after="160" w:before="360"/>
      </w:pPr>
      <w:r>
        <w:t xml:space="preserve">3. Recomendación: VPN Gateway vs. VNet Peering</w:t>
      </w:r>
    </w:p>
    <w:p>
      <w:pPr>
        <w:spacing w:after="160"/>
      </w:pPr>
      <w:r>
        <w:t xml:space="preserve">Ambos mecanismos permiten conectar redes en Azure, pero están pensados para escenarios distintos: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900"/>
      </w:tblGrid>
      <w:tr>
        <w:trPr>
          <w:tblHeader/>
        </w:trPr>
        <w:tc>
          <w:tcPr>
            <w:tcW w:type="dxa" w:w="1900"/>
            <w:shd w:fill="1F3864" w:color="auto" w:val="clear"/>
            <w:tcMar>
              <w:top w:type="dxa" w:w="80"/>
              <w:left w:type="dxa" w:w="100"/>
              <w:bottom w:type="dxa" w:w="80"/>
              <w:right w:type="dxa" w:w="100"/>
            </w:tcMar>
            <w:vAlign w:val="center"/>
          </w:tcPr>
          <w:p>
            <w:r>
              <w:rPr>
                <w:b/>
                <w:bCs/>
                <w:color w:val="FFFFFF"/>
                <w:sz w:val="20"/>
                <w:szCs w:val="20"/>
              </w:rPr>
              <w:t xml:space="preserve">Criterio</w:t>
            </w:r>
          </w:p>
        </w:tc>
        <w:tc>
          <w:tcPr>
            <w:tcW w:type="dxa" w:w="3900"/>
            <w:shd w:fill="1F3864" w:color="auto" w:val="clear"/>
            <w:tcMar>
              <w:top w:type="dxa" w:w="80"/>
              <w:left w:type="dxa" w:w="100"/>
              <w:bottom w:type="dxa" w:w="80"/>
              <w:right w:type="dxa" w:w="100"/>
            </w:tcMar>
            <w:vAlign w:val="center"/>
          </w:tcPr>
          <w:p>
            <w:r>
              <w:rPr>
                <w:b/>
                <w:bCs/>
                <w:color w:val="FFFFFF"/>
                <w:sz w:val="20"/>
                <w:szCs w:val="20"/>
              </w:rPr>
              <w:t xml:space="preserve">VPN Gateway (Gateway-to-Gateway)</w:t>
            </w:r>
          </w:p>
        </w:tc>
        <w:tc>
          <w:tcPr>
            <w:tcW w:type="dxa" w:w="3900"/>
            <w:shd w:fill="1F3864" w:color="auto" w:val="clear"/>
            <w:tcMar>
              <w:top w:type="dxa" w:w="80"/>
              <w:left w:type="dxa" w:w="100"/>
              <w:bottom w:type="dxa" w:w="80"/>
              <w:right w:type="dxa" w:w="100"/>
            </w:tcMar>
            <w:vAlign w:val="center"/>
          </w:tcPr>
          <w:p>
            <w:r>
              <w:rPr>
                <w:b/>
                <w:bCs/>
                <w:color w:val="FFFFFF"/>
                <w:sz w:val="20"/>
                <w:szCs w:val="20"/>
              </w:rPr>
              <w:t xml:space="preserve">Global VNet Peering</w:t>
            </w:r>
          </w:p>
        </w:tc>
      </w:tr>
      <w:tr>
        <w:tc>
          <w:tcPr>
            <w:tcW w:type="dxa" w:w="1900"/>
            <w:shd w:fill="FFFFFF" w:color="auto" w:val="clear"/>
            <w:tcMar>
              <w:top w:type="dxa" w:w="80"/>
              <w:left w:type="dxa" w:w="100"/>
              <w:bottom w:type="dxa" w:w="80"/>
              <w:right w:type="dxa" w:w="100"/>
            </w:tcMar>
            <w:vAlign w:val="center"/>
          </w:tcPr>
          <w:p>
            <w:r>
              <w:rPr>
                <w:b w:val="false"/>
                <w:bCs w:val="false"/>
                <w:color w:val="000000"/>
                <w:sz w:val="20"/>
                <w:szCs w:val="20"/>
              </w:rPr>
              <w:t xml:space="preserve">Escenario típico</w:t>
            </w:r>
          </w:p>
        </w:tc>
        <w:tc>
          <w:tcPr>
            <w:tcW w:type="dxa" w:w="3900"/>
            <w:shd w:fill="FFFFFF" w:color="auto" w:val="clear"/>
            <w:tcMar>
              <w:top w:type="dxa" w:w="80"/>
              <w:left w:type="dxa" w:w="100"/>
              <w:bottom w:type="dxa" w:w="80"/>
              <w:right w:type="dxa" w:w="100"/>
            </w:tcMar>
            <w:vAlign w:val="center"/>
          </w:tcPr>
          <w:p>
            <w:r>
              <w:rPr>
                <w:b w:val="false"/>
                <w:bCs w:val="false"/>
                <w:color w:val="000000"/>
                <w:sz w:val="20"/>
                <w:szCs w:val="20"/>
              </w:rPr>
              <w:t xml:space="preserve">Conectar Azure con on-premises u otra nube (redes fuera de Azure)</w:t>
            </w:r>
          </w:p>
        </w:tc>
        <w:tc>
          <w:tcPr>
            <w:tcW w:type="dxa" w:w="3900"/>
            <w:shd w:fill="FFFFFF" w:color="auto" w:val="clear"/>
            <w:tcMar>
              <w:top w:type="dxa" w:w="80"/>
              <w:left w:type="dxa" w:w="100"/>
              <w:bottom w:type="dxa" w:w="80"/>
              <w:right w:type="dxa" w:w="100"/>
            </w:tcMar>
            <w:vAlign w:val="center"/>
          </w:tcPr>
          <w:p>
            <w:r>
              <w:rPr>
                <w:b w:val="false"/>
                <w:bCs w:val="false"/>
                <w:color w:val="000000"/>
                <w:sz w:val="20"/>
                <w:szCs w:val="20"/>
              </w:rPr>
              <w:t xml:space="preserve">Conectar dos VNets de Azure entre sí (mismo o distinto tenant/región)</w:t>
            </w:r>
          </w:p>
        </w:tc>
      </w:tr>
      <w:tr>
        <w:tc>
          <w:tcPr>
            <w:tcW w:type="dxa" w:w="1900"/>
            <w:shd w:fill="F2F2F2" w:color="auto" w:val="clear"/>
            <w:tcMar>
              <w:top w:type="dxa" w:w="80"/>
              <w:left w:type="dxa" w:w="100"/>
              <w:bottom w:type="dxa" w:w="80"/>
              <w:right w:type="dxa" w:w="100"/>
            </w:tcMar>
            <w:vAlign w:val="center"/>
          </w:tcPr>
          <w:p>
            <w:r>
              <w:rPr>
                <w:b w:val="false"/>
                <w:bCs w:val="false"/>
                <w:color w:val="000000"/>
                <w:sz w:val="20"/>
                <w:szCs w:val="20"/>
              </w:rPr>
              <w:t xml:space="preserve">Tráfico</w:t>
            </w:r>
          </w:p>
        </w:tc>
        <w:tc>
          <w:tcPr>
            <w:tcW w:type="dxa" w:w="3900"/>
            <w:shd w:fill="F2F2F2" w:color="auto" w:val="clear"/>
            <w:tcMar>
              <w:top w:type="dxa" w:w="80"/>
              <w:left w:type="dxa" w:w="100"/>
              <w:bottom w:type="dxa" w:w="80"/>
              <w:right w:type="dxa" w:w="100"/>
            </w:tcMar>
            <w:vAlign w:val="center"/>
          </w:tcPr>
          <w:p>
            <w:r>
              <w:rPr>
                <w:b w:val="false"/>
                <w:bCs w:val="false"/>
                <w:color w:val="000000"/>
                <w:sz w:val="20"/>
                <w:szCs w:val="20"/>
              </w:rPr>
              <w:t xml:space="preserve">Viaja cifrado (IPsec) pero pasa por un gateway con límite de throughput</w:t>
            </w:r>
          </w:p>
        </w:tc>
        <w:tc>
          <w:tcPr>
            <w:tcW w:type="dxa" w:w="3900"/>
            <w:shd w:fill="F2F2F2" w:color="auto" w:val="clear"/>
            <w:tcMar>
              <w:top w:type="dxa" w:w="80"/>
              <w:left w:type="dxa" w:w="100"/>
              <w:bottom w:type="dxa" w:w="80"/>
              <w:right w:type="dxa" w:w="100"/>
            </w:tcMar>
            <w:vAlign w:val="center"/>
          </w:tcPr>
          <w:p>
            <w:r>
              <w:rPr>
                <w:b w:val="false"/>
                <w:bCs w:val="false"/>
                <w:color w:val="000000"/>
                <w:sz w:val="20"/>
                <w:szCs w:val="20"/>
              </w:rPr>
              <w:t xml:space="preserve">Viaja por la red troncal (backbone) privada de Microsoft, sin gateway intermedio</w:t>
            </w:r>
          </w:p>
        </w:tc>
      </w:tr>
      <w:tr>
        <w:tc>
          <w:tcPr>
            <w:tcW w:type="dxa" w:w="1900"/>
            <w:shd w:fill="FFFFFF" w:color="auto" w:val="clear"/>
            <w:tcMar>
              <w:top w:type="dxa" w:w="80"/>
              <w:left w:type="dxa" w:w="100"/>
              <w:bottom w:type="dxa" w:w="80"/>
              <w:right w:type="dxa" w:w="100"/>
            </w:tcMar>
            <w:vAlign w:val="center"/>
          </w:tcPr>
          <w:p>
            <w:r>
              <w:rPr>
                <w:b w:val="false"/>
                <w:bCs w:val="false"/>
                <w:color w:val="000000"/>
                <w:sz w:val="20"/>
                <w:szCs w:val="20"/>
              </w:rPr>
              <w:t xml:space="preserve">Latencia y throughput</w:t>
            </w:r>
          </w:p>
        </w:tc>
        <w:tc>
          <w:tcPr>
            <w:tcW w:type="dxa" w:w="3900"/>
            <w:shd w:fill="FFFFFF" w:color="auto" w:val="clear"/>
            <w:tcMar>
              <w:top w:type="dxa" w:w="80"/>
              <w:left w:type="dxa" w:w="100"/>
              <w:bottom w:type="dxa" w:w="80"/>
              <w:right w:type="dxa" w:w="100"/>
            </w:tcMar>
            <w:vAlign w:val="center"/>
          </w:tcPr>
          <w:p>
            <w:r>
              <w:rPr>
                <w:b w:val="false"/>
                <w:bCs w:val="false"/>
                <w:color w:val="000000"/>
                <w:sz w:val="20"/>
                <w:szCs w:val="20"/>
              </w:rPr>
              <w:t xml:space="preserve">Limitado por el SKU del gateway (ej. VpnGw1 ≈ 500 Mbps)</w:t>
            </w:r>
          </w:p>
        </w:tc>
        <w:tc>
          <w:tcPr>
            <w:tcW w:type="dxa" w:w="3900"/>
            <w:shd w:fill="FFFFFF" w:color="auto" w:val="clear"/>
            <w:tcMar>
              <w:top w:type="dxa" w:w="80"/>
              <w:left w:type="dxa" w:w="100"/>
              <w:bottom w:type="dxa" w:w="80"/>
              <w:right w:type="dxa" w:w="100"/>
            </w:tcMar>
            <w:vAlign w:val="center"/>
          </w:tcPr>
          <w:p>
            <w:r>
              <w:rPr>
                <w:b w:val="false"/>
                <w:bCs w:val="false"/>
                <w:color w:val="000000"/>
                <w:sz w:val="20"/>
                <w:szCs w:val="20"/>
              </w:rPr>
              <w:t xml:space="preserve">Throughput casi nativo de la VM/servicio, sin límite de gateway</w:t>
            </w:r>
          </w:p>
        </w:tc>
      </w:tr>
      <w:tr>
        <w:tc>
          <w:tcPr>
            <w:tcW w:type="dxa" w:w="1900"/>
            <w:shd w:fill="F2F2F2" w:color="auto" w:val="clear"/>
            <w:tcMar>
              <w:top w:type="dxa" w:w="80"/>
              <w:left w:type="dxa" w:w="100"/>
              <w:bottom w:type="dxa" w:w="80"/>
              <w:right w:type="dxa" w:w="100"/>
            </w:tcMar>
            <w:vAlign w:val="center"/>
          </w:tcPr>
          <w:p>
            <w:r>
              <w:rPr>
                <w:b w:val="false"/>
                <w:bCs w:val="false"/>
                <w:color w:val="000000"/>
                <w:sz w:val="20"/>
                <w:szCs w:val="20"/>
              </w:rPr>
              <w:t xml:space="preserve">Costo fijo mensual</w:t>
            </w:r>
          </w:p>
        </w:tc>
        <w:tc>
          <w:tcPr>
            <w:tcW w:type="dxa" w:w="3900"/>
            <w:shd w:fill="F2F2F2" w:color="auto" w:val="clear"/>
            <w:tcMar>
              <w:top w:type="dxa" w:w="80"/>
              <w:left w:type="dxa" w:w="100"/>
              <w:bottom w:type="dxa" w:w="80"/>
              <w:right w:type="dxa" w:w="100"/>
            </w:tcMar>
            <w:vAlign w:val="center"/>
          </w:tcPr>
          <w:p>
            <w:r>
              <w:rPr>
                <w:b w:val="false"/>
                <w:bCs w:val="false"/>
                <w:color w:val="000000"/>
                <w:sz w:val="20"/>
                <w:szCs w:val="20"/>
              </w:rPr>
              <w:t xml:space="preserve">Sí — el gateway se cobra por hora exista o no tráfico (~$27 a $140+ USD/mes según SKU)</w:t>
            </w:r>
          </w:p>
        </w:tc>
        <w:tc>
          <w:tcPr>
            <w:tcW w:type="dxa" w:w="3900"/>
            <w:shd w:fill="F2F2F2" w:color="auto" w:val="clear"/>
            <w:tcMar>
              <w:top w:type="dxa" w:w="80"/>
              <w:left w:type="dxa" w:w="100"/>
              <w:bottom w:type="dxa" w:w="80"/>
              <w:right w:type="dxa" w:w="100"/>
            </w:tcMar>
            <w:vAlign w:val="center"/>
          </w:tcPr>
          <w:p>
            <w:r>
              <w:rPr>
                <w:b w:val="false"/>
                <w:bCs w:val="false"/>
                <w:color w:val="000000"/>
                <w:sz w:val="20"/>
                <w:szCs w:val="20"/>
              </w:rPr>
              <w:t xml:space="preserve">No hay costo de gateway; solo se paga por GB transferido</w:t>
            </w:r>
          </w:p>
        </w:tc>
      </w:tr>
      <w:tr>
        <w:tc>
          <w:tcPr>
            <w:tcW w:type="dxa" w:w="1900"/>
            <w:shd w:fill="FFFFFF" w:color="auto" w:val="clear"/>
            <w:tcMar>
              <w:top w:type="dxa" w:w="80"/>
              <w:left w:type="dxa" w:w="100"/>
              <w:bottom w:type="dxa" w:w="80"/>
              <w:right w:type="dxa" w:w="100"/>
            </w:tcMar>
            <w:vAlign w:val="center"/>
          </w:tcPr>
          <w:p>
            <w:r>
              <w:rPr>
                <w:b w:val="false"/>
                <w:bCs w:val="false"/>
                <w:color w:val="000000"/>
                <w:sz w:val="20"/>
                <w:szCs w:val="20"/>
              </w:rPr>
              <w:t xml:space="preserve">Complejidad de configuración</w:t>
            </w:r>
          </w:p>
        </w:tc>
        <w:tc>
          <w:tcPr>
            <w:tcW w:type="dxa" w:w="3900"/>
            <w:shd w:fill="FFFFFF" w:color="auto" w:val="clear"/>
            <w:tcMar>
              <w:top w:type="dxa" w:w="80"/>
              <w:left w:type="dxa" w:w="100"/>
              <w:bottom w:type="dxa" w:w="80"/>
              <w:right w:type="dxa" w:w="100"/>
            </w:tcMar>
            <w:vAlign w:val="center"/>
          </w:tcPr>
          <w:p>
            <w:r>
              <w:rPr>
                <w:b w:val="false"/>
                <w:bCs w:val="false"/>
                <w:color w:val="000000"/>
                <w:sz w:val="20"/>
                <w:szCs w:val="20"/>
              </w:rPr>
              <w:t xml:space="preserve">Requiere configurar túneles IPsec/IKE, PSK o certificados, BGP opcional</w:t>
            </w:r>
          </w:p>
        </w:tc>
        <w:tc>
          <w:tcPr>
            <w:tcW w:type="dxa" w:w="3900"/>
            <w:shd w:fill="FFFFFF" w:color="auto" w:val="clear"/>
            <w:tcMar>
              <w:top w:type="dxa" w:w="80"/>
              <w:left w:type="dxa" w:w="100"/>
              <w:bottom w:type="dxa" w:w="80"/>
              <w:right w:type="dxa" w:w="100"/>
            </w:tcMar>
            <w:vAlign w:val="center"/>
          </w:tcPr>
          <w:p>
            <w:r>
              <w:rPr>
                <w:b w:val="false"/>
                <w:bCs w:val="false"/>
                <w:color w:val="000000"/>
                <w:sz w:val="20"/>
                <w:szCs w:val="20"/>
              </w:rPr>
              <w:t xml:space="preserve">Configuración simple: solo se establece la relación de peering (par de comandos/clics)</w:t>
            </w:r>
          </w:p>
        </w:tc>
      </w:tr>
      <w:tr>
        <w:tc>
          <w:tcPr>
            <w:tcW w:type="dxa" w:w="1900"/>
            <w:shd w:fill="F2F2F2" w:color="auto" w:val="clear"/>
            <w:tcMar>
              <w:top w:type="dxa" w:w="80"/>
              <w:left w:type="dxa" w:w="100"/>
              <w:bottom w:type="dxa" w:w="80"/>
              <w:right w:type="dxa" w:w="100"/>
            </w:tcMar>
            <w:vAlign w:val="center"/>
          </w:tcPr>
          <w:p>
            <w:r>
              <w:rPr>
                <w:b w:val="false"/>
                <w:bCs w:val="false"/>
                <w:color w:val="000000"/>
                <w:sz w:val="20"/>
                <w:szCs w:val="20"/>
              </w:rPr>
              <w:t xml:space="preserve">Punto único de falla adicional</w:t>
            </w:r>
          </w:p>
        </w:tc>
        <w:tc>
          <w:tcPr>
            <w:tcW w:type="dxa" w:w="3900"/>
            <w:shd w:fill="F2F2F2" w:color="auto" w:val="clear"/>
            <w:tcMar>
              <w:top w:type="dxa" w:w="80"/>
              <w:left w:type="dxa" w:w="100"/>
              <w:bottom w:type="dxa" w:w="80"/>
              <w:right w:type="dxa" w:w="100"/>
            </w:tcMar>
            <w:vAlign w:val="center"/>
          </w:tcPr>
          <w:p>
            <w:r>
              <w:rPr>
                <w:b w:val="false"/>
                <w:bCs w:val="false"/>
                <w:color w:val="000000"/>
                <w:sz w:val="20"/>
                <w:szCs w:val="20"/>
              </w:rPr>
              <w:t xml:space="preserve">Sí, el gateway es un componente más a monitorear</w:t>
            </w:r>
          </w:p>
        </w:tc>
        <w:tc>
          <w:tcPr>
            <w:tcW w:type="dxa" w:w="3900"/>
            <w:shd w:fill="F2F2F2" w:color="auto" w:val="clear"/>
            <w:tcMar>
              <w:top w:type="dxa" w:w="80"/>
              <w:left w:type="dxa" w:w="100"/>
              <w:bottom w:type="dxa" w:w="80"/>
              <w:right w:type="dxa" w:w="100"/>
            </w:tcMar>
            <w:vAlign w:val="center"/>
          </w:tcPr>
          <w:p>
            <w:r>
              <w:rPr>
                <w:b w:val="false"/>
                <w:bCs w:val="false"/>
                <w:color w:val="000000"/>
                <w:sz w:val="20"/>
                <w:szCs w:val="20"/>
              </w:rPr>
              <w:t xml:space="preserve">No aplica; no hay un dispositivo intermedio que administrar</w:t>
            </w:r>
          </w:p>
        </w:tc>
      </w:tr>
      <w:tr>
        <w:tc>
          <w:tcPr>
            <w:tcW w:type="dxa" w:w="1900"/>
            <w:shd w:fill="FFFFFF" w:color="auto" w:val="clear"/>
            <w:tcMar>
              <w:top w:type="dxa" w:w="80"/>
              <w:left w:type="dxa" w:w="100"/>
              <w:bottom w:type="dxa" w:w="80"/>
              <w:right w:type="dxa" w:w="100"/>
            </w:tcMar>
            <w:vAlign w:val="center"/>
          </w:tcPr>
          <w:p>
            <w:r>
              <w:rPr>
                <w:b w:val="false"/>
                <w:bCs w:val="false"/>
                <w:color w:val="000000"/>
                <w:sz w:val="20"/>
                <w:szCs w:val="20"/>
              </w:rPr>
              <w:t xml:space="preserve">¿Aplica a este caso?</w:t>
            </w:r>
          </w:p>
        </w:tc>
        <w:tc>
          <w:tcPr>
            <w:tcW w:type="dxa" w:w="3900"/>
            <w:shd w:fill="FFFFFF" w:color="auto" w:val="clear"/>
            <w:tcMar>
              <w:top w:type="dxa" w:w="80"/>
              <w:left w:type="dxa" w:w="100"/>
              <w:bottom w:type="dxa" w:w="80"/>
              <w:right w:type="dxa" w:w="100"/>
            </w:tcMar>
            <w:vAlign w:val="center"/>
          </w:tcPr>
          <w:p>
            <w:r>
              <w:rPr>
                <w:b w:val="false"/>
                <w:bCs w:val="false"/>
                <w:color w:val="000000"/>
                <w:sz w:val="20"/>
                <w:szCs w:val="20"/>
              </w:rPr>
              <w:t xml:space="preserve">No es necesario — no hay on-premises ni otra nube involucrada</w:t>
            </w:r>
          </w:p>
        </w:tc>
        <w:tc>
          <w:tcPr>
            <w:tcW w:type="dxa" w:w="3900"/>
            <w:shd w:fill="FFFFFF" w:color="auto" w:val="clear"/>
            <w:tcMar>
              <w:top w:type="dxa" w:w="80"/>
              <w:left w:type="dxa" w:w="100"/>
              <w:bottom w:type="dxa" w:w="80"/>
              <w:right w:type="dxa" w:w="100"/>
            </w:tcMar>
            <w:vAlign w:val="center"/>
          </w:tcPr>
          <w:p>
            <w:r>
              <w:rPr>
                <w:b w:val="false"/>
                <w:bCs w:val="false"/>
                <w:color w:val="000000"/>
                <w:sz w:val="20"/>
                <w:szCs w:val="20"/>
              </w:rPr>
              <w:t xml:space="preserve">Sí — es el mecanismo diseñado exactamente para este escenario</w:t>
            </w:r>
          </w:p>
        </w:tc>
      </w:tr>
    </w:tbl>
    <w:p>
      <w:pPr>
        <w:spacing w:after="160"/>
      </w:pPr>
      <w:r>
        <w:t xml:space="preserve"/>
      </w:r>
    </w:p>
    <w:p>
      <w:pPr>
        <w:spacing w:after="160"/>
      </w:pPr>
      <w:r>
        <w:rPr>
          <w:b/>
          <w:bCs/>
        </w:rPr>
        <w:t xml:space="preserve">Recomendación: usar Global VNet Peering. Dado que ambos extremos (App Service y base de datos) son recursos nativos de Azure, no existe necesidad de un VPN Gateway. La Peering ofrece menor latencia, mayor throughput, menor costo recurrente y una configuración considerablemente más simple, sin sacrificar seguridad — el tráfico permanece dentro de la red privada de Microsoft y nunca se expone a Internet.</w:t>
      </w:r>
    </w:p>
    <w:p>
      <w:pPr>
        <w:spacing w:after="160"/>
      </w:pPr>
      <w:r>
        <w:rPr>
          <w:i/>
          <w:iCs/>
          <w:color w:val="555555"/>
        </w:rPr>
        <w:t xml:space="preserve">Nota: si en el futuro el cliente requiere conectar estas VNets también a su infraestructura on-premises, se recomienda evaluar en ese momento una topología Hub-Spoke con VPN Gateway o ExpressRoute en el Hub, sin que esto afecte la solución de Peering aquí propuesta.</w:t>
      </w:r>
    </w:p>
    <w:p>
      <w:pPr>
        <w:pStyle w:val="Heading1"/>
        <w:spacing w:after="160" w:before="360"/>
      </w:pPr>
      <w:r>
        <w:t xml:space="preserve">4. Descripción de la Arquitectura</w:t>
      </w:r>
    </w:p>
    <w:p>
      <w:pPr>
        <w:spacing w:after="160"/>
      </w:pPr>
      <w:r>
        <w:t xml:space="preserve">La solución propuesta contempla:</w:t>
      </w:r>
    </w:p>
    <w:p>
      <w:pPr>
        <w:pStyle w:val="ListParagraph"/>
        <w:numPr>
          <w:ilvl w:val="0"/>
          <w:numId w:val="2"/>
        </w:numPr>
        <w:spacing w:after="80"/>
      </w:pPr>
      <w:r>
        <w:t xml:space="preserve">Una VNet en South Central US (VNet-SCUS) con un subnet dedicado y delegado para la Regional VNet Integration del App Service.</w:t>
      </w:r>
    </w:p>
    <w:p>
      <w:pPr>
        <w:pStyle w:val="ListParagraph"/>
        <w:numPr>
          <w:ilvl w:val="0"/>
          <w:numId w:val="2"/>
        </w:numPr>
        <w:spacing w:after="80"/>
      </w:pPr>
      <w:r>
        <w:t xml:space="preserve">Una VNet en Central US (VNet-CUS) con un subnet dedicado para la base de datos (Private Endpoint si es un servicio PaaS, o la NIC de la VM si es IaaS).</w:t>
      </w:r>
    </w:p>
    <w:p>
      <w:pPr>
        <w:pStyle w:val="ListParagraph"/>
        <w:numPr>
          <w:ilvl w:val="0"/>
          <w:numId w:val="2"/>
        </w:numPr>
        <w:spacing w:after="80"/>
      </w:pPr>
      <w:r>
        <w:t xml:space="preserve">Un Global VNet Peering bidireccional entre ambas VNets (VNet-SCUS ↔ VNet-CUS), sin 'Allow Gateway Transit' (no se requiere, al no haber gateway involucrado).</w:t>
      </w:r>
    </w:p>
    <w:p>
      <w:pPr>
        <w:pStyle w:val="ListParagraph"/>
        <w:numPr>
          <w:ilvl w:val="0"/>
          <w:numId w:val="2"/>
        </w:numPr>
        <w:spacing w:after="80"/>
      </w:pPr>
      <w:r>
        <w:t xml:space="preserve">Una Private DNS Zone (p. ej. privatelink.database.windows.net si es Azure SQL Database) vinculada a VNet-SCUS, para que el App Service resuelva el nombre de la base de datos hacia su IP privada en Central US.</w:t>
      </w:r>
    </w:p>
    <w:p>
      <w:pPr>
        <w:pStyle w:val="ListParagraph"/>
        <w:numPr>
          <w:ilvl w:val="0"/>
          <w:numId w:val="2"/>
        </w:numPr>
        <w:spacing w:after="80"/>
      </w:pPr>
      <w:r>
        <w:t xml:space="preserve">NSGs en ambos subnets, restringiendo el tráfico al mínimo necesario (ver sección de puertos).</w:t>
      </w:r>
    </w:p>
    <w:p>
      <w:pPr>
        <w:spacing w:after="200" w:before="200"/>
        <w:jc w:val="center"/>
      </w:pPr>
      <w:r>
        <w:drawing>
          <wp:inline distT="0" distB="0" distL="0" distR="0">
            <wp:extent cx="5905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771775"/>
                    </a:xfrm>
                    <a:prstGeom prst="rect">
                      <a:avLst/>
                    </a:prstGeom>
                  </pic:spPr>
                </pic:pic>
              </a:graphicData>
            </a:graphic>
          </wp:inline>
        </w:drawing>
      </w:r>
    </w:p>
    <w:p>
      <w:pPr>
        <w:pStyle w:val="Heading1"/>
        <w:spacing w:after="160" w:before="360"/>
      </w:pPr>
      <w:r>
        <w:t xml:space="preserve">5. Alcances</w:t>
      </w:r>
    </w:p>
    <w:p>
      <w:pPr>
        <w:pStyle w:val="ListParagraph"/>
        <w:numPr>
          <w:ilvl w:val="0"/>
          <w:numId w:val="2"/>
        </w:numPr>
        <w:spacing w:after="80"/>
      </w:pPr>
      <w:r>
        <w:t xml:space="preserve">Creación (o adecuación, si ya existen) de las VNets y subnets en South Central US y Central US.</w:t>
      </w:r>
    </w:p>
    <w:p>
      <w:pPr>
        <w:pStyle w:val="ListParagraph"/>
        <w:numPr>
          <w:ilvl w:val="0"/>
          <w:numId w:val="2"/>
        </w:numPr>
        <w:spacing w:after="80"/>
      </w:pPr>
      <w:r>
        <w:t xml:space="preserve">Habilitación de Regional VNet Integration en el App Service existente.</w:t>
      </w:r>
    </w:p>
    <w:p>
      <w:pPr>
        <w:pStyle w:val="ListParagraph"/>
        <w:numPr>
          <w:ilvl w:val="0"/>
          <w:numId w:val="2"/>
        </w:numPr>
        <w:spacing w:after="80"/>
      </w:pPr>
      <w:r>
        <w:t xml:space="preserve">Configuración del Global VNet Peering bidireccional entre ambas VNets.</w:t>
      </w:r>
    </w:p>
    <w:p>
      <w:pPr>
        <w:pStyle w:val="ListParagraph"/>
        <w:numPr>
          <w:ilvl w:val="0"/>
          <w:numId w:val="2"/>
        </w:numPr>
        <w:spacing w:after="80"/>
      </w:pPr>
      <w:r>
        <w:t xml:space="preserve">Configuración de Private Endpoint y Private DNS Zone para la base de datos (si el motor de base de datos es un servicio PaaS con soporte de Private Link).</w:t>
      </w:r>
    </w:p>
    <w:p>
      <w:pPr>
        <w:pStyle w:val="ListParagraph"/>
        <w:numPr>
          <w:ilvl w:val="0"/>
          <w:numId w:val="2"/>
        </w:numPr>
        <w:spacing w:after="80"/>
      </w:pPr>
      <w:r>
        <w:t xml:space="preserve">Creación y asignación de las reglas de NSG necesarias en ambos subnets.</w:t>
      </w:r>
    </w:p>
    <w:p>
      <w:pPr>
        <w:pStyle w:val="ListParagraph"/>
        <w:numPr>
          <w:ilvl w:val="0"/>
          <w:numId w:val="2"/>
        </w:numPr>
        <w:spacing w:after="80"/>
      </w:pPr>
      <w:r>
        <w:t xml:space="preserve">Pruebas de conectividad y resolución de nombres de extremo a extremo (App Service → Base de Datos).</w:t>
      </w:r>
    </w:p>
    <w:p>
      <w:pPr>
        <w:pStyle w:val="ListParagraph"/>
        <w:numPr>
          <w:ilvl w:val="0"/>
          <w:numId w:val="2"/>
        </w:numPr>
        <w:spacing w:after="80"/>
      </w:pPr>
      <w:r>
        <w:t xml:space="preserve">Documentación as-built de la solución implementada.</w:t>
      </w:r>
    </w:p>
    <w:p>
      <w:pPr>
        <w:pStyle w:val="Heading1"/>
        <w:spacing w:after="160" w:before="360"/>
      </w:pPr>
      <w:r>
        <w:t xml:space="preserve">6. Fuera de Alcance</w:t>
      </w:r>
    </w:p>
    <w:p>
      <w:pPr>
        <w:pStyle w:val="ListParagraph"/>
        <w:numPr>
          <w:ilvl w:val="0"/>
          <w:numId w:val="2"/>
        </w:numPr>
        <w:spacing w:after="80"/>
      </w:pPr>
      <w:r>
        <w:t xml:space="preserve">Migración de datos existentes hacia la base de datos en Central US.</w:t>
      </w:r>
    </w:p>
    <w:p>
      <w:pPr>
        <w:pStyle w:val="ListParagraph"/>
        <w:numPr>
          <w:ilvl w:val="0"/>
          <w:numId w:val="2"/>
        </w:numPr>
        <w:spacing w:after="80"/>
      </w:pPr>
      <w:r>
        <w:t xml:space="preserve">Configuración de Backup, Disaster Recovery o Alta Disponibilidad de la base de datos.</w:t>
      </w:r>
    </w:p>
    <w:p>
      <w:pPr>
        <w:pStyle w:val="ListParagraph"/>
        <w:numPr>
          <w:ilvl w:val="0"/>
          <w:numId w:val="2"/>
        </w:numPr>
        <w:spacing w:after="80"/>
      </w:pPr>
      <w:r>
        <w:t xml:space="preserve">Cambios en el código fuente de la aplicación (más allá de actualizar la cadena de conexión / configuración).</w:t>
      </w:r>
    </w:p>
    <w:p>
      <w:pPr>
        <w:pStyle w:val="ListParagraph"/>
        <w:numPr>
          <w:ilvl w:val="0"/>
          <w:numId w:val="2"/>
        </w:numPr>
        <w:spacing w:after="80"/>
      </w:pPr>
      <w:r>
        <w:t xml:space="preserve">Conectividad hacia la infraestructura On-Premises del cliente (se atenderá en una fase o documento separado, en caso de requerirse).</w:t>
      </w:r>
    </w:p>
    <w:p>
      <w:pPr>
        <w:pStyle w:val="ListParagraph"/>
        <w:numPr>
          <w:ilvl w:val="0"/>
          <w:numId w:val="2"/>
        </w:numPr>
        <w:spacing w:after="80"/>
      </w:pPr>
      <w:r>
        <w:t xml:space="preserve">Optimización de rendimiento o tuning de la base de datos.</w:t>
      </w:r>
    </w:p>
    <w:p>
      <w:pPr>
        <w:pStyle w:val="ListParagraph"/>
        <w:numPr>
          <w:ilvl w:val="0"/>
          <w:numId w:val="2"/>
        </w:numPr>
        <w:spacing w:after="80"/>
      </w:pPr>
      <w:r>
        <w:t xml:space="preserve">Gestión de identidades, Conditional Access o políticas de Azure AD ajenas a esta conexión.</w:t>
      </w:r>
    </w:p>
    <w:p>
      <w:pPr>
        <w:pStyle w:val="Heading1"/>
        <w:spacing w:after="160" w:before="360"/>
      </w:pPr>
      <w:r>
        <w:t xml:space="preserve">7. Requerimientos Técnicos</w:t>
      </w:r>
    </w:p>
    <w:p>
      <w:pPr>
        <w:pStyle w:val="ListParagraph"/>
        <w:numPr>
          <w:ilvl w:val="0"/>
          <w:numId w:val="2"/>
        </w:numPr>
        <w:spacing w:after="80"/>
      </w:pPr>
      <w:r>
        <w:t xml:space="preserve">Espacios de direccionamiento IP de VNet-SCUS y VNet-CUS sin traslape (ej. 10.10.0.0/16 y 10.20.0.0/16).</w:t>
      </w:r>
    </w:p>
    <w:p>
      <w:pPr>
        <w:pStyle w:val="ListParagraph"/>
        <w:numPr>
          <w:ilvl w:val="0"/>
          <w:numId w:val="2"/>
        </w:numPr>
        <w:spacing w:after="80"/>
      </w:pPr>
      <w:r>
        <w:t xml:space="preserve">Subnet dedicado y delegado (Microsoft.Web/serverFarms) para la Regional VNet Integration del App Service — tamaño mínimo /27.</w:t>
      </w:r>
    </w:p>
    <w:p>
      <w:pPr>
        <w:pStyle w:val="ListParagraph"/>
        <w:numPr>
          <w:ilvl w:val="0"/>
          <w:numId w:val="2"/>
        </w:numPr>
        <w:spacing w:after="80"/>
      </w:pPr>
      <w:r>
        <w:t xml:space="preserve">App Service Plan en un tier que soporte VNet Integration (Standard, Premium o superior; no aplica en tier Free/Shared/Consumption).</w:t>
      </w:r>
    </w:p>
    <w:p>
      <w:pPr>
        <w:pStyle w:val="ListParagraph"/>
        <w:numPr>
          <w:ilvl w:val="0"/>
          <w:numId w:val="2"/>
        </w:numPr>
        <w:spacing w:after="80"/>
      </w:pPr>
      <w:r>
        <w:t xml:space="preserve">Subnet dedicado para el Private Endpoint (o la VM) de la base de datos en Central US.</w:t>
      </w:r>
    </w:p>
    <w:p>
      <w:pPr>
        <w:pStyle w:val="ListParagraph"/>
        <w:numPr>
          <w:ilvl w:val="0"/>
          <w:numId w:val="2"/>
        </w:numPr>
        <w:spacing w:after="80"/>
      </w:pPr>
      <w:r>
        <w:t xml:space="preserve">Base de datos con acceso público deshabilitado (o restringido) una vez habilitado el Private Endpoint, para forzar el tráfico por la ruta privada.</w:t>
      </w:r>
    </w:p>
    <w:p>
      <w:pPr>
        <w:pStyle w:val="ListParagraph"/>
        <w:numPr>
          <w:ilvl w:val="0"/>
          <w:numId w:val="2"/>
        </w:numPr>
        <w:spacing w:after="80"/>
      </w:pPr>
      <w:r>
        <w:t xml:space="preserve">Private DNS Zone correspondiente al motor de base de datos, vinculada como mínimo a VNet-SCUS (y opcionalmente a VNet-CUS).</w:t>
      </w:r>
    </w:p>
    <w:p>
      <w:pPr>
        <w:pStyle w:val="ListParagraph"/>
        <w:numPr>
          <w:ilvl w:val="0"/>
          <w:numId w:val="2"/>
        </w:numPr>
        <w:spacing w:after="80"/>
      </w:pPr>
      <w:r>
        <w:t xml:space="preserve">Permisos de Azure RBAC: Network Contributor (para VNets/Peering/NSG), SQL DB Contributor o equivalente (para el motor de base de datos), Website Contributor (para el App Service), en los resource groups involucrados.</w:t>
      </w:r>
    </w:p>
    <w:p>
      <w:pPr>
        <w:pStyle w:val="ListParagraph"/>
        <w:numPr>
          <w:ilvl w:val="0"/>
          <w:numId w:val="2"/>
        </w:numPr>
        <w:spacing w:after="80"/>
      </w:pPr>
      <w:r>
        <w:t xml:space="preserve">Acceso a Azure Portal / CLI / PowerShell / Terraform según el método de despliegue que el cliente prefiera.</w:t>
      </w:r>
    </w:p>
    <w:p>
      <w:pPr>
        <w:pStyle w:val="Heading2"/>
        <w:spacing w:after="120" w:before="260"/>
      </w:pPr>
      <w:r>
        <w:t xml:space="preserve">7.1 Puertos Requeridos</w:t>
      </w:r>
    </w:p>
    <w:p>
      <w:pPr>
        <w:spacing w:after="160"/>
      </w:pPr>
      <w:r>
        <w:t xml:space="preserve">Los puertos exactos dependen del motor de base de datos. La siguiente tabla contempla los escenarios más comunes; se debe confirmar con el cliente cuál aplica:</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400"/>
        <w:gridCol w:w="1400"/>
        <w:gridCol w:w="2400"/>
      </w:tblGrid>
      <w:tr>
        <w:trPr>
          <w:tblHeader/>
        </w:trPr>
        <w:tc>
          <w:tcPr>
            <w:tcW w:type="dxa" w:w="2600"/>
            <w:shd w:fill="1F3864" w:color="auto" w:val="clear"/>
            <w:tcMar>
              <w:top w:type="dxa" w:w="80"/>
              <w:left w:type="dxa" w:w="100"/>
              <w:bottom w:type="dxa" w:w="80"/>
              <w:right w:type="dxa" w:w="100"/>
            </w:tcMar>
            <w:vAlign w:val="center"/>
          </w:tcPr>
          <w:p>
            <w:r>
              <w:rPr>
                <w:b/>
                <w:bCs/>
                <w:color w:val="FFFFFF"/>
                <w:sz w:val="20"/>
                <w:szCs w:val="20"/>
              </w:rPr>
              <w:t xml:space="preserve">Origen</w:t>
            </w:r>
          </w:p>
        </w:tc>
        <w:tc>
          <w:tcPr>
            <w:tcW w:type="dxa" w:w="2000"/>
            <w:shd w:fill="1F3864" w:color="auto" w:val="clear"/>
            <w:tcMar>
              <w:top w:type="dxa" w:w="80"/>
              <w:left w:type="dxa" w:w="100"/>
              <w:bottom w:type="dxa" w:w="80"/>
              <w:right w:type="dxa" w:w="100"/>
            </w:tcMar>
            <w:vAlign w:val="center"/>
          </w:tcPr>
          <w:p>
            <w:r>
              <w:rPr>
                <w:b/>
                <w:bCs/>
                <w:color w:val="FFFFFF"/>
                <w:sz w:val="20"/>
                <w:szCs w:val="20"/>
              </w:rPr>
              <w:t xml:space="preserve">Destino</w:t>
            </w:r>
          </w:p>
        </w:tc>
        <w:tc>
          <w:tcPr>
            <w:tcW w:type="dxa" w:w="1400"/>
            <w:shd w:fill="1F3864" w:color="auto" w:val="clear"/>
            <w:tcMar>
              <w:top w:type="dxa" w:w="80"/>
              <w:left w:type="dxa" w:w="100"/>
              <w:bottom w:type="dxa" w:w="80"/>
              <w:right w:type="dxa" w:w="100"/>
            </w:tcMar>
            <w:vAlign w:val="center"/>
          </w:tcPr>
          <w:p>
            <w:r>
              <w:rPr>
                <w:b/>
                <w:bCs/>
                <w:color w:val="FFFFFF"/>
                <w:sz w:val="20"/>
                <w:szCs w:val="20"/>
              </w:rPr>
              <w:t xml:space="preserve">Puerto</w:t>
            </w:r>
          </w:p>
        </w:tc>
        <w:tc>
          <w:tcPr>
            <w:tcW w:type="dxa" w:w="1400"/>
            <w:shd w:fill="1F3864" w:color="auto" w:val="clear"/>
            <w:tcMar>
              <w:top w:type="dxa" w:w="80"/>
              <w:left w:type="dxa" w:w="100"/>
              <w:bottom w:type="dxa" w:w="80"/>
              <w:right w:type="dxa" w:w="100"/>
            </w:tcMar>
            <w:vAlign w:val="center"/>
          </w:tcPr>
          <w:p>
            <w:r>
              <w:rPr>
                <w:b/>
                <w:bCs/>
                <w:color w:val="FFFFFF"/>
                <w:sz w:val="20"/>
                <w:szCs w:val="20"/>
              </w:rPr>
              <w:t xml:space="preserve">Protocolo</w:t>
            </w:r>
          </w:p>
        </w:tc>
        <w:tc>
          <w:tcPr>
            <w:tcW w:type="dxa" w:w="2400"/>
            <w:shd w:fill="1F3864" w:color="auto" w:val="clear"/>
            <w:tcMar>
              <w:top w:type="dxa" w:w="80"/>
              <w:left w:type="dxa" w:w="100"/>
              <w:bottom w:type="dxa" w:w="80"/>
              <w:right w:type="dxa" w:w="100"/>
            </w:tcMar>
            <w:vAlign w:val="center"/>
          </w:tcPr>
          <w:p>
            <w:r>
              <w:rPr>
                <w:b/>
                <w:bCs/>
                <w:color w:val="FFFFFF"/>
                <w:sz w:val="20"/>
                <w:szCs w:val="20"/>
              </w:rPr>
              <w:t xml:space="preserve">Uso</w:t>
            </w:r>
          </w:p>
        </w:tc>
      </w:tr>
      <w:tr>
        <w:tc>
          <w:tcPr>
            <w:tcW w:type="dxa" w:w="2600"/>
            <w:shd w:fill="FFFFFF" w:color="auto" w:val="clear"/>
            <w:tcMar>
              <w:top w:type="dxa" w:w="80"/>
              <w:left w:type="dxa" w:w="100"/>
              <w:bottom w:type="dxa" w:w="80"/>
              <w:right w:type="dxa" w:w="100"/>
            </w:tcMar>
            <w:vAlign w:val="center"/>
          </w:tcPr>
          <w:p>
            <w:r>
              <w:rPr>
                <w:b w:val="false"/>
                <w:bCs w:val="false"/>
                <w:color w:val="000000"/>
                <w:sz w:val="20"/>
                <w:szCs w:val="20"/>
              </w:rPr>
              <w:t xml:space="preserve">Subnet-AppIntegration</w:t>
            </w:r>
          </w:p>
        </w:tc>
        <w:tc>
          <w:tcPr>
            <w:tcW w:type="dxa" w:w="2000"/>
            <w:shd w:fill="FFFFFF" w:color="auto" w:val="clear"/>
            <w:tcMar>
              <w:top w:type="dxa" w:w="80"/>
              <w:left w:type="dxa" w:w="100"/>
              <w:bottom w:type="dxa" w:w="80"/>
              <w:right w:type="dxa" w:w="100"/>
            </w:tcMar>
            <w:vAlign w:val="center"/>
          </w:tcPr>
          <w:p>
            <w:r>
              <w:rPr>
                <w:b w:val="false"/>
                <w:bCs w:val="false"/>
                <w:color w:val="000000"/>
                <w:sz w:val="20"/>
                <w:szCs w:val="20"/>
              </w:rPr>
              <w:t xml:space="preserve">Subnet-DB</w:t>
            </w:r>
          </w:p>
        </w:tc>
        <w:tc>
          <w:tcPr>
            <w:tcW w:type="dxa" w:w="1400"/>
            <w:shd w:fill="FFFFFF" w:color="auto" w:val="clear"/>
            <w:tcMar>
              <w:top w:type="dxa" w:w="80"/>
              <w:left w:type="dxa" w:w="100"/>
              <w:bottom w:type="dxa" w:w="80"/>
              <w:right w:type="dxa" w:w="100"/>
            </w:tcMar>
            <w:vAlign w:val="center"/>
          </w:tcPr>
          <w:p>
            <w:r>
              <w:rPr>
                <w:b w:val="false"/>
                <w:bCs w:val="false"/>
                <w:color w:val="000000"/>
                <w:sz w:val="20"/>
                <w:szCs w:val="20"/>
              </w:rPr>
              <w:t xml:space="preserve">1433</w:t>
            </w:r>
          </w:p>
        </w:tc>
        <w:tc>
          <w:tcPr>
            <w:tcW w:type="dxa" w:w="1400"/>
            <w:shd w:fill="FFFFFF" w:color="auto" w:val="clear"/>
            <w:tcMar>
              <w:top w:type="dxa" w:w="80"/>
              <w:left w:type="dxa" w:w="100"/>
              <w:bottom w:type="dxa" w:w="80"/>
              <w:right w:type="dxa" w:w="100"/>
            </w:tcMar>
            <w:vAlign w:val="center"/>
          </w:tcPr>
          <w:p>
            <w:r>
              <w:rPr>
                <w:b w:val="false"/>
                <w:bCs w:val="false"/>
                <w:color w:val="000000"/>
                <w:sz w:val="20"/>
                <w:szCs w:val="20"/>
              </w:rPr>
              <w:t xml:space="preserve">TCP</w:t>
            </w:r>
          </w:p>
        </w:tc>
        <w:tc>
          <w:tcPr>
            <w:tcW w:type="dxa" w:w="2400"/>
            <w:shd w:fill="FFFFFF" w:color="auto" w:val="clear"/>
            <w:tcMar>
              <w:top w:type="dxa" w:w="80"/>
              <w:left w:type="dxa" w:w="100"/>
              <w:bottom w:type="dxa" w:w="80"/>
              <w:right w:type="dxa" w:w="100"/>
            </w:tcMar>
            <w:vAlign w:val="center"/>
          </w:tcPr>
          <w:p>
            <w:r>
              <w:rPr>
                <w:b w:val="false"/>
                <w:bCs w:val="false"/>
                <w:color w:val="000000"/>
                <w:sz w:val="20"/>
                <w:szCs w:val="20"/>
              </w:rPr>
              <w:t xml:space="preserve">Azure SQL Database / SQL Managed Instance / SQL Server en VM</w:t>
            </w:r>
          </w:p>
        </w:tc>
      </w:tr>
      <w:tr>
        <w:tc>
          <w:tcPr>
            <w:tcW w:type="dxa" w:w="2600"/>
            <w:shd w:fill="F2F2F2" w:color="auto" w:val="clear"/>
            <w:tcMar>
              <w:top w:type="dxa" w:w="80"/>
              <w:left w:type="dxa" w:w="100"/>
              <w:bottom w:type="dxa" w:w="80"/>
              <w:right w:type="dxa" w:w="100"/>
            </w:tcMar>
            <w:vAlign w:val="center"/>
          </w:tcPr>
          <w:p>
            <w:r>
              <w:rPr>
                <w:b w:val="false"/>
                <w:bCs w:val="false"/>
                <w:color w:val="000000"/>
                <w:sz w:val="20"/>
                <w:szCs w:val="20"/>
              </w:rPr>
              <w:t xml:space="preserve">Subnet-AppIntegration</w:t>
            </w:r>
          </w:p>
        </w:tc>
        <w:tc>
          <w:tcPr>
            <w:tcW w:type="dxa" w:w="2000"/>
            <w:shd w:fill="F2F2F2" w:color="auto" w:val="clear"/>
            <w:tcMar>
              <w:top w:type="dxa" w:w="80"/>
              <w:left w:type="dxa" w:w="100"/>
              <w:bottom w:type="dxa" w:w="80"/>
              <w:right w:type="dxa" w:w="100"/>
            </w:tcMar>
            <w:vAlign w:val="center"/>
          </w:tcPr>
          <w:p>
            <w:r>
              <w:rPr>
                <w:b w:val="false"/>
                <w:bCs w:val="false"/>
                <w:color w:val="000000"/>
                <w:sz w:val="20"/>
                <w:szCs w:val="20"/>
              </w:rPr>
              <w:t xml:space="preserve">Subnet-DB</w:t>
            </w:r>
          </w:p>
        </w:tc>
        <w:tc>
          <w:tcPr>
            <w:tcW w:type="dxa" w:w="1400"/>
            <w:shd w:fill="F2F2F2" w:color="auto" w:val="clear"/>
            <w:tcMar>
              <w:top w:type="dxa" w:w="80"/>
              <w:left w:type="dxa" w:w="100"/>
              <w:bottom w:type="dxa" w:w="80"/>
              <w:right w:type="dxa" w:w="100"/>
            </w:tcMar>
            <w:vAlign w:val="center"/>
          </w:tcPr>
          <w:p>
            <w:r>
              <w:rPr>
                <w:b w:val="false"/>
                <w:bCs w:val="false"/>
                <w:color w:val="000000"/>
                <w:sz w:val="20"/>
                <w:szCs w:val="20"/>
              </w:rPr>
              <w:t xml:space="preserve">5432</w:t>
            </w:r>
          </w:p>
        </w:tc>
        <w:tc>
          <w:tcPr>
            <w:tcW w:type="dxa" w:w="1400"/>
            <w:shd w:fill="F2F2F2" w:color="auto" w:val="clear"/>
            <w:tcMar>
              <w:top w:type="dxa" w:w="80"/>
              <w:left w:type="dxa" w:w="100"/>
              <w:bottom w:type="dxa" w:w="80"/>
              <w:right w:type="dxa" w:w="100"/>
            </w:tcMar>
            <w:vAlign w:val="center"/>
          </w:tcPr>
          <w:p>
            <w:r>
              <w:rPr>
                <w:b w:val="false"/>
                <w:bCs w:val="false"/>
                <w:color w:val="000000"/>
                <w:sz w:val="20"/>
                <w:szCs w:val="20"/>
              </w:rPr>
              <w:t xml:space="preserve">TCP</w:t>
            </w:r>
          </w:p>
        </w:tc>
        <w:tc>
          <w:tcPr>
            <w:tcW w:type="dxa" w:w="2400"/>
            <w:shd w:fill="F2F2F2" w:color="auto" w:val="clear"/>
            <w:tcMar>
              <w:top w:type="dxa" w:w="80"/>
              <w:left w:type="dxa" w:w="100"/>
              <w:bottom w:type="dxa" w:w="80"/>
              <w:right w:type="dxa" w:w="100"/>
            </w:tcMar>
            <w:vAlign w:val="center"/>
          </w:tcPr>
          <w:p>
            <w:r>
              <w:rPr>
                <w:b w:val="false"/>
                <w:bCs w:val="false"/>
                <w:color w:val="000000"/>
                <w:sz w:val="20"/>
                <w:szCs w:val="20"/>
              </w:rPr>
              <w:t xml:space="preserve">Azure Database for PostgreSQL</w:t>
            </w:r>
          </w:p>
        </w:tc>
      </w:tr>
      <w:tr>
        <w:tc>
          <w:tcPr>
            <w:tcW w:type="dxa" w:w="2600"/>
            <w:shd w:fill="FFFFFF" w:color="auto" w:val="clear"/>
            <w:tcMar>
              <w:top w:type="dxa" w:w="80"/>
              <w:left w:type="dxa" w:w="100"/>
              <w:bottom w:type="dxa" w:w="80"/>
              <w:right w:type="dxa" w:w="100"/>
            </w:tcMar>
            <w:vAlign w:val="center"/>
          </w:tcPr>
          <w:p>
            <w:r>
              <w:rPr>
                <w:b w:val="false"/>
                <w:bCs w:val="false"/>
                <w:color w:val="000000"/>
                <w:sz w:val="20"/>
                <w:szCs w:val="20"/>
              </w:rPr>
              <w:t xml:space="preserve">Subnet-AppIntegration</w:t>
            </w:r>
          </w:p>
        </w:tc>
        <w:tc>
          <w:tcPr>
            <w:tcW w:type="dxa" w:w="2000"/>
            <w:shd w:fill="FFFFFF" w:color="auto" w:val="clear"/>
            <w:tcMar>
              <w:top w:type="dxa" w:w="80"/>
              <w:left w:type="dxa" w:w="100"/>
              <w:bottom w:type="dxa" w:w="80"/>
              <w:right w:type="dxa" w:w="100"/>
            </w:tcMar>
            <w:vAlign w:val="center"/>
          </w:tcPr>
          <w:p>
            <w:r>
              <w:rPr>
                <w:b w:val="false"/>
                <w:bCs w:val="false"/>
                <w:color w:val="000000"/>
                <w:sz w:val="20"/>
                <w:szCs w:val="20"/>
              </w:rPr>
              <w:t xml:space="preserve">Subnet-DB</w:t>
            </w:r>
          </w:p>
        </w:tc>
        <w:tc>
          <w:tcPr>
            <w:tcW w:type="dxa" w:w="1400"/>
            <w:shd w:fill="FFFFFF" w:color="auto" w:val="clear"/>
            <w:tcMar>
              <w:top w:type="dxa" w:w="80"/>
              <w:left w:type="dxa" w:w="100"/>
              <w:bottom w:type="dxa" w:w="80"/>
              <w:right w:type="dxa" w:w="100"/>
            </w:tcMar>
            <w:vAlign w:val="center"/>
          </w:tcPr>
          <w:p>
            <w:r>
              <w:rPr>
                <w:b w:val="false"/>
                <w:bCs w:val="false"/>
                <w:color w:val="000000"/>
                <w:sz w:val="20"/>
                <w:szCs w:val="20"/>
              </w:rPr>
              <w:t xml:space="preserve">3306</w:t>
            </w:r>
          </w:p>
        </w:tc>
        <w:tc>
          <w:tcPr>
            <w:tcW w:type="dxa" w:w="1400"/>
            <w:shd w:fill="FFFFFF" w:color="auto" w:val="clear"/>
            <w:tcMar>
              <w:top w:type="dxa" w:w="80"/>
              <w:left w:type="dxa" w:w="100"/>
              <w:bottom w:type="dxa" w:w="80"/>
              <w:right w:type="dxa" w:w="100"/>
            </w:tcMar>
            <w:vAlign w:val="center"/>
          </w:tcPr>
          <w:p>
            <w:r>
              <w:rPr>
                <w:b w:val="false"/>
                <w:bCs w:val="false"/>
                <w:color w:val="000000"/>
                <w:sz w:val="20"/>
                <w:szCs w:val="20"/>
              </w:rPr>
              <w:t xml:space="preserve">TCP</w:t>
            </w:r>
          </w:p>
        </w:tc>
        <w:tc>
          <w:tcPr>
            <w:tcW w:type="dxa" w:w="2400"/>
            <w:shd w:fill="FFFFFF" w:color="auto" w:val="clear"/>
            <w:tcMar>
              <w:top w:type="dxa" w:w="80"/>
              <w:left w:type="dxa" w:w="100"/>
              <w:bottom w:type="dxa" w:w="80"/>
              <w:right w:type="dxa" w:w="100"/>
            </w:tcMar>
            <w:vAlign w:val="center"/>
          </w:tcPr>
          <w:p>
            <w:r>
              <w:rPr>
                <w:b w:val="false"/>
                <w:bCs w:val="false"/>
                <w:color w:val="000000"/>
                <w:sz w:val="20"/>
                <w:szCs w:val="20"/>
              </w:rPr>
              <w:t xml:space="preserve">Azure Database for MySQL</w:t>
            </w:r>
          </w:p>
        </w:tc>
      </w:tr>
      <w:tr>
        <w:tc>
          <w:tcPr>
            <w:tcW w:type="dxa" w:w="2600"/>
            <w:shd w:fill="F2F2F2" w:color="auto" w:val="clear"/>
            <w:tcMar>
              <w:top w:type="dxa" w:w="80"/>
              <w:left w:type="dxa" w:w="100"/>
              <w:bottom w:type="dxa" w:w="80"/>
              <w:right w:type="dxa" w:w="100"/>
            </w:tcMar>
            <w:vAlign w:val="center"/>
          </w:tcPr>
          <w:p>
            <w:r>
              <w:rPr>
                <w:b w:val="false"/>
                <w:bCs w:val="false"/>
                <w:color w:val="000000"/>
                <w:sz w:val="20"/>
                <w:szCs w:val="20"/>
              </w:rPr>
              <w:t xml:space="preserve">Subnet-AppIntegration</w:t>
            </w:r>
          </w:p>
        </w:tc>
        <w:tc>
          <w:tcPr>
            <w:tcW w:type="dxa" w:w="2000"/>
            <w:shd w:fill="F2F2F2" w:color="auto" w:val="clear"/>
            <w:tcMar>
              <w:top w:type="dxa" w:w="80"/>
              <w:left w:type="dxa" w:w="100"/>
              <w:bottom w:type="dxa" w:w="80"/>
              <w:right w:type="dxa" w:w="100"/>
            </w:tcMar>
            <w:vAlign w:val="center"/>
          </w:tcPr>
          <w:p>
            <w:r>
              <w:rPr>
                <w:b w:val="false"/>
                <w:bCs w:val="false"/>
                <w:color w:val="000000"/>
                <w:sz w:val="20"/>
                <w:szCs w:val="20"/>
              </w:rPr>
              <w:t xml:space="preserve">Subnet-DB</w:t>
            </w:r>
          </w:p>
        </w:tc>
        <w:tc>
          <w:tcPr>
            <w:tcW w:type="dxa" w:w="1400"/>
            <w:shd w:fill="F2F2F2" w:color="auto" w:val="clear"/>
            <w:tcMar>
              <w:top w:type="dxa" w:w="80"/>
              <w:left w:type="dxa" w:w="100"/>
              <w:bottom w:type="dxa" w:w="80"/>
              <w:right w:type="dxa" w:w="100"/>
            </w:tcMar>
            <w:vAlign w:val="center"/>
          </w:tcPr>
          <w:p>
            <w:r>
              <w:rPr>
                <w:b w:val="false"/>
                <w:bCs w:val="false"/>
                <w:color w:val="000000"/>
                <w:sz w:val="20"/>
                <w:szCs w:val="20"/>
              </w:rPr>
              <w:t xml:space="preserve">6379 / 6380</w:t>
            </w:r>
          </w:p>
        </w:tc>
        <w:tc>
          <w:tcPr>
            <w:tcW w:type="dxa" w:w="1400"/>
            <w:shd w:fill="F2F2F2" w:color="auto" w:val="clear"/>
            <w:tcMar>
              <w:top w:type="dxa" w:w="80"/>
              <w:left w:type="dxa" w:w="100"/>
              <w:bottom w:type="dxa" w:w="80"/>
              <w:right w:type="dxa" w:w="100"/>
            </w:tcMar>
            <w:vAlign w:val="center"/>
          </w:tcPr>
          <w:p>
            <w:r>
              <w:rPr>
                <w:b w:val="false"/>
                <w:bCs w:val="false"/>
                <w:color w:val="000000"/>
                <w:sz w:val="20"/>
                <w:szCs w:val="20"/>
              </w:rPr>
              <w:t xml:space="preserve">TCP</w:t>
            </w:r>
          </w:p>
        </w:tc>
        <w:tc>
          <w:tcPr>
            <w:tcW w:type="dxa" w:w="2400"/>
            <w:shd w:fill="F2F2F2" w:color="auto" w:val="clear"/>
            <w:tcMar>
              <w:top w:type="dxa" w:w="80"/>
              <w:left w:type="dxa" w:w="100"/>
              <w:bottom w:type="dxa" w:w="80"/>
              <w:right w:type="dxa" w:w="100"/>
            </w:tcMar>
            <w:vAlign w:val="center"/>
          </w:tcPr>
          <w:p>
            <w:r>
              <w:rPr>
                <w:b w:val="false"/>
                <w:bCs w:val="false"/>
                <w:color w:val="000000"/>
                <w:sz w:val="20"/>
                <w:szCs w:val="20"/>
              </w:rPr>
              <w:t xml:space="preserve">Azure Cache for Redis (si aplica)</w:t>
            </w:r>
          </w:p>
        </w:tc>
      </w:tr>
      <w:tr>
        <w:tc>
          <w:tcPr>
            <w:tcW w:type="dxa" w:w="2600"/>
            <w:shd w:fill="FFFFFF" w:color="auto" w:val="clear"/>
            <w:tcMar>
              <w:top w:type="dxa" w:w="80"/>
              <w:left w:type="dxa" w:w="100"/>
              <w:bottom w:type="dxa" w:w="80"/>
              <w:right w:type="dxa" w:w="100"/>
            </w:tcMar>
            <w:vAlign w:val="center"/>
          </w:tcPr>
          <w:p>
            <w:r>
              <w:rPr>
                <w:b w:val="false"/>
                <w:bCs w:val="false"/>
                <w:color w:val="000000"/>
                <w:sz w:val="20"/>
                <w:szCs w:val="20"/>
              </w:rPr>
              <w:t xml:space="preserve">App Service (saliente)</w:t>
            </w:r>
          </w:p>
        </w:tc>
        <w:tc>
          <w:tcPr>
            <w:tcW w:type="dxa" w:w="2000"/>
            <w:shd w:fill="FFFFFF" w:color="auto" w:val="clear"/>
            <w:tcMar>
              <w:top w:type="dxa" w:w="80"/>
              <w:left w:type="dxa" w:w="100"/>
              <w:bottom w:type="dxa" w:w="80"/>
              <w:right w:type="dxa" w:w="100"/>
            </w:tcMar>
            <w:vAlign w:val="center"/>
          </w:tcPr>
          <w:p>
            <w:r>
              <w:rPr>
                <w:b w:val="false"/>
                <w:bCs w:val="false"/>
                <w:color w:val="000000"/>
                <w:sz w:val="20"/>
                <w:szCs w:val="20"/>
              </w:rPr>
              <w:t xml:space="preserve">Internet / Azure</w:t>
            </w:r>
          </w:p>
        </w:tc>
        <w:tc>
          <w:tcPr>
            <w:tcW w:type="dxa" w:w="1400"/>
            <w:shd w:fill="FFFFFF" w:color="auto" w:val="clear"/>
            <w:tcMar>
              <w:top w:type="dxa" w:w="80"/>
              <w:left w:type="dxa" w:w="100"/>
              <w:bottom w:type="dxa" w:w="80"/>
              <w:right w:type="dxa" w:w="100"/>
            </w:tcMar>
            <w:vAlign w:val="center"/>
          </w:tcPr>
          <w:p>
            <w:r>
              <w:rPr>
                <w:b w:val="false"/>
                <w:bCs w:val="false"/>
                <w:color w:val="000000"/>
                <w:sz w:val="20"/>
                <w:szCs w:val="20"/>
              </w:rPr>
              <w:t xml:space="preserve">443</w:t>
            </w:r>
          </w:p>
        </w:tc>
        <w:tc>
          <w:tcPr>
            <w:tcW w:type="dxa" w:w="1400"/>
            <w:shd w:fill="FFFFFF" w:color="auto" w:val="clear"/>
            <w:tcMar>
              <w:top w:type="dxa" w:w="80"/>
              <w:left w:type="dxa" w:w="100"/>
              <w:bottom w:type="dxa" w:w="80"/>
              <w:right w:type="dxa" w:w="100"/>
            </w:tcMar>
            <w:vAlign w:val="center"/>
          </w:tcPr>
          <w:p>
            <w:r>
              <w:rPr>
                <w:b w:val="false"/>
                <w:bCs w:val="false"/>
                <w:color w:val="000000"/>
                <w:sz w:val="20"/>
                <w:szCs w:val="20"/>
              </w:rPr>
              <w:t xml:space="preserve">TCP</w:t>
            </w:r>
          </w:p>
        </w:tc>
        <w:tc>
          <w:tcPr>
            <w:tcW w:type="dxa" w:w="2400"/>
            <w:shd w:fill="FFFFFF" w:color="auto" w:val="clear"/>
            <w:tcMar>
              <w:top w:type="dxa" w:w="80"/>
              <w:left w:type="dxa" w:w="100"/>
              <w:bottom w:type="dxa" w:w="80"/>
              <w:right w:type="dxa" w:w="100"/>
            </w:tcMar>
            <w:vAlign w:val="center"/>
          </w:tcPr>
          <w:p>
            <w:r>
              <w:rPr>
                <w:b w:val="false"/>
                <w:bCs w:val="false"/>
                <w:color w:val="000000"/>
                <w:sz w:val="20"/>
                <w:szCs w:val="20"/>
              </w:rPr>
              <w:t xml:space="preserve">Gestión, telemetría y Private DNS / Key Vault (si se usa)</w:t>
            </w:r>
          </w:p>
        </w:tc>
      </w:tr>
    </w:tbl>
    <w:p>
      <w:pPr>
        <w:pStyle w:val="Heading2"/>
        <w:spacing w:after="120" w:before="260"/>
      </w:pPr>
      <w:r>
        <w:t xml:space="preserve">7.2 Reglas de Network Security Group (NSG)</w:t>
      </w:r>
    </w:p>
    <w:p>
      <w:pPr>
        <w:spacing w:after="160"/>
      </w:pPr>
      <w:r>
        <w:t xml:space="preserve">Sí se requieren NSGs en ambos subnets, con el principio de menor privilegio:</w:t>
      </w:r>
    </w:p>
    <w:tbl>
      <w:tblPr>
        <w:tblW w:type="dxa" w:w="132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2200"/>
        <w:gridCol w:w="1600"/>
        <w:gridCol w:w="1800"/>
        <w:gridCol w:w="1600"/>
      </w:tblGrid>
      <w:tr>
        <w:trPr>
          <w:tblHeader/>
        </w:trPr>
        <w:tc>
          <w:tcPr>
            <w:tcW w:type="dxa" w:w="2200"/>
            <w:shd w:fill="1F3864" w:color="auto" w:val="clear"/>
            <w:tcMar>
              <w:top w:type="dxa" w:w="80"/>
              <w:left w:type="dxa" w:w="100"/>
              <w:bottom w:type="dxa" w:w="80"/>
              <w:right w:type="dxa" w:w="100"/>
            </w:tcMar>
            <w:vAlign w:val="center"/>
          </w:tcPr>
          <w:p>
            <w:r>
              <w:rPr>
                <w:b/>
                <w:bCs/>
                <w:color w:val="FFFFFF"/>
                <w:sz w:val="20"/>
                <w:szCs w:val="20"/>
              </w:rPr>
              <w:t xml:space="preserve">Subnet</w:t>
            </w:r>
          </w:p>
        </w:tc>
        <w:tc>
          <w:tcPr>
            <w:tcW w:type="dxa" w:w="2400"/>
            <w:shd w:fill="1F3864" w:color="auto" w:val="clear"/>
            <w:tcMar>
              <w:top w:type="dxa" w:w="80"/>
              <w:left w:type="dxa" w:w="100"/>
              <w:bottom w:type="dxa" w:w="80"/>
              <w:right w:type="dxa" w:w="100"/>
            </w:tcMar>
            <w:vAlign w:val="center"/>
          </w:tcPr>
          <w:p>
            <w:r>
              <w:rPr>
                <w:b/>
                <w:bCs/>
                <w:color w:val="FFFFFF"/>
                <w:sz w:val="20"/>
                <w:szCs w:val="20"/>
              </w:rPr>
              <w:t xml:space="preserve">Regla</w:t>
            </w:r>
          </w:p>
        </w:tc>
        <w:tc>
          <w:tcPr>
            <w:tcW w:type="dxa" w:w="1400"/>
            <w:shd w:fill="1F3864" w:color="auto" w:val="clear"/>
            <w:tcMar>
              <w:top w:type="dxa" w:w="80"/>
              <w:left w:type="dxa" w:w="100"/>
              <w:bottom w:type="dxa" w:w="80"/>
              <w:right w:type="dxa" w:w="100"/>
            </w:tcMar>
            <w:vAlign w:val="center"/>
          </w:tcPr>
          <w:p>
            <w:r>
              <w:rPr>
                <w:b/>
                <w:bCs/>
                <w:color w:val="FFFFFF"/>
                <w:sz w:val="20"/>
                <w:szCs w:val="20"/>
              </w:rPr>
              <w:t xml:space="preserve">Dirección</w:t>
            </w:r>
          </w:p>
        </w:tc>
        <w:tc>
          <w:tcPr>
            <w:tcW w:type="dxa" w:w="2200"/>
            <w:shd w:fill="1F3864" w:color="auto" w:val="clear"/>
            <w:tcMar>
              <w:top w:type="dxa" w:w="80"/>
              <w:left w:type="dxa" w:w="100"/>
              <w:bottom w:type="dxa" w:w="80"/>
              <w:right w:type="dxa" w:w="100"/>
            </w:tcMar>
            <w:vAlign w:val="center"/>
          </w:tcPr>
          <w:p>
            <w:r>
              <w:rPr>
                <w:b/>
                <w:bCs/>
                <w:color w:val="FFFFFF"/>
                <w:sz w:val="20"/>
                <w:szCs w:val="20"/>
              </w:rPr>
              <w:t xml:space="preserve">Origen</w:t>
            </w:r>
          </w:p>
        </w:tc>
        <w:tc>
          <w:tcPr>
            <w:tcW w:type="dxa" w:w="1600"/>
            <w:shd w:fill="1F3864" w:color="auto" w:val="clear"/>
            <w:tcMar>
              <w:top w:type="dxa" w:w="80"/>
              <w:left w:type="dxa" w:w="100"/>
              <w:bottom w:type="dxa" w:w="80"/>
              <w:right w:type="dxa" w:w="100"/>
            </w:tcMar>
            <w:vAlign w:val="center"/>
          </w:tcPr>
          <w:p>
            <w:r>
              <w:rPr>
                <w:b/>
                <w:bCs/>
                <w:color w:val="FFFFFF"/>
                <w:sz w:val="20"/>
                <w:szCs w:val="20"/>
              </w:rPr>
              <w:t xml:space="preserve">Destino</w:t>
            </w:r>
          </w:p>
        </w:tc>
        <w:tc>
          <w:tcPr>
            <w:tcW w:type="dxa" w:w="1800"/>
            <w:shd w:fill="1F3864" w:color="auto" w:val="clear"/>
            <w:tcMar>
              <w:top w:type="dxa" w:w="80"/>
              <w:left w:type="dxa" w:w="100"/>
              <w:bottom w:type="dxa" w:w="80"/>
              <w:right w:type="dxa" w:w="100"/>
            </w:tcMar>
            <w:vAlign w:val="center"/>
          </w:tcPr>
          <w:p>
            <w:r>
              <w:rPr>
                <w:b/>
                <w:bCs/>
                <w:color w:val="FFFFFF"/>
                <w:sz w:val="20"/>
                <w:szCs w:val="20"/>
              </w:rPr>
              <w:t xml:space="preserve">Puerto</w:t>
            </w:r>
          </w:p>
        </w:tc>
        <w:tc>
          <w:tcPr>
            <w:tcW w:type="dxa" w:w="1600"/>
            <w:shd w:fill="1F3864" w:color="auto" w:val="clear"/>
            <w:tcMar>
              <w:top w:type="dxa" w:w="80"/>
              <w:left w:type="dxa" w:w="100"/>
              <w:bottom w:type="dxa" w:w="80"/>
              <w:right w:type="dxa" w:w="100"/>
            </w:tcMar>
            <w:vAlign w:val="center"/>
          </w:tcPr>
          <w:p>
            <w:r>
              <w:rPr>
                <w:b/>
                <w:bCs/>
                <w:color w:val="FFFFFF"/>
                <w:sz w:val="20"/>
                <w:szCs w:val="20"/>
              </w:rPr>
              <w:t xml:space="preserve">Acción</w:t>
            </w:r>
          </w:p>
        </w:tc>
      </w:tr>
      <w:tr>
        <w:tc>
          <w:tcPr>
            <w:tcW w:type="dxa" w:w="2200"/>
            <w:shd w:fill="FFFFFF" w:color="auto" w:val="clear"/>
            <w:tcMar>
              <w:top w:type="dxa" w:w="80"/>
              <w:left w:type="dxa" w:w="100"/>
              <w:bottom w:type="dxa" w:w="80"/>
              <w:right w:type="dxa" w:w="100"/>
            </w:tcMar>
            <w:vAlign w:val="center"/>
          </w:tcPr>
          <w:p>
            <w:r>
              <w:rPr>
                <w:b w:val="false"/>
                <w:bCs w:val="false"/>
                <w:color w:val="000000"/>
                <w:sz w:val="20"/>
                <w:szCs w:val="20"/>
              </w:rPr>
              <w:t xml:space="preserve">Subnet-AppIntegration</w:t>
            </w:r>
          </w:p>
        </w:tc>
        <w:tc>
          <w:tcPr>
            <w:tcW w:type="dxa" w:w="2400"/>
            <w:shd w:fill="FFFFFF" w:color="auto" w:val="clear"/>
            <w:tcMar>
              <w:top w:type="dxa" w:w="80"/>
              <w:left w:type="dxa" w:w="100"/>
              <w:bottom w:type="dxa" w:w="80"/>
              <w:right w:type="dxa" w:w="100"/>
            </w:tcMar>
            <w:vAlign w:val="center"/>
          </w:tcPr>
          <w:p>
            <w:r>
              <w:rPr>
                <w:b w:val="false"/>
                <w:bCs w:val="false"/>
                <w:color w:val="000000"/>
                <w:sz w:val="20"/>
                <w:szCs w:val="20"/>
              </w:rPr>
              <w:t xml:space="preserve">Permitir salida a DB</w:t>
            </w:r>
          </w:p>
        </w:tc>
        <w:tc>
          <w:tcPr>
            <w:tcW w:type="dxa" w:w="1400"/>
            <w:shd w:fill="FFFFFF" w:color="auto" w:val="clear"/>
            <w:tcMar>
              <w:top w:type="dxa" w:w="80"/>
              <w:left w:type="dxa" w:w="100"/>
              <w:bottom w:type="dxa" w:w="80"/>
              <w:right w:type="dxa" w:w="100"/>
            </w:tcMar>
            <w:vAlign w:val="center"/>
          </w:tcPr>
          <w:p>
            <w:r>
              <w:rPr>
                <w:b w:val="false"/>
                <w:bCs w:val="false"/>
                <w:color w:val="000000"/>
                <w:sz w:val="20"/>
                <w:szCs w:val="20"/>
              </w:rPr>
              <w:t xml:space="preserve">Outbound</w:t>
            </w:r>
          </w:p>
        </w:tc>
        <w:tc>
          <w:tcPr>
            <w:tcW w:type="dxa" w:w="2200"/>
            <w:shd w:fill="FFFFFF" w:color="auto" w:val="clear"/>
            <w:tcMar>
              <w:top w:type="dxa" w:w="80"/>
              <w:left w:type="dxa" w:w="100"/>
              <w:bottom w:type="dxa" w:w="80"/>
              <w:right w:type="dxa" w:w="100"/>
            </w:tcMar>
            <w:vAlign w:val="center"/>
          </w:tcPr>
          <w:p>
            <w:r>
              <w:rPr>
                <w:b w:val="false"/>
                <w:bCs w:val="false"/>
                <w:color w:val="000000"/>
                <w:sz w:val="20"/>
                <w:szCs w:val="20"/>
              </w:rPr>
              <w:t xml:space="preserve">Subnet-AppIntegration</w:t>
            </w:r>
          </w:p>
        </w:tc>
        <w:tc>
          <w:tcPr>
            <w:tcW w:type="dxa" w:w="1600"/>
            <w:shd w:fill="FFFFFF" w:color="auto" w:val="clear"/>
            <w:tcMar>
              <w:top w:type="dxa" w:w="80"/>
              <w:left w:type="dxa" w:w="100"/>
              <w:bottom w:type="dxa" w:w="80"/>
              <w:right w:type="dxa" w:w="100"/>
            </w:tcMar>
            <w:vAlign w:val="center"/>
          </w:tcPr>
          <w:p>
            <w:r>
              <w:rPr>
                <w:b w:val="false"/>
                <w:bCs w:val="false"/>
                <w:color w:val="000000"/>
                <w:sz w:val="20"/>
                <w:szCs w:val="20"/>
              </w:rPr>
              <w:t xml:space="preserve">Subnet-DB</w:t>
            </w:r>
          </w:p>
        </w:tc>
        <w:tc>
          <w:tcPr>
            <w:tcW w:type="dxa" w:w="1800"/>
            <w:shd w:fill="FFFFFF" w:color="auto" w:val="clear"/>
            <w:tcMar>
              <w:top w:type="dxa" w:w="80"/>
              <w:left w:type="dxa" w:w="100"/>
              <w:bottom w:type="dxa" w:w="80"/>
              <w:right w:type="dxa" w:w="100"/>
            </w:tcMar>
            <w:vAlign w:val="center"/>
          </w:tcPr>
          <w:p>
            <w:r>
              <w:rPr>
                <w:b w:val="false"/>
                <w:bCs w:val="false"/>
                <w:color w:val="000000"/>
                <w:sz w:val="20"/>
                <w:szCs w:val="20"/>
              </w:rPr>
              <w:t xml:space="preserve">Según motor (ej. 1433)</w:t>
            </w:r>
          </w:p>
        </w:tc>
        <w:tc>
          <w:tcPr>
            <w:tcW w:type="dxa" w:w="1600"/>
            <w:shd w:fill="FFFFFF" w:color="auto" w:val="clear"/>
            <w:tcMar>
              <w:top w:type="dxa" w:w="80"/>
              <w:left w:type="dxa" w:w="100"/>
              <w:bottom w:type="dxa" w:w="80"/>
              <w:right w:type="dxa" w:w="100"/>
            </w:tcMar>
            <w:vAlign w:val="center"/>
          </w:tcPr>
          <w:p>
            <w:r>
              <w:rPr>
                <w:b w:val="false"/>
                <w:bCs w:val="false"/>
                <w:color w:val="000000"/>
                <w:sz w:val="20"/>
                <w:szCs w:val="20"/>
              </w:rPr>
              <w:t xml:space="preserve">Allow</w:t>
            </w:r>
          </w:p>
        </w:tc>
      </w:tr>
      <w:tr>
        <w:tc>
          <w:tcPr>
            <w:tcW w:type="dxa" w:w="2200"/>
            <w:shd w:fill="F2F2F2" w:color="auto" w:val="clear"/>
            <w:tcMar>
              <w:top w:type="dxa" w:w="80"/>
              <w:left w:type="dxa" w:w="100"/>
              <w:bottom w:type="dxa" w:w="80"/>
              <w:right w:type="dxa" w:w="100"/>
            </w:tcMar>
            <w:vAlign w:val="center"/>
          </w:tcPr>
          <w:p>
            <w:r>
              <w:rPr>
                <w:b w:val="false"/>
                <w:bCs w:val="false"/>
                <w:color w:val="000000"/>
                <w:sz w:val="20"/>
                <w:szCs w:val="20"/>
              </w:rPr>
              <w:t xml:space="preserve">Subnet-AppIntegration</w:t>
            </w:r>
          </w:p>
        </w:tc>
        <w:tc>
          <w:tcPr>
            <w:tcW w:type="dxa" w:w="2400"/>
            <w:shd w:fill="F2F2F2" w:color="auto" w:val="clear"/>
            <w:tcMar>
              <w:top w:type="dxa" w:w="80"/>
              <w:left w:type="dxa" w:w="100"/>
              <w:bottom w:type="dxa" w:w="80"/>
              <w:right w:type="dxa" w:w="100"/>
            </w:tcMar>
            <w:vAlign w:val="center"/>
          </w:tcPr>
          <w:p>
            <w:r>
              <w:rPr>
                <w:b w:val="false"/>
                <w:bCs w:val="false"/>
                <w:color w:val="000000"/>
                <w:sz w:val="20"/>
                <w:szCs w:val="20"/>
              </w:rPr>
              <w:t xml:space="preserve">Denegar el resto</w:t>
            </w:r>
          </w:p>
        </w:tc>
        <w:tc>
          <w:tcPr>
            <w:tcW w:type="dxa" w:w="1400"/>
            <w:shd w:fill="F2F2F2" w:color="auto" w:val="clear"/>
            <w:tcMar>
              <w:top w:type="dxa" w:w="80"/>
              <w:left w:type="dxa" w:w="100"/>
              <w:bottom w:type="dxa" w:w="80"/>
              <w:right w:type="dxa" w:w="100"/>
            </w:tcMar>
            <w:vAlign w:val="center"/>
          </w:tcPr>
          <w:p>
            <w:r>
              <w:rPr>
                <w:b w:val="false"/>
                <w:bCs w:val="false"/>
                <w:color w:val="000000"/>
                <w:sz w:val="20"/>
                <w:szCs w:val="20"/>
              </w:rPr>
              <w:t xml:space="preserve">Outbound</w:t>
            </w:r>
          </w:p>
        </w:tc>
        <w:tc>
          <w:tcPr>
            <w:tcW w:type="dxa" w:w="2200"/>
            <w:shd w:fill="F2F2F2" w:color="auto" w:val="clear"/>
            <w:tcMar>
              <w:top w:type="dxa" w:w="80"/>
              <w:left w:type="dxa" w:w="100"/>
              <w:bottom w:type="dxa" w:w="80"/>
              <w:right w:type="dxa" w:w="100"/>
            </w:tcMar>
            <w:vAlign w:val="center"/>
          </w:tcPr>
          <w:p>
            <w:r>
              <w:rPr>
                <w:b w:val="false"/>
                <w:bCs w:val="false"/>
                <w:color w:val="000000"/>
                <w:sz w:val="20"/>
                <w:szCs w:val="20"/>
              </w:rPr>
              <w:t xml:space="preserve">Any</w:t>
            </w:r>
          </w:p>
        </w:tc>
        <w:tc>
          <w:tcPr>
            <w:tcW w:type="dxa" w:w="1600"/>
            <w:shd w:fill="F2F2F2" w:color="auto" w:val="clear"/>
            <w:tcMar>
              <w:top w:type="dxa" w:w="80"/>
              <w:left w:type="dxa" w:w="100"/>
              <w:bottom w:type="dxa" w:w="80"/>
              <w:right w:type="dxa" w:w="100"/>
            </w:tcMar>
            <w:vAlign w:val="center"/>
          </w:tcPr>
          <w:p>
            <w:r>
              <w:rPr>
                <w:b w:val="false"/>
                <w:bCs w:val="false"/>
                <w:color w:val="000000"/>
                <w:sz w:val="20"/>
                <w:szCs w:val="20"/>
              </w:rPr>
              <w:t xml:space="preserve">Any</w:t>
            </w:r>
          </w:p>
        </w:tc>
        <w:tc>
          <w:tcPr>
            <w:tcW w:type="dxa" w:w="1800"/>
            <w:shd w:fill="F2F2F2" w:color="auto" w:val="clear"/>
            <w:tcMar>
              <w:top w:type="dxa" w:w="80"/>
              <w:left w:type="dxa" w:w="100"/>
              <w:bottom w:type="dxa" w:w="80"/>
              <w:right w:type="dxa" w:w="100"/>
            </w:tcMar>
            <w:vAlign w:val="center"/>
          </w:tcPr>
          <w:p>
            <w:r>
              <w:rPr>
                <w:b w:val="false"/>
                <w:bCs w:val="false"/>
                <w:color w:val="000000"/>
                <w:sz w:val="20"/>
                <w:szCs w:val="20"/>
              </w:rPr>
              <w:t xml:space="preserve">*</w:t>
            </w:r>
          </w:p>
        </w:tc>
        <w:tc>
          <w:tcPr>
            <w:tcW w:type="dxa" w:w="1600"/>
            <w:shd w:fill="F2F2F2" w:color="auto" w:val="clear"/>
            <w:tcMar>
              <w:top w:type="dxa" w:w="80"/>
              <w:left w:type="dxa" w:w="100"/>
              <w:bottom w:type="dxa" w:w="80"/>
              <w:right w:type="dxa" w:w="100"/>
            </w:tcMar>
            <w:vAlign w:val="center"/>
          </w:tcPr>
          <w:p>
            <w:r>
              <w:rPr>
                <w:b w:val="false"/>
                <w:bCs w:val="false"/>
                <w:color w:val="000000"/>
                <w:sz w:val="20"/>
                <w:szCs w:val="20"/>
              </w:rPr>
              <w:t xml:space="preserve">Deny (regla de baja prioridad)</w:t>
            </w:r>
          </w:p>
        </w:tc>
      </w:tr>
      <w:tr>
        <w:tc>
          <w:tcPr>
            <w:tcW w:type="dxa" w:w="2200"/>
            <w:shd w:fill="FFFFFF" w:color="auto" w:val="clear"/>
            <w:tcMar>
              <w:top w:type="dxa" w:w="80"/>
              <w:left w:type="dxa" w:w="100"/>
              <w:bottom w:type="dxa" w:w="80"/>
              <w:right w:type="dxa" w:w="100"/>
            </w:tcMar>
            <w:vAlign w:val="center"/>
          </w:tcPr>
          <w:p>
            <w:r>
              <w:rPr>
                <w:b w:val="false"/>
                <w:bCs w:val="false"/>
                <w:color w:val="000000"/>
                <w:sz w:val="20"/>
                <w:szCs w:val="20"/>
              </w:rPr>
              <w:t xml:space="preserve">Subnet-DB</w:t>
            </w:r>
          </w:p>
        </w:tc>
        <w:tc>
          <w:tcPr>
            <w:tcW w:type="dxa" w:w="2400"/>
            <w:shd w:fill="FFFFFF" w:color="auto" w:val="clear"/>
            <w:tcMar>
              <w:top w:type="dxa" w:w="80"/>
              <w:left w:type="dxa" w:w="100"/>
              <w:bottom w:type="dxa" w:w="80"/>
              <w:right w:type="dxa" w:w="100"/>
            </w:tcMar>
            <w:vAlign w:val="center"/>
          </w:tcPr>
          <w:p>
            <w:r>
              <w:rPr>
                <w:b w:val="false"/>
                <w:bCs w:val="false"/>
                <w:color w:val="000000"/>
                <w:sz w:val="20"/>
                <w:szCs w:val="20"/>
              </w:rPr>
              <w:t xml:space="preserve">Permitir entrada desde App</w:t>
            </w:r>
          </w:p>
        </w:tc>
        <w:tc>
          <w:tcPr>
            <w:tcW w:type="dxa" w:w="1400"/>
            <w:shd w:fill="FFFFFF" w:color="auto" w:val="clear"/>
            <w:tcMar>
              <w:top w:type="dxa" w:w="80"/>
              <w:left w:type="dxa" w:w="100"/>
              <w:bottom w:type="dxa" w:w="80"/>
              <w:right w:type="dxa" w:w="100"/>
            </w:tcMar>
            <w:vAlign w:val="center"/>
          </w:tcPr>
          <w:p>
            <w:r>
              <w:rPr>
                <w:b w:val="false"/>
                <w:bCs w:val="false"/>
                <w:color w:val="000000"/>
                <w:sz w:val="20"/>
                <w:szCs w:val="20"/>
              </w:rPr>
              <w:t xml:space="preserve">Inbound</w:t>
            </w:r>
          </w:p>
        </w:tc>
        <w:tc>
          <w:tcPr>
            <w:tcW w:type="dxa" w:w="2200"/>
            <w:shd w:fill="FFFFFF" w:color="auto" w:val="clear"/>
            <w:tcMar>
              <w:top w:type="dxa" w:w="80"/>
              <w:left w:type="dxa" w:w="100"/>
              <w:bottom w:type="dxa" w:w="80"/>
              <w:right w:type="dxa" w:w="100"/>
            </w:tcMar>
            <w:vAlign w:val="center"/>
          </w:tcPr>
          <w:p>
            <w:r>
              <w:rPr>
                <w:b w:val="false"/>
                <w:bCs w:val="false"/>
                <w:color w:val="000000"/>
                <w:sz w:val="20"/>
                <w:szCs w:val="20"/>
              </w:rPr>
              <w:t xml:space="preserve">Subnet-AppIntegration</w:t>
            </w:r>
          </w:p>
        </w:tc>
        <w:tc>
          <w:tcPr>
            <w:tcW w:type="dxa" w:w="1600"/>
            <w:shd w:fill="FFFFFF" w:color="auto" w:val="clear"/>
            <w:tcMar>
              <w:top w:type="dxa" w:w="80"/>
              <w:left w:type="dxa" w:w="100"/>
              <w:bottom w:type="dxa" w:w="80"/>
              <w:right w:type="dxa" w:w="100"/>
            </w:tcMar>
            <w:vAlign w:val="center"/>
          </w:tcPr>
          <w:p>
            <w:r>
              <w:rPr>
                <w:b w:val="false"/>
                <w:bCs w:val="false"/>
                <w:color w:val="000000"/>
                <w:sz w:val="20"/>
                <w:szCs w:val="20"/>
              </w:rPr>
              <w:t xml:space="preserve">Subnet-DB</w:t>
            </w:r>
          </w:p>
        </w:tc>
        <w:tc>
          <w:tcPr>
            <w:tcW w:type="dxa" w:w="1800"/>
            <w:shd w:fill="FFFFFF" w:color="auto" w:val="clear"/>
            <w:tcMar>
              <w:top w:type="dxa" w:w="80"/>
              <w:left w:type="dxa" w:w="100"/>
              <w:bottom w:type="dxa" w:w="80"/>
              <w:right w:type="dxa" w:w="100"/>
            </w:tcMar>
            <w:vAlign w:val="center"/>
          </w:tcPr>
          <w:p>
            <w:r>
              <w:rPr>
                <w:b w:val="false"/>
                <w:bCs w:val="false"/>
                <w:color w:val="000000"/>
                <w:sz w:val="20"/>
                <w:szCs w:val="20"/>
              </w:rPr>
              <w:t xml:space="preserve">Según motor (ej. 1433)</w:t>
            </w:r>
          </w:p>
        </w:tc>
        <w:tc>
          <w:tcPr>
            <w:tcW w:type="dxa" w:w="1600"/>
            <w:shd w:fill="FFFFFF" w:color="auto" w:val="clear"/>
            <w:tcMar>
              <w:top w:type="dxa" w:w="80"/>
              <w:left w:type="dxa" w:w="100"/>
              <w:bottom w:type="dxa" w:w="80"/>
              <w:right w:type="dxa" w:w="100"/>
            </w:tcMar>
            <w:vAlign w:val="center"/>
          </w:tcPr>
          <w:p>
            <w:r>
              <w:rPr>
                <w:b w:val="false"/>
                <w:bCs w:val="false"/>
                <w:color w:val="000000"/>
                <w:sz w:val="20"/>
                <w:szCs w:val="20"/>
              </w:rPr>
              <w:t xml:space="preserve">Allow</w:t>
            </w:r>
          </w:p>
        </w:tc>
      </w:tr>
      <w:tr>
        <w:tc>
          <w:tcPr>
            <w:tcW w:type="dxa" w:w="2200"/>
            <w:shd w:fill="F2F2F2" w:color="auto" w:val="clear"/>
            <w:tcMar>
              <w:top w:type="dxa" w:w="80"/>
              <w:left w:type="dxa" w:w="100"/>
              <w:bottom w:type="dxa" w:w="80"/>
              <w:right w:type="dxa" w:w="100"/>
            </w:tcMar>
            <w:vAlign w:val="center"/>
          </w:tcPr>
          <w:p>
            <w:r>
              <w:rPr>
                <w:b w:val="false"/>
                <w:bCs w:val="false"/>
                <w:color w:val="000000"/>
                <w:sz w:val="20"/>
                <w:szCs w:val="20"/>
              </w:rPr>
              <w:t xml:space="preserve">Subnet-DB</w:t>
            </w:r>
          </w:p>
        </w:tc>
        <w:tc>
          <w:tcPr>
            <w:tcW w:type="dxa" w:w="2400"/>
            <w:shd w:fill="F2F2F2" w:color="auto" w:val="clear"/>
            <w:tcMar>
              <w:top w:type="dxa" w:w="80"/>
              <w:left w:type="dxa" w:w="100"/>
              <w:bottom w:type="dxa" w:w="80"/>
              <w:right w:type="dxa" w:w="100"/>
            </w:tcMar>
            <w:vAlign w:val="center"/>
          </w:tcPr>
          <w:p>
            <w:r>
              <w:rPr>
                <w:b w:val="false"/>
                <w:bCs w:val="false"/>
                <w:color w:val="000000"/>
                <w:sz w:val="20"/>
                <w:szCs w:val="20"/>
              </w:rPr>
              <w:t xml:space="preserve">Denegar el resto</w:t>
            </w:r>
          </w:p>
        </w:tc>
        <w:tc>
          <w:tcPr>
            <w:tcW w:type="dxa" w:w="1400"/>
            <w:shd w:fill="F2F2F2" w:color="auto" w:val="clear"/>
            <w:tcMar>
              <w:top w:type="dxa" w:w="80"/>
              <w:left w:type="dxa" w:w="100"/>
              <w:bottom w:type="dxa" w:w="80"/>
              <w:right w:type="dxa" w:w="100"/>
            </w:tcMar>
            <w:vAlign w:val="center"/>
          </w:tcPr>
          <w:p>
            <w:r>
              <w:rPr>
                <w:b w:val="false"/>
                <w:bCs w:val="false"/>
                <w:color w:val="000000"/>
                <w:sz w:val="20"/>
                <w:szCs w:val="20"/>
              </w:rPr>
              <w:t xml:space="preserve">Inbound</w:t>
            </w:r>
          </w:p>
        </w:tc>
        <w:tc>
          <w:tcPr>
            <w:tcW w:type="dxa" w:w="2200"/>
            <w:shd w:fill="F2F2F2" w:color="auto" w:val="clear"/>
            <w:tcMar>
              <w:top w:type="dxa" w:w="80"/>
              <w:left w:type="dxa" w:w="100"/>
              <w:bottom w:type="dxa" w:w="80"/>
              <w:right w:type="dxa" w:w="100"/>
            </w:tcMar>
            <w:vAlign w:val="center"/>
          </w:tcPr>
          <w:p>
            <w:r>
              <w:rPr>
                <w:b w:val="false"/>
                <w:bCs w:val="false"/>
                <w:color w:val="000000"/>
                <w:sz w:val="20"/>
                <w:szCs w:val="20"/>
              </w:rPr>
              <w:t xml:space="preserve">Any</w:t>
            </w:r>
          </w:p>
        </w:tc>
        <w:tc>
          <w:tcPr>
            <w:tcW w:type="dxa" w:w="1600"/>
            <w:shd w:fill="F2F2F2" w:color="auto" w:val="clear"/>
            <w:tcMar>
              <w:top w:type="dxa" w:w="80"/>
              <w:left w:type="dxa" w:w="100"/>
              <w:bottom w:type="dxa" w:w="80"/>
              <w:right w:type="dxa" w:w="100"/>
            </w:tcMar>
            <w:vAlign w:val="center"/>
          </w:tcPr>
          <w:p>
            <w:r>
              <w:rPr>
                <w:b w:val="false"/>
                <w:bCs w:val="false"/>
                <w:color w:val="000000"/>
                <w:sz w:val="20"/>
                <w:szCs w:val="20"/>
              </w:rPr>
              <w:t xml:space="preserve">Any</w:t>
            </w:r>
          </w:p>
        </w:tc>
        <w:tc>
          <w:tcPr>
            <w:tcW w:type="dxa" w:w="1800"/>
            <w:shd w:fill="F2F2F2" w:color="auto" w:val="clear"/>
            <w:tcMar>
              <w:top w:type="dxa" w:w="80"/>
              <w:left w:type="dxa" w:w="100"/>
              <w:bottom w:type="dxa" w:w="80"/>
              <w:right w:type="dxa" w:w="100"/>
            </w:tcMar>
            <w:vAlign w:val="center"/>
          </w:tcPr>
          <w:p>
            <w:r>
              <w:rPr>
                <w:b w:val="false"/>
                <w:bCs w:val="false"/>
                <w:color w:val="000000"/>
                <w:sz w:val="20"/>
                <w:szCs w:val="20"/>
              </w:rPr>
              <w:t xml:space="preserve">*</w:t>
            </w:r>
          </w:p>
        </w:tc>
        <w:tc>
          <w:tcPr>
            <w:tcW w:type="dxa" w:w="1600"/>
            <w:shd w:fill="F2F2F2" w:color="auto" w:val="clear"/>
            <w:tcMar>
              <w:top w:type="dxa" w:w="80"/>
              <w:left w:type="dxa" w:w="100"/>
              <w:bottom w:type="dxa" w:w="80"/>
              <w:right w:type="dxa" w:w="100"/>
            </w:tcMar>
            <w:vAlign w:val="center"/>
          </w:tcPr>
          <w:p>
            <w:r>
              <w:rPr>
                <w:b w:val="false"/>
                <w:bCs w:val="false"/>
                <w:color w:val="000000"/>
                <w:sz w:val="20"/>
                <w:szCs w:val="20"/>
              </w:rPr>
              <w:t xml:space="preserve">Deny (regla de baja prioridad)</w:t>
            </w:r>
          </w:p>
        </w:tc>
      </w:tr>
    </w:tbl>
    <w:p>
      <w:pPr>
        <w:pStyle w:val="Heading1"/>
        <w:spacing w:after="160" w:before="360"/>
      </w:pPr>
      <w:r>
        <w:t xml:space="preserve">8. Usuarios de Conexión</w:t>
      </w:r>
    </w:p>
    <w:p>
      <w:pPr>
        <w:pStyle w:val="ListParagraph"/>
        <w:numPr>
          <w:ilvl w:val="0"/>
          <w:numId w:val="2"/>
        </w:numPr>
        <w:spacing w:after="80"/>
      </w:pPr>
      <w:r>
        <w:t xml:space="preserve">Se recomienda usar un usuario de aplicación de mínimo privilegio (no administrador) para la conexión de la app hacia la base de datos, con permisos limitados a las operaciones que la aplicación realmente necesita (lectura/escritura sobre los esquemas correspondientes).</w:t>
      </w:r>
    </w:p>
    <w:p>
      <w:pPr>
        <w:pStyle w:val="ListParagraph"/>
        <w:numPr>
          <w:ilvl w:val="0"/>
          <w:numId w:val="2"/>
        </w:numPr>
        <w:spacing w:after="80"/>
      </w:pPr>
      <w:r>
        <w:t xml:space="preserve">Cuando el motor lo soporte, se recomienda usar Managed Identity del App Service + autenticación Azure AD hacia la base de datos, evitando almacenar usuario/contraseña en la configuración de la aplicación.</w:t>
      </w:r>
    </w:p>
    <w:p>
      <w:pPr>
        <w:pStyle w:val="ListParagraph"/>
        <w:numPr>
          <w:ilvl w:val="0"/>
          <w:numId w:val="2"/>
        </w:numPr>
        <w:spacing w:after="80"/>
      </w:pPr>
      <w:r>
        <w:t xml:space="preserve">Si se requiere usuario/contraseña tradicional, este debe almacenarse en Azure Key Vault y ser referenciado desde el App Service (App Settings con referencia a Key Vault), nunca en texto plano en el código o en el portal.</w:t>
      </w:r>
    </w:p>
    <w:p>
      <w:pPr>
        <w:pStyle w:val="ListParagraph"/>
        <w:numPr>
          <w:ilvl w:val="0"/>
          <w:numId w:val="2"/>
        </w:numPr>
        <w:spacing w:after="80"/>
      </w:pPr>
      <w:r>
        <w:t xml:space="preserve">Se debe definir con el cliente quién administrará la rotación de credenciales y con qué frecuencia.</w:t>
      </w:r>
    </w:p>
    <w:p>
      <w:pPr>
        <w:pStyle w:val="Heading1"/>
        <w:spacing w:after="160" w:before="360"/>
      </w:pPr>
      <w:r>
        <w:t xml:space="preserve">9. Supuestos</w:t>
      </w:r>
    </w:p>
    <w:p>
      <w:pPr>
        <w:pStyle w:val="ListParagraph"/>
        <w:numPr>
          <w:ilvl w:val="0"/>
          <w:numId w:val="2"/>
        </w:numPr>
        <w:spacing w:after="80"/>
      </w:pPr>
      <w:r>
        <w:t xml:space="preserve">El App Service y la futura base de datos se encuentran (o se crearán) dentro de la misma suscripción de Azure, o en suscripciones distintas dentro del mismo tenant de Azure AD (VNet Peering entre tenants distintos requiere pasos adicionales no cubiertos aquí).</w:t>
      </w:r>
    </w:p>
    <w:p>
      <w:pPr>
        <w:pStyle w:val="ListParagraph"/>
        <w:numPr>
          <w:ilvl w:val="0"/>
          <w:numId w:val="2"/>
        </w:numPr>
        <w:spacing w:after="80"/>
      </w:pPr>
      <w:r>
        <w:t xml:space="preserve">El App Service Plan actual ya es, o será actualizado a, un tier que soporta VNet Integration (Standard o superior).</w:t>
      </w:r>
    </w:p>
    <w:p>
      <w:pPr>
        <w:pStyle w:val="ListParagraph"/>
        <w:numPr>
          <w:ilvl w:val="0"/>
          <w:numId w:val="2"/>
        </w:numPr>
        <w:spacing w:after="80"/>
      </w:pPr>
      <w:r>
        <w:t xml:space="preserve">El cliente confirmará el motor exacto de base de datos a usar en Central US antes de iniciar la implementación (para ajustar puertos, Private DNS Zone y reglas de NSG).</w:t>
      </w:r>
    </w:p>
    <w:p>
      <w:pPr>
        <w:pStyle w:val="ListParagraph"/>
        <w:numPr>
          <w:ilvl w:val="0"/>
          <w:numId w:val="2"/>
        </w:numPr>
        <w:spacing w:after="80"/>
      </w:pPr>
      <w:r>
        <w:t xml:space="preserve">No existe, en esta fase, un requerimiento de conectividad hacia On-Premises; de existir, se evaluará como una fase adicional.</w:t>
      </w:r>
    </w:p>
    <w:p>
      <w:pPr>
        <w:pStyle w:val="ListParagraph"/>
        <w:numPr>
          <w:ilvl w:val="0"/>
          <w:numId w:val="2"/>
        </w:numPr>
        <w:spacing w:after="80"/>
      </w:pPr>
      <w:r>
        <w:t xml:space="preserve">El cliente cuenta con una persona con permisos de Owner/Contributor para otorgar los accesos RBAC necesarios al equipo de implementación.</w:t>
      </w:r>
    </w:p>
    <w:p>
      <w:pPr>
        <w:pStyle w:val="ListParagraph"/>
        <w:numPr>
          <w:ilvl w:val="0"/>
          <w:numId w:val="2"/>
        </w:numPr>
        <w:spacing w:after="80"/>
      </w:pPr>
      <w:r>
        <w:t xml:space="preserve">Los espacios de direccionamiento IP de ambas VNets no se traslapan (a validar antes de iniciar).</w:t>
      </w:r>
    </w:p>
    <w:p>
      <w:pPr>
        <w:pStyle w:val="ListParagraph"/>
        <w:numPr>
          <w:ilvl w:val="0"/>
          <w:numId w:val="2"/>
        </w:numPr>
        <w:spacing w:after="80"/>
      </w:pPr>
      <w:r>
        <w:t xml:space="preserve">Los costos estimados en la sección 12 serán validados y aprobados por el cliente antes de la implementación.</w:t>
      </w:r>
    </w:p>
    <w:p>
      <w:pPr>
        <w:pStyle w:val="Heading1"/>
        <w:spacing w:after="160" w:before="360"/>
      </w:pPr>
      <w:r>
        <w:t xml:space="preserve">10. Tiempos de Implementación (estimado)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3000"/>
      </w:tblGrid>
      <w:tr>
        <w:trPr>
          <w:tblHeader/>
        </w:trPr>
        <w:tc>
          <w:tcPr>
            <w:tcW w:type="dxa" w:w="4200"/>
            <w:shd w:fill="1F3864" w:color="auto" w:val="clear"/>
            <w:tcMar>
              <w:top w:type="dxa" w:w="80"/>
              <w:left w:type="dxa" w:w="100"/>
              <w:bottom w:type="dxa" w:w="80"/>
              <w:right w:type="dxa" w:w="100"/>
            </w:tcMar>
            <w:vAlign w:val="center"/>
          </w:tcPr>
          <w:p>
            <w:r>
              <w:rPr>
                <w:b/>
                <w:bCs/>
                <w:color w:val="FFFFFF"/>
                <w:sz w:val="20"/>
                <w:szCs w:val="20"/>
              </w:rPr>
              <w:t xml:space="preserve">Actividad</w:t>
            </w:r>
          </w:p>
        </w:tc>
        <w:tc>
          <w:tcPr>
            <w:tcW w:type="dxa" w:w="2200"/>
            <w:shd w:fill="1F3864" w:color="auto" w:val="clear"/>
            <w:tcMar>
              <w:top w:type="dxa" w:w="80"/>
              <w:left w:type="dxa" w:w="100"/>
              <w:bottom w:type="dxa" w:w="80"/>
              <w:right w:type="dxa" w:w="100"/>
            </w:tcMar>
            <w:vAlign w:val="center"/>
          </w:tcPr>
          <w:p>
            <w:r>
              <w:rPr>
                <w:b/>
                <w:bCs/>
                <w:color w:val="FFFFFF"/>
                <w:sz w:val="20"/>
                <w:szCs w:val="20"/>
              </w:rPr>
              <w:t xml:space="preserve">Duración estimada</w:t>
            </w:r>
          </w:p>
        </w:tc>
        <w:tc>
          <w:tcPr>
            <w:tcW w:type="dxa" w:w="3000"/>
            <w:shd w:fill="1F3864" w:color="auto" w:val="clear"/>
            <w:tcMar>
              <w:top w:type="dxa" w:w="80"/>
              <w:left w:type="dxa" w:w="100"/>
              <w:bottom w:type="dxa" w:w="80"/>
              <w:right w:type="dxa" w:w="100"/>
            </w:tcMar>
            <w:vAlign w:val="center"/>
          </w:tcPr>
          <w:p>
            <w:r>
              <w:rPr>
                <w:b/>
                <w:bCs/>
                <w:color w:val="FFFFFF"/>
                <w:sz w:val="20"/>
                <w:szCs w:val="20"/>
              </w:rPr>
              <w:t xml:space="preserve">Entregable</w:t>
            </w:r>
          </w:p>
        </w:tc>
      </w:tr>
      <w:tr>
        <w:tc>
          <w:tcPr>
            <w:tcW w:type="dxa" w:w="4200"/>
            <w:shd w:fill="FFFFFF" w:color="auto" w:val="clear"/>
            <w:tcMar>
              <w:top w:type="dxa" w:w="80"/>
              <w:left w:type="dxa" w:w="100"/>
              <w:bottom w:type="dxa" w:w="80"/>
              <w:right w:type="dxa" w:w="100"/>
            </w:tcMar>
            <w:vAlign w:val="center"/>
          </w:tcPr>
          <w:p>
            <w:r>
              <w:rPr>
                <w:b w:val="false"/>
                <w:bCs w:val="false"/>
                <w:color w:val="000000"/>
                <w:sz w:val="20"/>
                <w:szCs w:val="20"/>
              </w:rPr>
              <w:t xml:space="preserve">Kickoff y validación de supuestos/requerimientos</w:t>
            </w:r>
          </w:p>
        </w:tc>
        <w:tc>
          <w:tcPr>
            <w:tcW w:type="dxa" w:w="2200"/>
            <w:shd w:fill="FFFFFF" w:color="auto" w:val="clear"/>
            <w:tcMar>
              <w:top w:type="dxa" w:w="80"/>
              <w:left w:type="dxa" w:w="100"/>
              <w:bottom w:type="dxa" w:w="80"/>
              <w:right w:type="dxa" w:w="100"/>
            </w:tcMar>
            <w:vAlign w:val="center"/>
          </w:tcPr>
          <w:p>
            <w:r>
              <w:rPr>
                <w:b w:val="false"/>
                <w:bCs w:val="false"/>
                <w:color w:val="000000"/>
                <w:sz w:val="20"/>
                <w:szCs w:val="20"/>
              </w:rPr>
              <w:t xml:space="preserve">0.5 día</w:t>
            </w:r>
          </w:p>
        </w:tc>
        <w:tc>
          <w:tcPr>
            <w:tcW w:type="dxa" w:w="3000"/>
            <w:shd w:fill="FFFFFF" w:color="auto" w:val="clear"/>
            <w:tcMar>
              <w:top w:type="dxa" w:w="80"/>
              <w:left w:type="dxa" w:w="100"/>
              <w:bottom w:type="dxa" w:w="80"/>
              <w:right w:type="dxa" w:w="100"/>
            </w:tcMar>
            <w:vAlign w:val="center"/>
          </w:tcPr>
          <w:p>
            <w:r>
              <w:rPr>
                <w:b w:val="false"/>
                <w:bCs w:val="false"/>
                <w:color w:val="000000"/>
                <w:sz w:val="20"/>
                <w:szCs w:val="20"/>
              </w:rPr>
              <w:t xml:space="preserve">Checklist de prerrequisitos validado</w:t>
            </w:r>
          </w:p>
        </w:tc>
      </w:tr>
      <w:tr>
        <w:tc>
          <w:tcPr>
            <w:tcW w:type="dxa" w:w="4200"/>
            <w:shd w:fill="F2F2F2" w:color="auto" w:val="clear"/>
            <w:tcMar>
              <w:top w:type="dxa" w:w="80"/>
              <w:left w:type="dxa" w:w="100"/>
              <w:bottom w:type="dxa" w:w="80"/>
              <w:right w:type="dxa" w:w="100"/>
            </w:tcMar>
            <w:vAlign w:val="center"/>
          </w:tcPr>
          <w:p>
            <w:r>
              <w:rPr>
                <w:b w:val="false"/>
                <w:bCs w:val="false"/>
                <w:color w:val="000000"/>
                <w:sz w:val="20"/>
                <w:szCs w:val="20"/>
              </w:rPr>
              <w:t xml:space="preserve">Diseño detallado (direccionamiento IP, nombres, RG)</w:t>
            </w:r>
          </w:p>
        </w:tc>
        <w:tc>
          <w:tcPr>
            <w:tcW w:type="dxa" w:w="2200"/>
            <w:shd w:fill="F2F2F2" w:color="auto" w:val="clear"/>
            <w:tcMar>
              <w:top w:type="dxa" w:w="80"/>
              <w:left w:type="dxa" w:w="100"/>
              <w:bottom w:type="dxa" w:w="80"/>
              <w:right w:type="dxa" w:w="100"/>
            </w:tcMar>
            <w:vAlign w:val="center"/>
          </w:tcPr>
          <w:p>
            <w:r>
              <w:rPr>
                <w:b w:val="false"/>
                <w:bCs w:val="false"/>
                <w:color w:val="000000"/>
                <w:sz w:val="20"/>
                <w:szCs w:val="20"/>
              </w:rPr>
              <w:t xml:space="preserve">1 día</w:t>
            </w:r>
          </w:p>
        </w:tc>
        <w:tc>
          <w:tcPr>
            <w:tcW w:type="dxa" w:w="3000"/>
            <w:shd w:fill="F2F2F2" w:color="auto" w:val="clear"/>
            <w:tcMar>
              <w:top w:type="dxa" w:w="80"/>
              <w:left w:type="dxa" w:w="100"/>
              <w:bottom w:type="dxa" w:w="80"/>
              <w:right w:type="dxa" w:w="100"/>
            </w:tcMar>
            <w:vAlign w:val="center"/>
          </w:tcPr>
          <w:p>
            <w:r>
              <w:rPr>
                <w:b w:val="false"/>
                <w:bCs w:val="false"/>
                <w:color w:val="000000"/>
                <w:sz w:val="20"/>
                <w:szCs w:val="20"/>
              </w:rPr>
              <w:t xml:space="preserve">Documento de diseño (LLD)</w:t>
            </w:r>
          </w:p>
        </w:tc>
      </w:tr>
      <w:tr>
        <w:tc>
          <w:tcPr>
            <w:tcW w:type="dxa" w:w="4200"/>
            <w:shd w:fill="FFFFFF" w:color="auto" w:val="clear"/>
            <w:tcMar>
              <w:top w:type="dxa" w:w="80"/>
              <w:left w:type="dxa" w:w="100"/>
              <w:bottom w:type="dxa" w:w="80"/>
              <w:right w:type="dxa" w:w="100"/>
            </w:tcMar>
            <w:vAlign w:val="center"/>
          </w:tcPr>
          <w:p>
            <w:r>
              <w:rPr>
                <w:b w:val="false"/>
                <w:bCs w:val="false"/>
                <w:color w:val="000000"/>
                <w:sz w:val="20"/>
                <w:szCs w:val="20"/>
              </w:rPr>
              <w:t xml:space="preserve">Creación/adecuación de VNets y subnets</w:t>
            </w:r>
          </w:p>
        </w:tc>
        <w:tc>
          <w:tcPr>
            <w:tcW w:type="dxa" w:w="2200"/>
            <w:shd w:fill="FFFFFF" w:color="auto" w:val="clear"/>
            <w:tcMar>
              <w:top w:type="dxa" w:w="80"/>
              <w:left w:type="dxa" w:w="100"/>
              <w:bottom w:type="dxa" w:w="80"/>
              <w:right w:type="dxa" w:w="100"/>
            </w:tcMar>
            <w:vAlign w:val="center"/>
          </w:tcPr>
          <w:p>
            <w:r>
              <w:rPr>
                <w:b w:val="false"/>
                <w:bCs w:val="false"/>
                <w:color w:val="000000"/>
                <w:sz w:val="20"/>
                <w:szCs w:val="20"/>
              </w:rPr>
              <w:t xml:space="preserve">0.5 día</w:t>
            </w:r>
          </w:p>
        </w:tc>
        <w:tc>
          <w:tcPr>
            <w:tcW w:type="dxa" w:w="3000"/>
            <w:shd w:fill="FFFFFF" w:color="auto" w:val="clear"/>
            <w:tcMar>
              <w:top w:type="dxa" w:w="80"/>
              <w:left w:type="dxa" w:w="100"/>
              <w:bottom w:type="dxa" w:w="80"/>
              <w:right w:type="dxa" w:w="100"/>
            </w:tcMar>
            <w:vAlign w:val="center"/>
          </w:tcPr>
          <w:p>
            <w:r>
              <w:rPr>
                <w:b w:val="false"/>
                <w:bCs w:val="false"/>
                <w:color w:val="000000"/>
                <w:sz w:val="20"/>
                <w:szCs w:val="20"/>
              </w:rPr>
              <w:t xml:space="preserve">VNets y subnets desplegados</w:t>
            </w:r>
          </w:p>
        </w:tc>
      </w:tr>
      <w:tr>
        <w:tc>
          <w:tcPr>
            <w:tcW w:type="dxa" w:w="4200"/>
            <w:shd w:fill="F2F2F2" w:color="auto" w:val="clear"/>
            <w:tcMar>
              <w:top w:type="dxa" w:w="80"/>
              <w:left w:type="dxa" w:w="100"/>
              <w:bottom w:type="dxa" w:w="80"/>
              <w:right w:type="dxa" w:w="100"/>
            </w:tcMar>
            <w:vAlign w:val="center"/>
          </w:tcPr>
          <w:p>
            <w:r>
              <w:rPr>
                <w:b w:val="false"/>
                <w:bCs w:val="false"/>
                <w:color w:val="000000"/>
                <w:sz w:val="20"/>
                <w:szCs w:val="20"/>
              </w:rPr>
              <w:t xml:space="preserve">Configuración de Global VNet Peering</w:t>
            </w:r>
          </w:p>
        </w:tc>
        <w:tc>
          <w:tcPr>
            <w:tcW w:type="dxa" w:w="2200"/>
            <w:shd w:fill="F2F2F2" w:color="auto" w:val="clear"/>
            <w:tcMar>
              <w:top w:type="dxa" w:w="80"/>
              <w:left w:type="dxa" w:w="100"/>
              <w:bottom w:type="dxa" w:w="80"/>
              <w:right w:type="dxa" w:w="100"/>
            </w:tcMar>
            <w:vAlign w:val="center"/>
          </w:tcPr>
          <w:p>
            <w:r>
              <w:rPr>
                <w:b w:val="false"/>
                <w:bCs w:val="false"/>
                <w:color w:val="000000"/>
                <w:sz w:val="20"/>
                <w:szCs w:val="20"/>
              </w:rPr>
              <w:t xml:space="preserve">0.5 día</w:t>
            </w:r>
          </w:p>
        </w:tc>
        <w:tc>
          <w:tcPr>
            <w:tcW w:type="dxa" w:w="3000"/>
            <w:shd w:fill="F2F2F2" w:color="auto" w:val="clear"/>
            <w:tcMar>
              <w:top w:type="dxa" w:w="80"/>
              <w:left w:type="dxa" w:w="100"/>
              <w:bottom w:type="dxa" w:w="80"/>
              <w:right w:type="dxa" w:w="100"/>
            </w:tcMar>
            <w:vAlign w:val="center"/>
          </w:tcPr>
          <w:p>
            <w:r>
              <w:rPr>
                <w:b w:val="false"/>
                <w:bCs w:val="false"/>
                <w:color w:val="000000"/>
                <w:sz w:val="20"/>
                <w:szCs w:val="20"/>
              </w:rPr>
              <w:t xml:space="preserve">Peering activo y validado (estado 'Connected')</w:t>
            </w:r>
          </w:p>
        </w:tc>
      </w:tr>
      <w:tr>
        <w:tc>
          <w:tcPr>
            <w:tcW w:type="dxa" w:w="4200"/>
            <w:shd w:fill="FFFFFF" w:color="auto" w:val="clear"/>
            <w:tcMar>
              <w:top w:type="dxa" w:w="80"/>
              <w:left w:type="dxa" w:w="100"/>
              <w:bottom w:type="dxa" w:w="80"/>
              <w:right w:type="dxa" w:w="100"/>
            </w:tcMar>
            <w:vAlign w:val="center"/>
          </w:tcPr>
          <w:p>
            <w:r>
              <w:rPr>
                <w:b w:val="false"/>
                <w:bCs w:val="false"/>
                <w:color w:val="000000"/>
                <w:sz w:val="20"/>
                <w:szCs w:val="20"/>
              </w:rPr>
              <w:t xml:space="preserve">Habilitación de Regional VNet Integration en App Service</w:t>
            </w:r>
          </w:p>
        </w:tc>
        <w:tc>
          <w:tcPr>
            <w:tcW w:type="dxa" w:w="2200"/>
            <w:shd w:fill="FFFFFF" w:color="auto" w:val="clear"/>
            <w:tcMar>
              <w:top w:type="dxa" w:w="80"/>
              <w:left w:type="dxa" w:w="100"/>
              <w:bottom w:type="dxa" w:w="80"/>
              <w:right w:type="dxa" w:w="100"/>
            </w:tcMar>
            <w:vAlign w:val="center"/>
          </w:tcPr>
          <w:p>
            <w:r>
              <w:rPr>
                <w:b w:val="false"/>
                <w:bCs w:val="false"/>
                <w:color w:val="000000"/>
                <w:sz w:val="20"/>
                <w:szCs w:val="20"/>
              </w:rPr>
              <w:t xml:space="preserve">0.5 día</w:t>
            </w:r>
          </w:p>
        </w:tc>
        <w:tc>
          <w:tcPr>
            <w:tcW w:type="dxa" w:w="3000"/>
            <w:shd w:fill="FFFFFF" w:color="auto" w:val="clear"/>
            <w:tcMar>
              <w:top w:type="dxa" w:w="80"/>
              <w:left w:type="dxa" w:w="100"/>
              <w:bottom w:type="dxa" w:w="80"/>
              <w:right w:type="dxa" w:w="100"/>
            </w:tcMar>
            <w:vAlign w:val="center"/>
          </w:tcPr>
          <w:p>
            <w:r>
              <w:rPr>
                <w:b w:val="false"/>
                <w:bCs w:val="false"/>
                <w:color w:val="000000"/>
                <w:sz w:val="20"/>
                <w:szCs w:val="20"/>
              </w:rPr>
              <w:t xml:space="preserve">App Service integrado a VNet-SCUS</w:t>
            </w:r>
          </w:p>
        </w:tc>
      </w:tr>
      <w:tr>
        <w:tc>
          <w:tcPr>
            <w:tcW w:type="dxa" w:w="4200"/>
            <w:shd w:fill="F2F2F2" w:color="auto" w:val="clear"/>
            <w:tcMar>
              <w:top w:type="dxa" w:w="80"/>
              <w:left w:type="dxa" w:w="100"/>
              <w:bottom w:type="dxa" w:w="80"/>
              <w:right w:type="dxa" w:w="100"/>
            </w:tcMar>
            <w:vAlign w:val="center"/>
          </w:tcPr>
          <w:p>
            <w:r>
              <w:rPr>
                <w:b w:val="false"/>
                <w:bCs w:val="false"/>
                <w:color w:val="000000"/>
                <w:sz w:val="20"/>
                <w:szCs w:val="20"/>
              </w:rPr>
              <w:t xml:space="preserve">Configuración de Private Endpoint + Private DNS Zone</w:t>
            </w:r>
          </w:p>
        </w:tc>
        <w:tc>
          <w:tcPr>
            <w:tcW w:type="dxa" w:w="2200"/>
            <w:shd w:fill="F2F2F2" w:color="auto" w:val="clear"/>
            <w:tcMar>
              <w:top w:type="dxa" w:w="80"/>
              <w:left w:type="dxa" w:w="100"/>
              <w:bottom w:type="dxa" w:w="80"/>
              <w:right w:type="dxa" w:w="100"/>
            </w:tcMar>
            <w:vAlign w:val="center"/>
          </w:tcPr>
          <w:p>
            <w:r>
              <w:rPr>
                <w:b w:val="false"/>
                <w:bCs w:val="false"/>
                <w:color w:val="000000"/>
                <w:sz w:val="20"/>
                <w:szCs w:val="20"/>
              </w:rPr>
              <w:t xml:space="preserve">1 día</w:t>
            </w:r>
          </w:p>
        </w:tc>
        <w:tc>
          <w:tcPr>
            <w:tcW w:type="dxa" w:w="3000"/>
            <w:shd w:fill="F2F2F2" w:color="auto" w:val="clear"/>
            <w:tcMar>
              <w:top w:type="dxa" w:w="80"/>
              <w:left w:type="dxa" w:w="100"/>
              <w:bottom w:type="dxa" w:w="80"/>
              <w:right w:type="dxa" w:w="100"/>
            </w:tcMar>
            <w:vAlign w:val="center"/>
          </w:tcPr>
          <w:p>
            <w:r>
              <w:rPr>
                <w:b w:val="false"/>
                <w:bCs w:val="false"/>
                <w:color w:val="000000"/>
                <w:sz w:val="20"/>
                <w:szCs w:val="20"/>
              </w:rPr>
              <w:t xml:space="preserve">Resolución DNS privada funcional</w:t>
            </w:r>
          </w:p>
        </w:tc>
      </w:tr>
      <w:tr>
        <w:tc>
          <w:tcPr>
            <w:tcW w:type="dxa" w:w="4200"/>
            <w:shd w:fill="FFFFFF" w:color="auto" w:val="clear"/>
            <w:tcMar>
              <w:top w:type="dxa" w:w="80"/>
              <w:left w:type="dxa" w:w="100"/>
              <w:bottom w:type="dxa" w:w="80"/>
              <w:right w:type="dxa" w:w="100"/>
            </w:tcMar>
            <w:vAlign w:val="center"/>
          </w:tcPr>
          <w:p>
            <w:r>
              <w:rPr>
                <w:b w:val="false"/>
                <w:bCs w:val="false"/>
                <w:color w:val="000000"/>
                <w:sz w:val="20"/>
                <w:szCs w:val="20"/>
              </w:rPr>
              <w:t xml:space="preserve">Configuración de NSGs</w:t>
            </w:r>
          </w:p>
        </w:tc>
        <w:tc>
          <w:tcPr>
            <w:tcW w:type="dxa" w:w="2200"/>
            <w:shd w:fill="FFFFFF" w:color="auto" w:val="clear"/>
            <w:tcMar>
              <w:top w:type="dxa" w:w="80"/>
              <w:left w:type="dxa" w:w="100"/>
              <w:bottom w:type="dxa" w:w="80"/>
              <w:right w:type="dxa" w:w="100"/>
            </w:tcMar>
            <w:vAlign w:val="center"/>
          </w:tcPr>
          <w:p>
            <w:r>
              <w:rPr>
                <w:b w:val="false"/>
                <w:bCs w:val="false"/>
                <w:color w:val="000000"/>
                <w:sz w:val="20"/>
                <w:szCs w:val="20"/>
              </w:rPr>
              <w:t xml:space="preserve">0.5 día</w:t>
            </w:r>
          </w:p>
        </w:tc>
        <w:tc>
          <w:tcPr>
            <w:tcW w:type="dxa" w:w="3000"/>
            <w:shd w:fill="FFFFFF" w:color="auto" w:val="clear"/>
            <w:tcMar>
              <w:top w:type="dxa" w:w="80"/>
              <w:left w:type="dxa" w:w="100"/>
              <w:bottom w:type="dxa" w:w="80"/>
              <w:right w:type="dxa" w:w="100"/>
            </w:tcMar>
            <w:vAlign w:val="center"/>
          </w:tcPr>
          <w:p>
            <w:r>
              <w:rPr>
                <w:b w:val="false"/>
                <w:bCs w:val="false"/>
                <w:color w:val="000000"/>
                <w:sz w:val="20"/>
                <w:szCs w:val="20"/>
              </w:rPr>
              <w:t xml:space="preserve">Reglas aplicadas y validadas</w:t>
            </w:r>
          </w:p>
        </w:tc>
      </w:tr>
      <w:tr>
        <w:tc>
          <w:tcPr>
            <w:tcW w:type="dxa" w:w="4200"/>
            <w:shd w:fill="F2F2F2" w:color="auto" w:val="clear"/>
            <w:tcMar>
              <w:top w:type="dxa" w:w="80"/>
              <w:left w:type="dxa" w:w="100"/>
              <w:bottom w:type="dxa" w:w="80"/>
              <w:right w:type="dxa" w:w="100"/>
            </w:tcMar>
            <w:vAlign w:val="center"/>
          </w:tcPr>
          <w:p>
            <w:r>
              <w:rPr>
                <w:b w:val="false"/>
                <w:bCs w:val="false"/>
                <w:color w:val="000000"/>
                <w:sz w:val="20"/>
                <w:szCs w:val="20"/>
              </w:rPr>
              <w:t xml:space="preserve">Pruebas de conectividad end-to-end</w:t>
            </w:r>
          </w:p>
        </w:tc>
        <w:tc>
          <w:tcPr>
            <w:tcW w:type="dxa" w:w="2200"/>
            <w:shd w:fill="F2F2F2" w:color="auto" w:val="clear"/>
            <w:tcMar>
              <w:top w:type="dxa" w:w="80"/>
              <w:left w:type="dxa" w:w="100"/>
              <w:bottom w:type="dxa" w:w="80"/>
              <w:right w:type="dxa" w:w="100"/>
            </w:tcMar>
            <w:vAlign w:val="center"/>
          </w:tcPr>
          <w:p>
            <w:r>
              <w:rPr>
                <w:b w:val="false"/>
                <w:bCs w:val="false"/>
                <w:color w:val="000000"/>
                <w:sz w:val="20"/>
                <w:szCs w:val="20"/>
              </w:rPr>
              <w:t xml:space="preserve">1 día</w:t>
            </w:r>
          </w:p>
        </w:tc>
        <w:tc>
          <w:tcPr>
            <w:tcW w:type="dxa" w:w="3000"/>
            <w:shd w:fill="F2F2F2" w:color="auto" w:val="clear"/>
            <w:tcMar>
              <w:top w:type="dxa" w:w="80"/>
              <w:left w:type="dxa" w:w="100"/>
              <w:bottom w:type="dxa" w:w="80"/>
              <w:right w:type="dxa" w:w="100"/>
            </w:tcMar>
            <w:vAlign w:val="center"/>
          </w:tcPr>
          <w:p>
            <w:r>
              <w:rPr>
                <w:b w:val="false"/>
                <w:bCs w:val="false"/>
                <w:color w:val="000000"/>
                <w:sz w:val="20"/>
                <w:szCs w:val="20"/>
              </w:rPr>
              <w:t xml:space="preserve">Evidencia de pruebas exitosas</w:t>
            </w:r>
          </w:p>
        </w:tc>
      </w:tr>
      <w:tr>
        <w:tc>
          <w:tcPr>
            <w:tcW w:type="dxa" w:w="4200"/>
            <w:shd w:fill="FFFFFF" w:color="auto" w:val="clear"/>
            <w:tcMar>
              <w:top w:type="dxa" w:w="80"/>
              <w:left w:type="dxa" w:w="100"/>
              <w:bottom w:type="dxa" w:w="80"/>
              <w:right w:type="dxa" w:w="100"/>
            </w:tcMar>
            <w:vAlign w:val="center"/>
          </w:tcPr>
          <w:p>
            <w:r>
              <w:rPr>
                <w:b w:val="false"/>
                <w:bCs w:val="false"/>
                <w:color w:val="000000"/>
                <w:sz w:val="20"/>
                <w:szCs w:val="20"/>
              </w:rPr>
              <w:t xml:space="preserve">Documentación as-built y cierre</w:t>
            </w:r>
          </w:p>
        </w:tc>
        <w:tc>
          <w:tcPr>
            <w:tcW w:type="dxa" w:w="2200"/>
            <w:shd w:fill="FFFFFF" w:color="auto" w:val="clear"/>
            <w:tcMar>
              <w:top w:type="dxa" w:w="80"/>
              <w:left w:type="dxa" w:w="100"/>
              <w:bottom w:type="dxa" w:w="80"/>
              <w:right w:type="dxa" w:w="100"/>
            </w:tcMar>
            <w:vAlign w:val="center"/>
          </w:tcPr>
          <w:p>
            <w:r>
              <w:rPr>
                <w:b w:val="false"/>
                <w:bCs w:val="false"/>
                <w:color w:val="000000"/>
                <w:sz w:val="20"/>
                <w:szCs w:val="20"/>
              </w:rPr>
              <w:t xml:space="preserve">0.5 día</w:t>
            </w:r>
          </w:p>
        </w:tc>
        <w:tc>
          <w:tcPr>
            <w:tcW w:type="dxa" w:w="3000"/>
            <w:shd w:fill="FFFFFF" w:color="auto" w:val="clear"/>
            <w:tcMar>
              <w:top w:type="dxa" w:w="80"/>
              <w:left w:type="dxa" w:w="100"/>
              <w:bottom w:type="dxa" w:w="80"/>
              <w:right w:type="dxa" w:w="100"/>
            </w:tcMar>
            <w:vAlign w:val="center"/>
          </w:tcPr>
          <w:p>
            <w:r>
              <w:rPr>
                <w:b w:val="false"/>
                <w:bCs w:val="false"/>
                <w:color w:val="000000"/>
                <w:sz w:val="20"/>
                <w:szCs w:val="20"/>
              </w:rPr>
              <w:t xml:space="preserve">Documento as-built entregado</w:t>
            </w:r>
          </w:p>
        </w:tc>
      </w:tr>
    </w:tbl>
    <w:p>
      <w:pPr>
        <w:spacing w:after="160"/>
      </w:pPr>
      <w:r>
        <w:t xml:space="preserve"/>
      </w:r>
    </w:p>
    <w:p>
      <w:pPr>
        <w:spacing w:after="160"/>
      </w:pPr>
      <w:r>
        <w:rPr>
          <w:b/>
          <w:bCs/>
        </w:rPr>
        <w:t xml:space="preserve">Tiempo total estimado: 5 a 6 días hábiles, sujeto a disponibilidad de accesos y confirmación oportuna del motor de base de datos por parte del cliente.</w:t>
      </w:r>
    </w:p>
    <w:p>
      <w:pPr>
        <w:pStyle w:val="Heading1"/>
        <w:spacing w:after="160" w:before="360"/>
      </w:pPr>
      <w:r>
        <w:t xml:space="preserve">11. Equipo de Trabajo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4300"/>
        <w:gridCol w:w="2000"/>
      </w:tblGrid>
      <w:tr>
        <w:trPr>
          <w:tblHeader/>
        </w:trPr>
        <w:tc>
          <w:tcPr>
            <w:tcW w:type="dxa" w:w="2700"/>
            <w:shd w:fill="1F3864" w:color="auto" w:val="clear"/>
            <w:tcMar>
              <w:top w:type="dxa" w:w="80"/>
              <w:left w:type="dxa" w:w="100"/>
              <w:bottom w:type="dxa" w:w="80"/>
              <w:right w:type="dxa" w:w="100"/>
            </w:tcMar>
            <w:vAlign w:val="center"/>
          </w:tcPr>
          <w:p>
            <w:r>
              <w:rPr>
                <w:b/>
                <w:bCs/>
                <w:color w:val="FFFFFF"/>
                <w:sz w:val="20"/>
                <w:szCs w:val="20"/>
              </w:rPr>
              <w:t xml:space="preserve">Rol</w:t>
            </w:r>
          </w:p>
        </w:tc>
        <w:tc>
          <w:tcPr>
            <w:tcW w:type="dxa" w:w="4300"/>
            <w:shd w:fill="1F3864" w:color="auto" w:val="clear"/>
            <w:tcMar>
              <w:top w:type="dxa" w:w="80"/>
              <w:left w:type="dxa" w:w="100"/>
              <w:bottom w:type="dxa" w:w="80"/>
              <w:right w:type="dxa" w:w="100"/>
            </w:tcMar>
            <w:vAlign w:val="center"/>
          </w:tcPr>
          <w:p>
            <w:r>
              <w:rPr>
                <w:b/>
                <w:bCs/>
                <w:color w:val="FFFFFF"/>
                <w:sz w:val="20"/>
                <w:szCs w:val="20"/>
              </w:rPr>
              <w:t xml:space="preserve">Responsabilidad</w:t>
            </w:r>
          </w:p>
        </w:tc>
        <w:tc>
          <w:tcPr>
            <w:tcW w:type="dxa" w:w="2000"/>
            <w:shd w:fill="1F3864" w:color="auto" w:val="clear"/>
            <w:tcMar>
              <w:top w:type="dxa" w:w="80"/>
              <w:left w:type="dxa" w:w="100"/>
              <w:bottom w:type="dxa" w:w="80"/>
              <w:right w:type="dxa" w:w="100"/>
            </w:tcMar>
            <w:vAlign w:val="center"/>
          </w:tcPr>
          <w:p>
            <w:r>
              <w:rPr>
                <w:b/>
                <w:bCs/>
                <w:color w:val="FFFFFF"/>
                <w:sz w:val="20"/>
                <w:szCs w:val="20"/>
              </w:rPr>
              <w:t xml:space="preserve">Origen</w:t>
            </w:r>
          </w:p>
        </w:tc>
      </w:tr>
      <w:tr>
        <w:tc>
          <w:tcPr>
            <w:tcW w:type="dxa" w:w="2700"/>
            <w:shd w:fill="FFFFFF" w:color="auto" w:val="clear"/>
            <w:tcMar>
              <w:top w:type="dxa" w:w="80"/>
              <w:left w:type="dxa" w:w="100"/>
              <w:bottom w:type="dxa" w:w="80"/>
              <w:right w:type="dxa" w:w="100"/>
            </w:tcMar>
            <w:vAlign w:val="center"/>
          </w:tcPr>
          <w:p>
            <w:r>
              <w:rPr>
                <w:b w:val="false"/>
                <w:bCs w:val="false"/>
                <w:color w:val="000000"/>
                <w:sz w:val="20"/>
                <w:szCs w:val="20"/>
              </w:rPr>
              <w:t xml:space="preserve">Arquitecto de Redes/Cloud</w:t>
            </w:r>
          </w:p>
        </w:tc>
        <w:tc>
          <w:tcPr>
            <w:tcW w:type="dxa" w:w="4300"/>
            <w:shd w:fill="FFFFFF" w:color="auto" w:val="clear"/>
            <w:tcMar>
              <w:top w:type="dxa" w:w="80"/>
              <w:left w:type="dxa" w:w="100"/>
              <w:bottom w:type="dxa" w:w="80"/>
              <w:right w:type="dxa" w:w="100"/>
            </w:tcMar>
            <w:vAlign w:val="center"/>
          </w:tcPr>
          <w:p>
            <w:r>
              <w:rPr>
                <w:b w:val="false"/>
                <w:bCs w:val="false"/>
                <w:color w:val="000000"/>
                <w:sz w:val="20"/>
                <w:szCs w:val="20"/>
              </w:rPr>
              <w:t xml:space="preserve">Diseño de la solución, validación de direccionamiento IP y topología</w:t>
            </w:r>
          </w:p>
        </w:tc>
        <w:tc>
          <w:tcPr>
            <w:tcW w:type="dxa" w:w="2000"/>
            <w:shd w:fill="FFFFFF" w:color="auto" w:val="clear"/>
            <w:tcMar>
              <w:top w:type="dxa" w:w="80"/>
              <w:left w:type="dxa" w:w="100"/>
              <w:bottom w:type="dxa" w:w="80"/>
              <w:right w:type="dxa" w:w="100"/>
            </w:tcMar>
            <w:vAlign w:val="center"/>
          </w:tcPr>
          <w:p>
            <w:r>
              <w:rPr>
                <w:b w:val="false"/>
                <w:bCs w:val="false"/>
                <w:color w:val="000000"/>
                <w:sz w:val="20"/>
                <w:szCs w:val="20"/>
              </w:rPr>
              <w:t xml:space="preserve">Equipo implementador</w:t>
            </w:r>
          </w:p>
        </w:tc>
      </w:tr>
      <w:tr>
        <w:tc>
          <w:tcPr>
            <w:tcW w:type="dxa" w:w="2700"/>
            <w:shd w:fill="F2F2F2" w:color="auto" w:val="clear"/>
            <w:tcMar>
              <w:top w:type="dxa" w:w="80"/>
              <w:left w:type="dxa" w:w="100"/>
              <w:bottom w:type="dxa" w:w="80"/>
              <w:right w:type="dxa" w:w="100"/>
            </w:tcMar>
            <w:vAlign w:val="center"/>
          </w:tcPr>
          <w:p>
            <w:r>
              <w:rPr>
                <w:b w:val="false"/>
                <w:bCs w:val="false"/>
                <w:color w:val="000000"/>
                <w:sz w:val="20"/>
                <w:szCs w:val="20"/>
              </w:rPr>
              <w:t xml:space="preserve">Ingeniero Azure (Networking)</w:t>
            </w:r>
          </w:p>
        </w:tc>
        <w:tc>
          <w:tcPr>
            <w:tcW w:type="dxa" w:w="4300"/>
            <w:shd w:fill="F2F2F2" w:color="auto" w:val="clear"/>
            <w:tcMar>
              <w:top w:type="dxa" w:w="80"/>
              <w:left w:type="dxa" w:w="100"/>
              <w:bottom w:type="dxa" w:w="80"/>
              <w:right w:type="dxa" w:w="100"/>
            </w:tcMar>
            <w:vAlign w:val="center"/>
          </w:tcPr>
          <w:p>
            <w:r>
              <w:rPr>
                <w:b w:val="false"/>
                <w:bCs w:val="false"/>
                <w:color w:val="000000"/>
                <w:sz w:val="20"/>
                <w:szCs w:val="20"/>
              </w:rPr>
              <w:t xml:space="preserve">Configuración de VNets, Peering, NSGs, Private Endpoint/DNS</w:t>
            </w:r>
          </w:p>
        </w:tc>
        <w:tc>
          <w:tcPr>
            <w:tcW w:type="dxa" w:w="2000"/>
            <w:shd w:fill="F2F2F2" w:color="auto" w:val="clear"/>
            <w:tcMar>
              <w:top w:type="dxa" w:w="80"/>
              <w:left w:type="dxa" w:w="100"/>
              <w:bottom w:type="dxa" w:w="80"/>
              <w:right w:type="dxa" w:w="100"/>
            </w:tcMar>
            <w:vAlign w:val="center"/>
          </w:tcPr>
          <w:p>
            <w:r>
              <w:rPr>
                <w:b w:val="false"/>
                <w:bCs w:val="false"/>
                <w:color w:val="000000"/>
                <w:sz w:val="20"/>
                <w:szCs w:val="20"/>
              </w:rPr>
              <w:t xml:space="preserve">Equipo implementador</w:t>
            </w:r>
          </w:p>
        </w:tc>
      </w:tr>
      <w:tr>
        <w:tc>
          <w:tcPr>
            <w:tcW w:type="dxa" w:w="2700"/>
            <w:shd w:fill="FFFFFF" w:color="auto" w:val="clear"/>
            <w:tcMar>
              <w:top w:type="dxa" w:w="80"/>
              <w:left w:type="dxa" w:w="100"/>
              <w:bottom w:type="dxa" w:w="80"/>
              <w:right w:type="dxa" w:w="100"/>
            </w:tcMar>
            <w:vAlign w:val="center"/>
          </w:tcPr>
          <w:p>
            <w:r>
              <w:rPr>
                <w:b w:val="false"/>
                <w:bCs w:val="false"/>
                <w:color w:val="000000"/>
                <w:sz w:val="20"/>
                <w:szCs w:val="20"/>
              </w:rPr>
              <w:t xml:space="preserve">Ingeniero Azure (App/Data)</w:t>
            </w:r>
          </w:p>
        </w:tc>
        <w:tc>
          <w:tcPr>
            <w:tcW w:type="dxa" w:w="4300"/>
            <w:shd w:fill="FFFFFF" w:color="auto" w:val="clear"/>
            <w:tcMar>
              <w:top w:type="dxa" w:w="80"/>
              <w:left w:type="dxa" w:w="100"/>
              <w:bottom w:type="dxa" w:w="80"/>
              <w:right w:type="dxa" w:w="100"/>
            </w:tcMar>
            <w:vAlign w:val="center"/>
          </w:tcPr>
          <w:p>
            <w:r>
              <w:rPr>
                <w:b w:val="false"/>
                <w:bCs w:val="false"/>
                <w:color w:val="000000"/>
                <w:sz w:val="20"/>
                <w:szCs w:val="20"/>
              </w:rPr>
              <w:t xml:space="preserve">Configuración de VNet Integration del App Service y de la base de datos</w:t>
            </w:r>
          </w:p>
        </w:tc>
        <w:tc>
          <w:tcPr>
            <w:tcW w:type="dxa" w:w="2000"/>
            <w:shd w:fill="FFFFFF" w:color="auto" w:val="clear"/>
            <w:tcMar>
              <w:top w:type="dxa" w:w="80"/>
              <w:left w:type="dxa" w:w="100"/>
              <w:bottom w:type="dxa" w:w="80"/>
              <w:right w:type="dxa" w:w="100"/>
            </w:tcMar>
            <w:vAlign w:val="center"/>
          </w:tcPr>
          <w:p>
            <w:r>
              <w:rPr>
                <w:b w:val="false"/>
                <w:bCs w:val="false"/>
                <w:color w:val="000000"/>
                <w:sz w:val="20"/>
                <w:szCs w:val="20"/>
              </w:rPr>
              <w:t xml:space="preserve">Equipo implementador</w:t>
            </w:r>
          </w:p>
        </w:tc>
      </w:tr>
      <w:tr>
        <w:tc>
          <w:tcPr>
            <w:tcW w:type="dxa" w:w="2700"/>
            <w:shd w:fill="F2F2F2" w:color="auto" w:val="clear"/>
            <w:tcMar>
              <w:top w:type="dxa" w:w="80"/>
              <w:left w:type="dxa" w:w="100"/>
              <w:bottom w:type="dxa" w:w="80"/>
              <w:right w:type="dxa" w:w="100"/>
            </w:tcMar>
            <w:vAlign w:val="center"/>
          </w:tcPr>
          <w:p>
            <w:r>
              <w:rPr>
                <w:b w:val="false"/>
                <w:bCs w:val="false"/>
                <w:color w:val="000000"/>
                <w:sz w:val="20"/>
                <w:szCs w:val="20"/>
              </w:rPr>
              <w:t xml:space="preserve">DBA / Responsable de Base de Datos</w:t>
            </w:r>
          </w:p>
        </w:tc>
        <w:tc>
          <w:tcPr>
            <w:tcW w:type="dxa" w:w="4300"/>
            <w:shd w:fill="F2F2F2" w:color="auto" w:val="clear"/>
            <w:tcMar>
              <w:top w:type="dxa" w:w="80"/>
              <w:left w:type="dxa" w:w="100"/>
              <w:bottom w:type="dxa" w:w="80"/>
              <w:right w:type="dxa" w:w="100"/>
            </w:tcMar>
            <w:vAlign w:val="center"/>
          </w:tcPr>
          <w:p>
            <w:r>
              <w:rPr>
                <w:b w:val="false"/>
                <w:bCs w:val="false"/>
                <w:color w:val="000000"/>
                <w:sz w:val="20"/>
                <w:szCs w:val="20"/>
              </w:rPr>
              <w:t xml:space="preserve">Validación de configuración de la base de datos y usuarios de conexión</w:t>
            </w:r>
          </w:p>
        </w:tc>
        <w:tc>
          <w:tcPr>
            <w:tcW w:type="dxa" w:w="2000"/>
            <w:shd w:fill="F2F2F2" w:color="auto" w:val="clear"/>
            <w:tcMar>
              <w:top w:type="dxa" w:w="80"/>
              <w:left w:type="dxa" w:w="100"/>
              <w:bottom w:type="dxa" w:w="80"/>
              <w:right w:type="dxa" w:w="100"/>
            </w:tcMar>
            <w:vAlign w:val="center"/>
          </w:tcPr>
          <w:p>
            <w:r>
              <w:rPr>
                <w:b w:val="false"/>
                <w:bCs w:val="false"/>
                <w:color w:val="000000"/>
                <w:sz w:val="20"/>
                <w:szCs w:val="20"/>
              </w:rPr>
              <w:t xml:space="preserve">Cliente</w:t>
            </w:r>
          </w:p>
        </w:tc>
      </w:tr>
      <w:tr>
        <w:tc>
          <w:tcPr>
            <w:tcW w:type="dxa" w:w="2700"/>
            <w:shd w:fill="FFFFFF" w:color="auto" w:val="clear"/>
            <w:tcMar>
              <w:top w:type="dxa" w:w="80"/>
              <w:left w:type="dxa" w:w="100"/>
              <w:bottom w:type="dxa" w:w="80"/>
              <w:right w:type="dxa" w:w="100"/>
            </w:tcMar>
            <w:vAlign w:val="center"/>
          </w:tcPr>
          <w:p>
            <w:r>
              <w:rPr>
                <w:b w:val="false"/>
                <w:bCs w:val="false"/>
                <w:color w:val="000000"/>
                <w:sz w:val="20"/>
                <w:szCs w:val="20"/>
              </w:rPr>
              <w:t xml:space="preserve">Owner de la Aplicación</w:t>
            </w:r>
          </w:p>
        </w:tc>
        <w:tc>
          <w:tcPr>
            <w:tcW w:type="dxa" w:w="4300"/>
            <w:shd w:fill="FFFFFF" w:color="auto" w:val="clear"/>
            <w:tcMar>
              <w:top w:type="dxa" w:w="80"/>
              <w:left w:type="dxa" w:w="100"/>
              <w:bottom w:type="dxa" w:w="80"/>
              <w:right w:type="dxa" w:w="100"/>
            </w:tcMar>
            <w:vAlign w:val="center"/>
          </w:tcPr>
          <w:p>
            <w:r>
              <w:rPr>
                <w:b w:val="false"/>
                <w:bCs w:val="false"/>
                <w:color w:val="000000"/>
                <w:sz w:val="20"/>
                <w:szCs w:val="20"/>
              </w:rPr>
              <w:t xml:space="preserve">Actualización de cadena de conexión, pruebas funcionales de la app</w:t>
            </w:r>
          </w:p>
        </w:tc>
        <w:tc>
          <w:tcPr>
            <w:tcW w:type="dxa" w:w="2000"/>
            <w:shd w:fill="FFFFFF" w:color="auto" w:val="clear"/>
            <w:tcMar>
              <w:top w:type="dxa" w:w="80"/>
              <w:left w:type="dxa" w:w="100"/>
              <w:bottom w:type="dxa" w:w="80"/>
              <w:right w:type="dxa" w:w="100"/>
            </w:tcMar>
            <w:vAlign w:val="center"/>
          </w:tcPr>
          <w:p>
            <w:r>
              <w:rPr>
                <w:b w:val="false"/>
                <w:bCs w:val="false"/>
                <w:color w:val="000000"/>
                <w:sz w:val="20"/>
                <w:szCs w:val="20"/>
              </w:rPr>
              <w:t xml:space="preserve">Cliente</w:t>
            </w:r>
          </w:p>
        </w:tc>
      </w:tr>
      <w:tr>
        <w:tc>
          <w:tcPr>
            <w:tcW w:type="dxa" w:w="2700"/>
            <w:shd w:fill="F2F2F2" w:color="auto" w:val="clear"/>
            <w:tcMar>
              <w:top w:type="dxa" w:w="80"/>
              <w:left w:type="dxa" w:w="100"/>
              <w:bottom w:type="dxa" w:w="80"/>
              <w:right w:type="dxa" w:w="100"/>
            </w:tcMar>
            <w:vAlign w:val="center"/>
          </w:tcPr>
          <w:p>
            <w:r>
              <w:rPr>
                <w:b w:val="false"/>
                <w:bCs w:val="false"/>
                <w:color w:val="000000"/>
                <w:sz w:val="20"/>
                <w:szCs w:val="20"/>
              </w:rPr>
              <w:t xml:space="preserve">Administrador de Suscripción Azure</w:t>
            </w:r>
          </w:p>
        </w:tc>
        <w:tc>
          <w:tcPr>
            <w:tcW w:type="dxa" w:w="4300"/>
            <w:shd w:fill="F2F2F2" w:color="auto" w:val="clear"/>
            <w:tcMar>
              <w:top w:type="dxa" w:w="80"/>
              <w:left w:type="dxa" w:w="100"/>
              <w:bottom w:type="dxa" w:w="80"/>
              <w:right w:type="dxa" w:w="100"/>
            </w:tcMar>
            <w:vAlign w:val="center"/>
          </w:tcPr>
          <w:p>
            <w:r>
              <w:rPr>
                <w:b w:val="false"/>
                <w:bCs w:val="false"/>
                <w:color w:val="000000"/>
                <w:sz w:val="20"/>
                <w:szCs w:val="20"/>
              </w:rPr>
              <w:t xml:space="preserve">Otorgar permisos RBAC necesarios para la implementación</w:t>
            </w:r>
          </w:p>
        </w:tc>
        <w:tc>
          <w:tcPr>
            <w:tcW w:type="dxa" w:w="2000"/>
            <w:shd w:fill="F2F2F2" w:color="auto" w:val="clear"/>
            <w:tcMar>
              <w:top w:type="dxa" w:w="80"/>
              <w:left w:type="dxa" w:w="100"/>
              <w:bottom w:type="dxa" w:w="80"/>
              <w:right w:type="dxa" w:w="100"/>
            </w:tcMar>
            <w:vAlign w:val="center"/>
          </w:tcPr>
          <w:p>
            <w:r>
              <w:rPr>
                <w:b w:val="false"/>
                <w:bCs w:val="false"/>
                <w:color w:val="000000"/>
                <w:sz w:val="20"/>
                <w:szCs w:val="20"/>
              </w:rPr>
              <w:t xml:space="preserve">Cliente</w:t>
            </w:r>
          </w:p>
        </w:tc>
      </w:tr>
      <w:tr>
        <w:tc>
          <w:tcPr>
            <w:tcW w:type="dxa" w:w="2700"/>
            <w:shd w:fill="FFFFFF" w:color="auto" w:val="clear"/>
            <w:tcMar>
              <w:top w:type="dxa" w:w="80"/>
              <w:left w:type="dxa" w:w="100"/>
              <w:bottom w:type="dxa" w:w="80"/>
              <w:right w:type="dxa" w:w="100"/>
            </w:tcMar>
            <w:vAlign w:val="center"/>
          </w:tcPr>
          <w:p>
            <w:r>
              <w:rPr>
                <w:b w:val="false"/>
                <w:bCs w:val="false"/>
                <w:color w:val="000000"/>
                <w:sz w:val="20"/>
                <w:szCs w:val="20"/>
              </w:rPr>
              <w:t xml:space="preserve">Coordinador / Project Manager</w:t>
            </w:r>
          </w:p>
        </w:tc>
        <w:tc>
          <w:tcPr>
            <w:tcW w:type="dxa" w:w="4300"/>
            <w:shd w:fill="FFFFFF" w:color="auto" w:val="clear"/>
            <w:tcMar>
              <w:top w:type="dxa" w:w="80"/>
              <w:left w:type="dxa" w:w="100"/>
              <w:bottom w:type="dxa" w:w="80"/>
              <w:right w:type="dxa" w:w="100"/>
            </w:tcMar>
            <w:vAlign w:val="center"/>
          </w:tcPr>
          <w:p>
            <w:r>
              <w:rPr>
                <w:b w:val="false"/>
                <w:bCs w:val="false"/>
                <w:color w:val="000000"/>
                <w:sz w:val="20"/>
                <w:szCs w:val="20"/>
              </w:rPr>
              <w:t xml:space="preserve">Seguimiento del cronograma, comunicación y aprobaciones</w:t>
            </w:r>
          </w:p>
        </w:tc>
        <w:tc>
          <w:tcPr>
            <w:tcW w:type="dxa" w:w="2000"/>
            <w:shd w:fill="FFFFFF" w:color="auto" w:val="clear"/>
            <w:tcMar>
              <w:top w:type="dxa" w:w="80"/>
              <w:left w:type="dxa" w:w="100"/>
              <w:bottom w:type="dxa" w:w="80"/>
              <w:right w:type="dxa" w:w="100"/>
            </w:tcMar>
            <w:vAlign w:val="center"/>
          </w:tcPr>
          <w:p>
            <w:r>
              <w:rPr>
                <w:b w:val="false"/>
                <w:bCs w:val="false"/>
                <w:color w:val="000000"/>
                <w:sz w:val="20"/>
                <w:szCs w:val="20"/>
              </w:rPr>
              <w:t xml:space="preserve">Ambos</w:t>
            </w:r>
          </w:p>
        </w:tc>
      </w:tr>
    </w:tbl>
    <w:p>
      <w:pPr>
        <w:pStyle w:val="Heading1"/>
        <w:spacing w:after="160" w:before="360"/>
      </w:pPr>
      <w:r>
        <w:t xml:space="preserve">12. Estimación de Costos (Calculadora de Azure)</w:t>
      </w:r>
    </w:p>
    <w:p>
      <w:pPr>
        <w:spacing w:after="160"/>
      </w:pPr>
      <w:r>
        <w:t xml:space="preserve">Con Global VNet Peering no existe costo de gateway; el único costo recurrente es por el volumen de datos transferido entre las dos regiones (ambas dentro de EE. UU., consideradas Zone 1 para efectos de tarifa). A modo de referencia: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600"/>
      </w:tblGrid>
      <w:tr>
        <w:trPr>
          <w:tblHeader/>
        </w:trPr>
        <w:tc>
          <w:tcPr>
            <w:tcW w:type="dxa" w:w="2600"/>
            <w:shd w:fill="1F3864" w:color="auto" w:val="clear"/>
            <w:tcMar>
              <w:top w:type="dxa" w:w="80"/>
              <w:left w:type="dxa" w:w="100"/>
              <w:bottom w:type="dxa" w:w="80"/>
              <w:right w:type="dxa" w:w="100"/>
            </w:tcMar>
            <w:vAlign w:val="center"/>
          </w:tcPr>
          <w:p>
            <w:r>
              <w:rPr>
                <w:b/>
                <w:bCs/>
                <w:color w:val="FFFFFF"/>
                <w:sz w:val="20"/>
                <w:szCs w:val="20"/>
              </w:rPr>
              <w:t xml:space="preserve">Concepto</w:t>
            </w:r>
          </w:p>
        </w:tc>
        <w:tc>
          <w:tcPr>
            <w:tcW w:type="dxa" w:w="3800"/>
            <w:shd w:fill="1F3864" w:color="auto" w:val="clear"/>
            <w:tcMar>
              <w:top w:type="dxa" w:w="80"/>
              <w:left w:type="dxa" w:w="100"/>
              <w:bottom w:type="dxa" w:w="80"/>
              <w:right w:type="dxa" w:w="100"/>
            </w:tcMar>
            <w:vAlign w:val="center"/>
          </w:tcPr>
          <w:p>
            <w:r>
              <w:rPr>
                <w:b/>
                <w:bCs/>
                <w:color w:val="FFFFFF"/>
                <w:sz w:val="20"/>
                <w:szCs w:val="20"/>
              </w:rPr>
              <w:t xml:space="preserve">Global VNet Peering</w:t>
            </w:r>
          </w:p>
        </w:tc>
        <w:tc>
          <w:tcPr>
            <w:tcW w:type="dxa" w:w="3600"/>
            <w:shd w:fill="1F3864" w:color="auto" w:val="clear"/>
            <w:tcMar>
              <w:top w:type="dxa" w:w="80"/>
              <w:left w:type="dxa" w:w="100"/>
              <w:bottom w:type="dxa" w:w="80"/>
              <w:right w:type="dxa" w:w="100"/>
            </w:tcMar>
            <w:vAlign w:val="center"/>
          </w:tcPr>
          <w:p>
            <w:r>
              <w:rPr>
                <w:b/>
                <w:bCs/>
                <w:color w:val="FFFFFF"/>
                <w:sz w:val="20"/>
                <w:szCs w:val="20"/>
              </w:rPr>
              <w:t xml:space="preserve">VPN Gateway (referencia, no recomendado aquí)</w:t>
            </w:r>
          </w:p>
        </w:tc>
      </w:tr>
      <w:tr>
        <w:tc>
          <w:tcPr>
            <w:tcW w:type="dxa" w:w="2600"/>
            <w:shd w:fill="FFFFFF" w:color="auto" w:val="clear"/>
            <w:tcMar>
              <w:top w:type="dxa" w:w="80"/>
              <w:left w:type="dxa" w:w="100"/>
              <w:bottom w:type="dxa" w:w="80"/>
              <w:right w:type="dxa" w:w="100"/>
            </w:tcMar>
            <w:vAlign w:val="center"/>
          </w:tcPr>
          <w:p>
            <w:r>
              <w:rPr>
                <w:b w:val="false"/>
                <w:bCs w:val="false"/>
                <w:color w:val="000000"/>
                <w:sz w:val="20"/>
                <w:szCs w:val="20"/>
              </w:rPr>
              <w:t xml:space="preserve">Costo fijo mensual (gateway)</w:t>
            </w:r>
          </w:p>
        </w:tc>
        <w:tc>
          <w:tcPr>
            <w:tcW w:type="dxa" w:w="3800"/>
            <w:shd w:fill="FFFFFF" w:color="auto" w:val="clear"/>
            <w:tcMar>
              <w:top w:type="dxa" w:w="80"/>
              <w:left w:type="dxa" w:w="100"/>
              <w:bottom w:type="dxa" w:w="80"/>
              <w:right w:type="dxa" w:w="100"/>
            </w:tcMar>
            <w:vAlign w:val="center"/>
          </w:tcPr>
          <w:p>
            <w:r>
              <w:rPr>
                <w:b w:val="false"/>
                <w:bCs w:val="false"/>
                <w:color w:val="000000"/>
                <w:sz w:val="20"/>
                <w:szCs w:val="20"/>
              </w:rPr>
              <w:t xml:space="preserve">$0 (no aplica)</w:t>
            </w:r>
          </w:p>
        </w:tc>
        <w:tc>
          <w:tcPr>
            <w:tcW w:type="dxa" w:w="3600"/>
            <w:shd w:fill="FFFFFF" w:color="auto" w:val="clear"/>
            <w:tcMar>
              <w:top w:type="dxa" w:w="80"/>
              <w:left w:type="dxa" w:w="100"/>
              <w:bottom w:type="dxa" w:w="80"/>
              <w:right w:type="dxa" w:w="100"/>
            </w:tcMar>
            <w:vAlign w:val="center"/>
          </w:tcPr>
          <w:p>
            <w:r>
              <w:rPr>
                <w:b w:val="false"/>
                <w:bCs w:val="false"/>
                <w:color w:val="000000"/>
                <w:sz w:val="20"/>
                <w:szCs w:val="20"/>
              </w:rPr>
              <w:t xml:space="preserve">≈ $27 USD/mes (Basic) a ≈ $141 USD/mes (VpnGw1) — se requeriría un gateway en cada extremo</w:t>
            </w:r>
          </w:p>
        </w:tc>
      </w:tr>
      <w:tr>
        <w:tc>
          <w:tcPr>
            <w:tcW w:type="dxa" w:w="2600"/>
            <w:shd w:fill="F2F2F2" w:color="auto" w:val="clear"/>
            <w:tcMar>
              <w:top w:type="dxa" w:w="80"/>
              <w:left w:type="dxa" w:w="100"/>
              <w:bottom w:type="dxa" w:w="80"/>
              <w:right w:type="dxa" w:w="100"/>
            </w:tcMar>
            <w:vAlign w:val="center"/>
          </w:tcPr>
          <w:p>
            <w:r>
              <w:rPr>
                <w:b w:val="false"/>
                <w:bCs w:val="false"/>
                <w:color w:val="000000"/>
                <w:sz w:val="20"/>
                <w:szCs w:val="20"/>
              </w:rPr>
              <w:t xml:space="preserve">Costo por dato transferido</w:t>
            </w:r>
          </w:p>
        </w:tc>
        <w:tc>
          <w:tcPr>
            <w:tcW w:type="dxa" w:w="3800"/>
            <w:shd w:fill="F2F2F2" w:color="auto" w:val="clear"/>
            <w:tcMar>
              <w:top w:type="dxa" w:w="80"/>
              <w:left w:type="dxa" w:w="100"/>
              <w:bottom w:type="dxa" w:w="80"/>
              <w:right w:type="dxa" w:w="100"/>
            </w:tcMar>
            <w:vAlign w:val="center"/>
          </w:tcPr>
          <w:p>
            <w:r>
              <w:rPr>
                <w:b w:val="false"/>
                <w:bCs w:val="false"/>
                <w:color w:val="000000"/>
                <w:sz w:val="20"/>
                <w:szCs w:val="20"/>
              </w:rPr>
              <w:t xml:space="preserve">≈ $0.02 USD/GB de salida + ≈ $0.02 USD/GB de entrada (tarifa Zone 1 ↔ Zone 1, referencial)</w:t>
            </w:r>
          </w:p>
        </w:tc>
        <w:tc>
          <w:tcPr>
            <w:tcW w:type="dxa" w:w="3600"/>
            <w:shd w:fill="F2F2F2" w:color="auto" w:val="clear"/>
            <w:tcMar>
              <w:top w:type="dxa" w:w="80"/>
              <w:left w:type="dxa" w:w="100"/>
              <w:bottom w:type="dxa" w:w="80"/>
              <w:right w:type="dxa" w:w="100"/>
            </w:tcMar>
            <w:vAlign w:val="center"/>
          </w:tcPr>
          <w:p>
            <w:r>
              <w:rPr>
                <w:b w:val="false"/>
                <w:bCs w:val="false"/>
                <w:color w:val="000000"/>
                <w:sz w:val="20"/>
                <w:szCs w:val="20"/>
              </w:rPr>
              <w:t xml:space="preserve">Incluye cargo de transferencia de datos de salida del gateway (adicional al de peering si se combinan)</w:t>
            </w:r>
          </w:p>
        </w:tc>
      </w:tr>
      <w:tr>
        <w:tc>
          <w:tcPr>
            <w:tcW w:type="dxa" w:w="2600"/>
            <w:shd w:fill="FFFFFF" w:color="auto" w:val="clear"/>
            <w:tcMar>
              <w:top w:type="dxa" w:w="80"/>
              <w:left w:type="dxa" w:w="100"/>
              <w:bottom w:type="dxa" w:w="80"/>
              <w:right w:type="dxa" w:w="100"/>
            </w:tcMar>
            <w:vAlign w:val="center"/>
          </w:tcPr>
          <w:p>
            <w:r>
              <w:rPr>
                <w:b w:val="false"/>
                <w:bCs w:val="false"/>
                <w:color w:val="000000"/>
                <w:sz w:val="20"/>
                <w:szCs w:val="20"/>
              </w:rPr>
              <w:t xml:space="preserve">Ejemplo con 100 GB/mes de tráfico App↔DB</w:t>
            </w:r>
          </w:p>
        </w:tc>
        <w:tc>
          <w:tcPr>
            <w:tcW w:type="dxa" w:w="3800"/>
            <w:shd w:fill="FFFFFF" w:color="auto" w:val="clear"/>
            <w:tcMar>
              <w:top w:type="dxa" w:w="80"/>
              <w:left w:type="dxa" w:w="100"/>
              <w:bottom w:type="dxa" w:w="80"/>
              <w:right w:type="dxa" w:w="100"/>
            </w:tcMar>
            <w:vAlign w:val="center"/>
          </w:tcPr>
          <w:p>
            <w:r>
              <w:rPr>
                <w:b w:val="false"/>
                <w:bCs w:val="false"/>
                <w:color w:val="000000"/>
                <w:sz w:val="20"/>
                <w:szCs w:val="20"/>
              </w:rPr>
              <w:t xml:space="preserve">≈ $4 USD/mes solo por datos</w:t>
            </w:r>
          </w:p>
        </w:tc>
        <w:tc>
          <w:tcPr>
            <w:tcW w:type="dxa" w:w="3600"/>
            <w:shd w:fill="FFFFFF" w:color="auto" w:val="clear"/>
            <w:tcMar>
              <w:top w:type="dxa" w:w="80"/>
              <w:left w:type="dxa" w:w="100"/>
              <w:bottom w:type="dxa" w:w="80"/>
              <w:right w:type="dxa" w:w="100"/>
            </w:tcMar>
            <w:vAlign w:val="center"/>
          </w:tcPr>
          <w:p>
            <w:r>
              <w:rPr>
                <w:b w:val="false"/>
                <w:bCs w:val="false"/>
                <w:color w:val="000000"/>
                <w:sz w:val="20"/>
                <w:szCs w:val="20"/>
              </w:rPr>
              <w:t xml:space="preserve">≈ $27–$141 USD/mes de gateway + datos</w:t>
            </w:r>
          </w:p>
        </w:tc>
      </w:tr>
      <w:tr>
        <w:tc>
          <w:tcPr>
            <w:tcW w:type="dxa" w:w="2600"/>
            <w:shd w:fill="F2F2F2" w:color="auto" w:val="clear"/>
            <w:tcMar>
              <w:top w:type="dxa" w:w="80"/>
              <w:left w:type="dxa" w:w="100"/>
              <w:bottom w:type="dxa" w:w="80"/>
              <w:right w:type="dxa" w:w="100"/>
            </w:tcMar>
            <w:vAlign w:val="center"/>
          </w:tcPr>
          <w:p>
            <w:r>
              <w:rPr>
                <w:b w:val="false"/>
                <w:bCs w:val="false"/>
                <w:color w:val="000000"/>
                <w:sz w:val="20"/>
                <w:szCs w:val="20"/>
              </w:rPr>
              <w:t xml:space="preserve">Complejidad / esfuerzo de configuración</w:t>
            </w:r>
          </w:p>
        </w:tc>
        <w:tc>
          <w:tcPr>
            <w:tcW w:type="dxa" w:w="3800"/>
            <w:shd w:fill="F2F2F2" w:color="auto" w:val="clear"/>
            <w:tcMar>
              <w:top w:type="dxa" w:w="80"/>
              <w:left w:type="dxa" w:w="100"/>
              <w:bottom w:type="dxa" w:w="80"/>
              <w:right w:type="dxa" w:w="100"/>
            </w:tcMar>
            <w:vAlign w:val="center"/>
          </w:tcPr>
          <w:p>
            <w:r>
              <w:rPr>
                <w:b w:val="false"/>
                <w:bCs w:val="false"/>
                <w:color w:val="000000"/>
                <w:sz w:val="20"/>
                <w:szCs w:val="20"/>
              </w:rPr>
              <w:t xml:space="preserve">Baja (impacta menos horas de proyecto)</w:t>
            </w:r>
          </w:p>
        </w:tc>
        <w:tc>
          <w:tcPr>
            <w:tcW w:type="dxa" w:w="3600"/>
            <w:shd w:fill="F2F2F2" w:color="auto" w:val="clear"/>
            <w:tcMar>
              <w:top w:type="dxa" w:w="80"/>
              <w:left w:type="dxa" w:w="100"/>
              <w:bottom w:type="dxa" w:w="80"/>
              <w:right w:type="dxa" w:w="100"/>
            </w:tcMar>
            <w:vAlign w:val="center"/>
          </w:tcPr>
          <w:p>
            <w:r>
              <w:rPr>
                <w:b w:val="false"/>
                <w:bCs w:val="false"/>
                <w:color w:val="000000"/>
                <w:sz w:val="20"/>
                <w:szCs w:val="20"/>
              </w:rPr>
              <w:t xml:space="preserve">Media-Alta (más horas de proyecto)</w:t>
            </w:r>
          </w:p>
        </w:tc>
      </w:tr>
    </w:tbl>
    <w:p>
      <w:pPr>
        <w:spacing w:after="160"/>
      </w:pPr>
      <w:r>
        <w:t xml:space="preserve"/>
      </w:r>
    </w:p>
    <w:p>
      <w:pPr>
        <w:spacing w:after="160"/>
      </w:pPr>
      <w:r>
        <w:rPr>
          <w:i/>
          <w:iCs/>
          <w:color w:val="555555"/>
        </w:rPr>
        <w:t xml:space="preserve">Las tarifas anteriores son referenciales y varían según el acuerdo comercial del cliente con Microsoft. Se recomienda validar el costo final con la Azure Pricing Calculator (https://azure.microsoft.com/pricing/calculator/), simulando: Virtual Network (Peering), App Service Plan (tier con VNet Integration) y el servicio de base de datos elegido en Central US.</w:t>
      </w:r>
    </w:p>
    <w:p>
      <w:pPr>
        <w:pStyle w:val="Heading1"/>
        <w:spacing w:after="160" w:before="360"/>
      </w:pPr>
      <w:r>
        <w:t xml:space="preserve">13. Recomendaciones Adicionales</w:t>
      </w:r>
    </w:p>
    <w:p>
      <w:pPr>
        <w:pStyle w:val="ListParagraph"/>
        <w:numPr>
          <w:ilvl w:val="0"/>
          <w:numId w:val="2"/>
        </w:numPr>
        <w:spacing w:after="80"/>
      </w:pPr>
      <w:r>
        <w:t xml:space="preserve">Deshabilitar el acceso público de la base de datos una vez validado el Private Endpoint, para que todo el tráfico obligatoriamente pase por la red privada.</w:t>
      </w:r>
    </w:p>
    <w:p>
      <w:pPr>
        <w:pStyle w:val="ListParagraph"/>
        <w:numPr>
          <w:ilvl w:val="0"/>
          <w:numId w:val="2"/>
        </w:numPr>
        <w:spacing w:after="80"/>
      </w:pPr>
      <w:r>
        <w:t xml:space="preserve">Forzar TLS/SSL en la cadena de conexión de la base de datos (Encrypt=True), independientemente de que el tráfico ya viaje por una red privada — es una capa adicional de seguridad en tránsito.</w:t>
      </w:r>
    </w:p>
    <w:p>
      <w:pPr>
        <w:pStyle w:val="ListParagraph"/>
        <w:numPr>
          <w:ilvl w:val="0"/>
          <w:numId w:val="2"/>
        </w:numPr>
        <w:spacing w:after="80"/>
      </w:pPr>
      <w:r>
        <w:t xml:space="preserve">Habilitar diagnósticos (NSG Flow Logs, Azure Monitor, Log Analytics) sobre el Peering y las NSGs para tener visibilidad del tráfico entre regiones.</w:t>
      </w:r>
    </w:p>
    <w:p>
      <w:pPr>
        <w:pStyle w:val="ListParagraph"/>
        <w:numPr>
          <w:ilvl w:val="0"/>
          <w:numId w:val="2"/>
        </w:numPr>
        <w:spacing w:after="80"/>
      </w:pPr>
      <w:r>
        <w:t xml:space="preserve">Documentar los espacios de direccionamiento IP usados, para evitar traslapes si en el futuro se agregan más VNets (por ejemplo, si más adelante se conecta On-Premises con una topología Hub-Spoke).</w:t>
      </w:r>
    </w:p>
    <w:p>
      <w:pPr>
        <w:pStyle w:val="ListParagraph"/>
        <w:numPr>
          <w:ilvl w:val="0"/>
          <w:numId w:val="2"/>
        </w:numPr>
        <w:spacing w:after="80"/>
      </w:pPr>
      <w:r>
        <w:t xml:space="preserve">Definir alertas de costo (Azure Cost Management) para monitorear el gasto por transferencia de datos entre regiones y detectar crecimientos inesperados.</w:t>
      </w:r>
    </w:p>
    <w:p>
      <w:pPr>
        <w:pStyle w:val="ListParagraph"/>
        <w:numPr>
          <w:ilvl w:val="0"/>
          <w:numId w:val="2"/>
        </w:numPr>
        <w:spacing w:after="80"/>
      </w:pPr>
      <w:r>
        <w:t xml:space="preserve">Evaluar, si el volumen de tráfico crece significativamente, si conviene una arquitectura de datos con réplica de lectura en South Central US para reducir la dependencia de latencia entre regiones.</w:t>
      </w:r>
    </w:p>
    <w:p>
      <w:pPr>
        <w:pStyle w:val="ListParagraph"/>
        <w:numPr>
          <w:ilvl w:val="0"/>
          <w:numId w:val="2"/>
        </w:numPr>
        <w:spacing w:after="80"/>
      </w:pPr>
      <w:r>
        <w:t xml:space="preserve">Una vez implementada la solución, hacer una prueba de carga básica para confirmar que la latencia adicional entre regiones no afecta los tiempos de respuesta esperados por la aplicación.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bb149e16adc410528531f6e3636bb0f47edbff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2026-09-03T05:58:39.177Z</dcterms:created>
  <dcterms:modified xsi:type="dcterms:W3CDTF">2026-09-03T05:58:39.186Z</dcterms:modified>
</cp:coreProperties>
</file>

<file path=docProps/custom.xml><?xml version="1.0" encoding="utf-8"?>
<Properties xmlns="http://schemas.openxmlformats.org/officeDocument/2006/custom-properties" xmlns:vt="http://schemas.openxmlformats.org/officeDocument/2006/docPropsVTypes"/>
</file>