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4"/>
          <w:szCs w:val="44"/>
        </w:rPr>
        <w:t xml:space="preserve">PROPUESTA DE SERVICIOS PROFESIONALES</w:t>
      </w:r>
    </w:p>
    <w:p>
      <w:pPr>
        <w:spacing w:after="200"/>
        <w:jc w:val="center"/>
      </w:pPr>
      <w:r>
        <w:rPr>
          <w:rFonts w:ascii="Calibri" w:cs="Calibri" w:eastAsia="Calibri" w:hAnsi="Calibri"/>
          <w:b/>
          <w:bCs/>
          <w:color w:val="333333"/>
          <w:sz w:val="32"/>
          <w:szCs w:val="32"/>
        </w:rPr>
        <w:t xml:space="preserve">Migración de Infraestructura Virtual a Microsoft Azure</w:t>
      </w:r>
    </w:p>
    <w:p>
      <w:pPr>
        <w:spacing w:after="1200"/>
        <w:jc w:val="center"/>
      </w:pPr>
      <w:r>
        <w:rPr>
          <w:rFonts w:ascii="Calibri" w:cs="Calibri" w:eastAsia="Calibri" w:hAnsi="Calibri"/>
          <w:i/>
          <w:iCs/>
          <w:color w:val="808080"/>
          <w:sz w:val="24"/>
          <w:szCs w:val="24"/>
        </w:rPr>
        <w:t xml:space="preserve">Continuidad Operativa, Alta Disponibilidad y Recuperación ante Desastres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Cliente</w:t>
            </w:r>
          </w:p>
        </w:tc>
        <w:tc>
          <w:tcPr>
            <w:tcW w:type="dxa" w:w="62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[Nombre del Cliente]</w:t>
            </w:r>
          </w:p>
        </w:tc>
      </w:tr>
      <w:t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Proyecto</w:t>
            </w:r>
          </w:p>
        </w:tc>
        <w:tc>
          <w:tcPr>
            <w:tcW w:type="dxa" w:w="62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Migración de 4 VMs críticas VMware ESXi → Microsoft Azure</w:t>
            </w:r>
          </w:p>
        </w:tc>
      </w:tr>
      <w:t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Documento de referencia</w:t>
            </w:r>
          </w:p>
        </w:tc>
        <w:tc>
          <w:tcPr>
            <w:tcW w:type="dxa" w:w="62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Requerimiento Técnico — Migración a Nube (v1.0, Mayo 2026)</w:t>
            </w:r>
          </w:p>
        </w:tc>
      </w:tr>
      <w:t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Fecha de propuesta</w:t>
            </w:r>
          </w:p>
        </w:tc>
        <w:tc>
          <w:tcPr>
            <w:tcW w:type="dxa" w:w="62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Junio 2026</w:t>
            </w:r>
          </w:p>
        </w:tc>
      </w:tr>
      <w:t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Versión</w:t>
            </w:r>
          </w:p>
        </w:tc>
        <w:tc>
          <w:tcPr>
            <w:tcW w:type="dxa" w:w="62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1.0</w:t>
            </w:r>
          </w:p>
        </w:tc>
      </w:tr>
      <w:t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Vigencia de la propuesta</w:t>
            </w:r>
          </w:p>
        </w:tc>
        <w:tc>
          <w:tcPr>
            <w:tcW w:type="dxa" w:w="62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30 días naturales a partir de la fecha de emisión</w:t>
            </w:r>
          </w:p>
        </w:tc>
      </w:tr>
      <w:t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Clasificación</w:t>
            </w:r>
          </w:p>
        </w:tc>
        <w:tc>
          <w:tcPr>
            <w:tcW w:type="dxa" w:w="62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Confidencial</w:t>
            </w:r>
          </w:p>
        </w:tc>
      </w:tr>
      <w:t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Preparado por</w:t>
            </w:r>
          </w:p>
        </w:tc>
        <w:tc>
          <w:tcPr>
            <w:tcW w:type="dxa" w:w="62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[Nombre del Consultor / Empresa Proveedora]</w:t>
            </w:r>
          </w:p>
        </w:tc>
      </w:tr>
    </w:tbl>
    <w:p>
      <w:r>
        <w:br w:type="page"/>
      </w:r>
    </w:p>
    <w:p>
      <w:pPr>
        <w:pStyle w:val="Heading1"/>
        <w:spacing w:after="200" w:before="360"/>
      </w:pPr>
      <w:r>
        <w:rPr>
          <w:rFonts w:ascii="Calibri" w:cs="Calibri" w:eastAsia="Calibri" w:hAnsi="Calibri"/>
          <w:b/>
          <w:bCs/>
          <w:color w:val="1F4E79"/>
          <w:sz w:val="32"/>
          <w:szCs w:val="32"/>
        </w:rPr>
        <w:t xml:space="preserve">1. Resumen Ejecutivo</w:t>
      </w:r>
    </w:p>
    <w:p>
      <w:pPr>
        <w:spacing w:after="120" w:before="0" w:line="300"/>
        <w:jc w:val="both"/>
      </w:pPr>
      <w:r>
        <w:rPr>
          <w:rFonts w:ascii="Calibri" w:cs="Calibri" w:eastAsia="Calibri" w:hAnsi="Calibri"/>
          <w:sz w:val="22"/>
          <w:szCs w:val="22"/>
        </w:rPr>
        <w:t xml:space="preserve">La presente propuesta tiene como objetivo formalizar los servicios profesionales para la migración de 4 máquinas virtuales (VMs) críticas de producción, actualmente alojadas en una infraestructura on-premise basada en VMware ESXi, hacia la plataforma de nube pública Microsoft Azure.</w:t>
      </w:r>
    </w:p>
    <w:p>
      <w:pPr>
        <w:spacing w:after="120" w:before="0" w:line="300"/>
        <w:jc w:val="both"/>
      </w:pPr>
      <w:r>
        <w:rPr>
          <w:rFonts w:ascii="Calibri" w:cs="Calibri" w:eastAsia="Calibri" w:hAnsi="Calibri"/>
          <w:sz w:val="22"/>
          <w:szCs w:val="22"/>
        </w:rPr>
        <w:t xml:space="preserve">La solución propuesta atiende directamente las problemáticas identificadas en el documento de requerimientos del cliente: interrupciones de energía eléctrica, falta de redundancia de hardware, ausencia de un plan formal de recuperación ante desastres (DRP) y exposición a fallas no planificadas. Como resultado de este proyecto, el cliente contará con una arquitectura cloud de alta disponibilidad (SLA del 99.9% o superior), backups automáticos, conectividad segura mediante VPN Site-to-Site con su firewall Fortinet actual, y un modelo operativo escalable.</w:t>
      </w:r>
    </w:p>
    <w:p>
      <w:pPr>
        <w:spacing w:after="120" w:before="0" w:line="300"/>
        <w:jc w:val="both"/>
      </w:pPr>
      <w:r>
        <w:rPr>
          <w:rFonts w:ascii="Calibri" w:cs="Calibri" w:eastAsia="Calibri" w:hAnsi="Calibri"/>
          <w:sz w:val="22"/>
          <w:szCs w:val="22"/>
        </w:rPr>
        <w:t xml:space="preserve">El proyecto se estima en un plazo de ejecución de 9 a 11 semanas a partir del kick-off, dividido en 6 fases con entregables verificables y un procedimiento de rollback documentado para garantizar la continuidad operativa durante todo el proceso.</w:t>
      </w:r>
    </w:p>
    <w:p>
      <w:pPr>
        <w:spacing w:after="120"/>
      </w:pPr>
      <w:r>
        <w:t xml:space="preserve"/>
      </w:r>
    </w:p>
    <w:p>
      <w:pPr>
        <w:pStyle w:val="Heading2"/>
        <w:spacing w:after="140" w:before="280"/>
      </w:pPr>
      <w:r>
        <w:rPr>
          <w:rFonts w:ascii="Calibri" w:cs="Calibri" w:eastAsia="Calibri" w:hAnsi="Calibri"/>
          <w:b/>
          <w:bCs/>
          <w:color w:val="2E75B6"/>
          <w:sz w:val="26"/>
          <w:szCs w:val="26"/>
        </w:rPr>
        <w:t xml:space="preserve">1.1 Beneficios Clave del Proyecto</w:t>
      </w:r>
    </w:p>
    <w:p>
      <w:pPr>
        <w:pStyle w:val="ListParagraph"/>
        <w:numPr>
          <w:ilvl w:val="0"/>
          <w:numId w:val="2"/>
        </w:numPr>
        <w:spacing w:after="80" w:line="280"/>
        <w:jc w:val="both"/>
      </w:pPr>
      <w:r>
        <w:rPr>
          <w:rFonts w:ascii="Calibri" w:cs="Calibri" w:eastAsia="Calibri" w:hAnsi="Calibri"/>
          <w:sz w:val="22"/>
          <w:szCs w:val="22"/>
        </w:rPr>
        <w:t xml:space="preserve">Eliminación del riesgo asociado a fallas eléctricas y de hardware on-premise.</w:t>
      </w:r>
    </w:p>
    <w:p>
      <w:pPr>
        <w:pStyle w:val="ListParagraph"/>
        <w:numPr>
          <w:ilvl w:val="0"/>
          <w:numId w:val="2"/>
        </w:numPr>
        <w:spacing w:after="80" w:line="280"/>
        <w:jc w:val="both"/>
      </w:pPr>
      <w:r>
        <w:rPr>
          <w:rFonts w:ascii="Calibri" w:cs="Calibri" w:eastAsia="Calibri" w:hAnsi="Calibri"/>
          <w:sz w:val="22"/>
          <w:szCs w:val="22"/>
        </w:rPr>
        <w:t xml:space="preserve">Garantía de disponibilidad respaldada por el SLA de Microsoft Azure (99.9% para VMs con Premium SSD).</w:t>
      </w:r>
    </w:p>
    <w:p>
      <w:pPr>
        <w:pStyle w:val="ListParagraph"/>
        <w:numPr>
          <w:ilvl w:val="0"/>
          <w:numId w:val="2"/>
        </w:numPr>
        <w:spacing w:after="80" w:line="280"/>
        <w:jc w:val="both"/>
      </w:pPr>
      <w:r>
        <w:rPr>
          <w:rFonts w:ascii="Calibri" w:cs="Calibri" w:eastAsia="Calibri" w:hAnsi="Calibri"/>
          <w:sz w:val="22"/>
          <w:szCs w:val="22"/>
        </w:rPr>
        <w:t xml:space="preserve">Backups automáticos diarios con retención configurable y restauración granular.</w:t>
      </w:r>
    </w:p>
    <w:p>
      <w:pPr>
        <w:pStyle w:val="ListParagraph"/>
        <w:numPr>
          <w:ilvl w:val="0"/>
          <w:numId w:val="2"/>
        </w:numPr>
        <w:spacing w:after="80" w:line="280"/>
        <w:jc w:val="both"/>
      </w:pPr>
      <w:r>
        <w:rPr>
          <w:rFonts w:ascii="Calibri" w:cs="Calibri" w:eastAsia="Calibri" w:hAnsi="Calibri"/>
          <w:sz w:val="22"/>
          <w:szCs w:val="22"/>
        </w:rPr>
        <w:t xml:space="preserve">Coexistencia transparente con la red on-premise actual mediante VPN IPSec Site-to-Site sobre Fortinet.</w:t>
      </w:r>
    </w:p>
    <w:p>
      <w:pPr>
        <w:pStyle w:val="ListParagraph"/>
        <w:numPr>
          <w:ilvl w:val="0"/>
          <w:numId w:val="2"/>
        </w:numPr>
        <w:spacing w:after="80" w:line="280"/>
        <w:jc w:val="both"/>
      </w:pPr>
      <w:r>
        <w:rPr>
          <w:rFonts w:ascii="Calibri" w:cs="Calibri" w:eastAsia="Calibri" w:hAnsi="Calibri"/>
          <w:sz w:val="22"/>
          <w:szCs w:val="22"/>
        </w:rPr>
        <w:t xml:space="preserve">Escalabilidad bajo demanda: aumento de RAM/CPU sin necesidad de adquirir hardware.</w:t>
      </w:r>
    </w:p>
    <w:p>
      <w:pPr>
        <w:pStyle w:val="ListParagraph"/>
        <w:numPr>
          <w:ilvl w:val="0"/>
          <w:numId w:val="2"/>
        </w:numPr>
        <w:spacing w:after="80" w:line="280"/>
        <w:jc w:val="both"/>
      </w:pPr>
      <w:r>
        <w:rPr>
          <w:rFonts w:ascii="Calibri" w:cs="Calibri" w:eastAsia="Calibri" w:hAnsi="Calibri"/>
          <w:sz w:val="22"/>
          <w:szCs w:val="22"/>
        </w:rPr>
        <w:t xml:space="preserve">Cumplimiento de normativas (ISO 27001, SOC 2 Tipo II, alineación con LFPDPPP de México).</w:t>
      </w:r>
    </w:p>
    <w:p>
      <w:pPr>
        <w:pStyle w:val="ListParagraph"/>
        <w:numPr>
          <w:ilvl w:val="0"/>
          <w:numId w:val="2"/>
        </w:numPr>
        <w:spacing w:after="80" w:line="280"/>
        <w:jc w:val="both"/>
      </w:pPr>
      <w:r>
        <w:rPr>
          <w:rFonts w:ascii="Calibri" w:cs="Calibri" w:eastAsia="Calibri" w:hAnsi="Calibri"/>
          <w:sz w:val="22"/>
          <w:szCs w:val="22"/>
        </w:rPr>
        <w:t xml:space="preserve">Centro de datos primario en región Azure México Central, con replicación opcional a una zona secundaria.</w:t>
      </w:r>
    </w:p>
    <w:p>
      <w:r>
        <w:br w:type="page"/>
      </w:r>
    </w:p>
    <w:p>
      <w:pPr>
        <w:pStyle w:val="Heading1"/>
        <w:spacing w:after="200" w:before="360"/>
      </w:pPr>
      <w:r>
        <w:rPr>
          <w:rFonts w:ascii="Calibri" w:cs="Calibri" w:eastAsia="Calibri" w:hAnsi="Calibri"/>
          <w:b/>
          <w:bCs/>
          <w:color w:val="1F4E79"/>
          <w:sz w:val="32"/>
          <w:szCs w:val="32"/>
        </w:rPr>
        <w:t xml:space="preserve">2. Alcance del Servicio</w:t>
      </w:r>
    </w:p>
    <w:p>
      <w:pPr>
        <w:spacing w:after="120" w:before="0" w:line="300"/>
        <w:jc w:val="both"/>
      </w:pPr>
      <w:r>
        <w:rPr>
          <w:rFonts w:ascii="Calibri" w:cs="Calibri" w:eastAsia="Calibri" w:hAnsi="Calibri"/>
          <w:sz w:val="22"/>
          <w:szCs w:val="22"/>
        </w:rPr>
        <w:t xml:space="preserve">Esta sección describe los servicios profesionales que el proveedor entregará como parte del proyecto. Todo elemento que no esté explícitamente listado en esta sección debe considerarse fuera de alcance (ver sección 3).</w:t>
      </w:r>
    </w:p>
    <w:p>
      <w:pPr>
        <w:pStyle w:val="Heading2"/>
        <w:spacing w:after="140" w:before="280"/>
      </w:pPr>
      <w:r>
        <w:rPr>
          <w:rFonts w:ascii="Calibri" w:cs="Calibri" w:eastAsia="Calibri" w:hAnsi="Calibri"/>
          <w:b/>
          <w:bCs/>
          <w:color w:val="2E75B6"/>
          <w:sz w:val="26"/>
          <w:szCs w:val="26"/>
        </w:rPr>
        <w:t xml:space="preserve">2.1 Alcance Funcional</w:t>
      </w:r>
    </w:p>
    <w:p>
      <w:pPr>
        <w:pStyle w:val="ListParagraph"/>
        <w:numPr>
          <w:ilvl w:val="0"/>
          <w:numId w:val="2"/>
        </w:numPr>
        <w:spacing w:after="80" w:line="280"/>
        <w:jc w:val="both"/>
      </w:pPr>
      <w:r>
        <w:rPr>
          <w:rFonts w:ascii="Calibri" w:cs="Calibri" w:eastAsia="Calibri" w:hAnsi="Calibri"/>
          <w:sz w:val="22"/>
          <w:szCs w:val="22"/>
        </w:rPr>
        <w:t xml:space="preserve">Sesiones de descubrimiento (assessment) y levantamiento técnico de las 4 VMs prioritarias listadas en la sección 2.1 del requerimiento del cliente.</w:t>
      </w:r>
    </w:p>
    <w:p>
      <w:pPr>
        <w:pStyle w:val="ListParagraph"/>
        <w:numPr>
          <w:ilvl w:val="0"/>
          <w:numId w:val="2"/>
        </w:numPr>
        <w:spacing w:after="80" w:line="280"/>
        <w:jc w:val="both"/>
      </w:pPr>
      <w:r>
        <w:rPr>
          <w:rFonts w:ascii="Calibri" w:cs="Calibri" w:eastAsia="Calibri" w:hAnsi="Calibri"/>
          <w:sz w:val="22"/>
          <w:szCs w:val="22"/>
        </w:rPr>
        <w:t xml:space="preserve">Diseño de la arquitectura objetivo en Microsoft Azure (suscripción, grupos de recursos, redes virtuales, subredes, NSGs, almacenamiento, identidades).</w:t>
      </w:r>
    </w:p>
    <w:p>
      <w:pPr>
        <w:pStyle w:val="ListParagraph"/>
        <w:numPr>
          <w:ilvl w:val="0"/>
          <w:numId w:val="2"/>
        </w:numPr>
        <w:spacing w:after="80" w:line="280"/>
        <w:jc w:val="both"/>
      </w:pPr>
      <w:r>
        <w:rPr>
          <w:rFonts w:ascii="Calibri" w:cs="Calibri" w:eastAsia="Calibri" w:hAnsi="Calibri"/>
          <w:sz w:val="22"/>
          <w:szCs w:val="22"/>
        </w:rPr>
        <w:t xml:space="preserve">Configuración de la suscripción de Azure (puede ser CSP del proveedor o EA del cliente) y aplicación de buenas prácticas de gobierno (tagging, RBAC, policies básicas).</w:t>
      </w:r>
    </w:p>
    <w:p>
      <w:pPr>
        <w:pStyle w:val="ListParagraph"/>
        <w:numPr>
          <w:ilvl w:val="0"/>
          <w:numId w:val="2"/>
        </w:numPr>
        <w:spacing w:after="80" w:line="280"/>
        <w:jc w:val="both"/>
      </w:pPr>
      <w:r>
        <w:rPr>
          <w:rFonts w:ascii="Calibri" w:cs="Calibri" w:eastAsia="Calibri" w:hAnsi="Calibri"/>
          <w:sz w:val="22"/>
          <w:szCs w:val="22"/>
        </w:rPr>
        <w:t xml:space="preserve">Aprovisionamiento de la red virtual (VNet), subredes segmentadas y reglas de grupo de seguridad de red (NSG) equivalentes a la segmentación VLAN actual.</w:t>
      </w:r>
    </w:p>
    <w:p>
      <w:pPr>
        <w:pStyle w:val="ListParagraph"/>
        <w:numPr>
          <w:ilvl w:val="0"/>
          <w:numId w:val="2"/>
        </w:numPr>
        <w:spacing w:after="80" w:line="280"/>
        <w:jc w:val="both"/>
      </w:pPr>
      <w:r>
        <w:rPr>
          <w:rFonts w:ascii="Calibri" w:cs="Calibri" w:eastAsia="Calibri" w:hAnsi="Calibri"/>
          <w:sz w:val="22"/>
          <w:szCs w:val="22"/>
        </w:rPr>
        <w:t xml:space="preserve">Configuración de VPN Site-to-Site IPSec entre el Fortinet FortiGate del cliente y el Virtual Network Gateway de Azure.</w:t>
      </w:r>
    </w:p>
    <w:p>
      <w:pPr>
        <w:pStyle w:val="ListParagraph"/>
        <w:numPr>
          <w:ilvl w:val="0"/>
          <w:numId w:val="2"/>
        </w:numPr>
        <w:spacing w:after="80" w:line="280"/>
        <w:jc w:val="both"/>
      </w:pPr>
      <w:r>
        <w:rPr>
          <w:rFonts w:ascii="Calibri" w:cs="Calibri" w:eastAsia="Calibri" w:hAnsi="Calibri"/>
          <w:sz w:val="22"/>
          <w:szCs w:val="22"/>
        </w:rPr>
        <w:t xml:space="preserve">Aprovisionamiento de las 4 VMs en Azure con dimensionamiento equivalente o superior al estado actual.</w:t>
      </w:r>
    </w:p>
    <w:p>
      <w:pPr>
        <w:pStyle w:val="ListParagraph"/>
        <w:numPr>
          <w:ilvl w:val="0"/>
          <w:numId w:val="2"/>
        </w:numPr>
        <w:spacing w:after="80" w:line="280"/>
        <w:jc w:val="both"/>
      </w:pPr>
      <w:r>
        <w:rPr>
          <w:rFonts w:ascii="Calibri" w:cs="Calibri" w:eastAsia="Calibri" w:hAnsi="Calibri"/>
          <w:sz w:val="22"/>
          <w:szCs w:val="22"/>
        </w:rPr>
        <w:t xml:space="preserve">Configuración de Premium SSD para las 4 VMs, incluyendo disco P30 (1 TB) para LYNXCAJA-PRD con IOPS garantizados.</w:t>
      </w:r>
    </w:p>
    <w:p>
      <w:pPr>
        <w:pStyle w:val="ListParagraph"/>
        <w:numPr>
          <w:ilvl w:val="0"/>
          <w:numId w:val="2"/>
        </w:numPr>
        <w:spacing w:after="80" w:line="280"/>
        <w:jc w:val="both"/>
      </w:pPr>
      <w:r>
        <w:rPr>
          <w:rFonts w:ascii="Calibri" w:cs="Calibri" w:eastAsia="Calibri" w:hAnsi="Calibri"/>
          <w:sz w:val="22"/>
          <w:szCs w:val="22"/>
        </w:rPr>
        <w:t xml:space="preserve">Ejecución de la migración utilizando Azure Migrate (Server Migration) con replicación continua y mínimo downtime.</w:t>
      </w:r>
    </w:p>
    <w:p>
      <w:pPr>
        <w:pStyle w:val="ListParagraph"/>
        <w:numPr>
          <w:ilvl w:val="0"/>
          <w:numId w:val="2"/>
        </w:numPr>
        <w:spacing w:after="80" w:line="280"/>
        <w:jc w:val="both"/>
      </w:pPr>
      <w:r>
        <w:rPr>
          <w:rFonts w:ascii="Calibri" w:cs="Calibri" w:eastAsia="Calibri" w:hAnsi="Calibri"/>
          <w:sz w:val="22"/>
          <w:szCs w:val="22"/>
        </w:rPr>
        <w:t xml:space="preserve">Pruebas de validación funcional y técnica post-migración por cada VM.</w:t>
      </w:r>
    </w:p>
    <w:p>
      <w:pPr>
        <w:pStyle w:val="ListParagraph"/>
        <w:numPr>
          <w:ilvl w:val="0"/>
          <w:numId w:val="2"/>
        </w:numPr>
        <w:spacing w:after="80" w:line="280"/>
        <w:jc w:val="both"/>
      </w:pPr>
      <w:r>
        <w:rPr>
          <w:rFonts w:ascii="Calibri" w:cs="Calibri" w:eastAsia="Calibri" w:hAnsi="Calibri"/>
          <w:sz w:val="22"/>
          <w:szCs w:val="22"/>
        </w:rPr>
        <w:t xml:space="preserve">Configuración de Azure Backup con políticas diarias y retención de 7 días (configurable hasta 30 días según contratación).</w:t>
      </w:r>
    </w:p>
    <w:p>
      <w:pPr>
        <w:pStyle w:val="ListParagraph"/>
        <w:numPr>
          <w:ilvl w:val="0"/>
          <w:numId w:val="2"/>
        </w:numPr>
        <w:spacing w:after="80" w:line="280"/>
        <w:jc w:val="both"/>
      </w:pPr>
      <w:r>
        <w:rPr>
          <w:rFonts w:ascii="Calibri" w:cs="Calibri" w:eastAsia="Calibri" w:hAnsi="Calibri"/>
          <w:sz w:val="22"/>
          <w:szCs w:val="22"/>
        </w:rPr>
        <w:t xml:space="preserve">Configuración de Azure Monitor y alertas básicas (CPU, memoria, disco, disponibilidad).</w:t>
      </w:r>
    </w:p>
    <w:p>
      <w:pPr>
        <w:pStyle w:val="ListParagraph"/>
        <w:numPr>
          <w:ilvl w:val="0"/>
          <w:numId w:val="2"/>
        </w:numPr>
        <w:spacing w:after="80" w:line="280"/>
        <w:jc w:val="both"/>
      </w:pPr>
      <w:r>
        <w:rPr>
          <w:rFonts w:ascii="Calibri" w:cs="Calibri" w:eastAsia="Calibri" w:hAnsi="Calibri"/>
          <w:sz w:val="22"/>
          <w:szCs w:val="22"/>
        </w:rPr>
        <w:t xml:space="preserve">Documentación entregable: diagrama de arquitectura final, runbook operativo, procedimiento de rollback, matriz de credenciales.</w:t>
      </w:r>
    </w:p>
    <w:p>
      <w:pPr>
        <w:pStyle w:val="ListParagraph"/>
        <w:numPr>
          <w:ilvl w:val="0"/>
          <w:numId w:val="2"/>
        </w:numPr>
        <w:spacing w:after="80" w:line="280"/>
        <w:jc w:val="both"/>
      </w:pPr>
      <w:r>
        <w:rPr>
          <w:rFonts w:ascii="Calibri" w:cs="Calibri" w:eastAsia="Calibri" w:hAnsi="Calibri"/>
          <w:sz w:val="22"/>
          <w:szCs w:val="22"/>
        </w:rPr>
        <w:t xml:space="preserve">Sesión de transferencia de conocimiento (hand-off) al equipo de TI del cliente.</w:t>
      </w:r>
    </w:p>
    <w:p>
      <w:pPr>
        <w:pStyle w:val="ListParagraph"/>
        <w:numPr>
          <w:ilvl w:val="0"/>
          <w:numId w:val="2"/>
        </w:numPr>
        <w:spacing w:after="80" w:line="280"/>
        <w:jc w:val="both"/>
      </w:pPr>
      <w:r>
        <w:rPr>
          <w:rFonts w:ascii="Calibri" w:cs="Calibri" w:eastAsia="Calibri" w:hAnsi="Calibri"/>
          <w:sz w:val="22"/>
          <w:szCs w:val="22"/>
        </w:rPr>
        <w:t xml:space="preserve">Soporte de hipercuidado (hypercare) por 15 días naturales posteriores al go-live.</w:t>
      </w:r>
    </w:p>
    <w:p>
      <w:pPr>
        <w:pStyle w:val="Heading2"/>
        <w:spacing w:after="140" w:before="280"/>
      </w:pPr>
      <w:r>
        <w:rPr>
          <w:rFonts w:ascii="Calibri" w:cs="Calibri" w:eastAsia="Calibri" w:hAnsi="Calibri"/>
          <w:b/>
          <w:bCs/>
          <w:color w:val="2E75B6"/>
          <w:sz w:val="26"/>
          <w:szCs w:val="26"/>
        </w:rPr>
        <w:t xml:space="preserve">2.2 VMs Incluidas en 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320"/>
        <w:gridCol w:w="1320"/>
        <w:gridCol w:w="1800"/>
        <w:gridCol w:w="2280"/>
      </w:tblGrid>
      <w:tr>
        <w:tc>
          <w:tcPr>
            <w:tcW w:type="dxa" w:w="264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Nombre de la VM</w:t>
            </w:r>
          </w:p>
        </w:tc>
        <w:tc>
          <w:tcPr>
            <w:tcW w:type="dxa" w:w="132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RAM</w:t>
            </w:r>
          </w:p>
        </w:tc>
        <w:tc>
          <w:tcPr>
            <w:tcW w:type="dxa" w:w="132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vCPUs</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Storage</w:t>
            </w:r>
          </w:p>
        </w:tc>
        <w:tc>
          <w:tcPr>
            <w:tcW w:type="dxa" w:w="228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Sistema Operativo</w:t>
            </w:r>
          </w:p>
        </w:tc>
      </w:tr>
      <w:tr>
        <w:tc>
          <w:tcPr>
            <w:tcW w:type="dxa" w:w="26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LYNXCAJA-PRD</w:t>
            </w:r>
          </w:p>
        </w:tc>
        <w:tc>
          <w:tcPr>
            <w:tcW w:type="dxa" w:w="13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16 GB</w:t>
            </w:r>
          </w:p>
        </w:tc>
        <w:tc>
          <w:tcPr>
            <w:tcW w:type="dxa" w:w="13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8</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 TB SSD Premium</w:t>
            </w:r>
          </w:p>
        </w:tc>
        <w:tc>
          <w:tcPr>
            <w:tcW w:type="dxa" w:w="228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Windows Server</w:t>
            </w:r>
          </w:p>
        </w:tc>
      </w:tr>
      <w:tr>
        <w:tc>
          <w:tcPr>
            <w:tcW w:type="dxa" w:w="26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ActiveDirectory-CSJB</w:t>
            </w:r>
          </w:p>
        </w:tc>
        <w:tc>
          <w:tcPr>
            <w:tcW w:type="dxa" w:w="13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8 GB</w:t>
            </w:r>
          </w:p>
        </w:tc>
        <w:tc>
          <w:tcPr>
            <w:tcW w:type="dxa" w:w="13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2</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128 GB Premium</w:t>
            </w:r>
          </w:p>
        </w:tc>
        <w:tc>
          <w:tcPr>
            <w:tcW w:type="dxa" w:w="228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Windows Server</w:t>
            </w:r>
          </w:p>
        </w:tc>
      </w:tr>
      <w:tr>
        <w:tc>
          <w:tcPr>
            <w:tcW w:type="dxa" w:w="26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CONTPAQI-CSJB</w:t>
            </w:r>
          </w:p>
        </w:tc>
        <w:tc>
          <w:tcPr>
            <w:tcW w:type="dxa" w:w="13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16 GB</w:t>
            </w:r>
          </w:p>
        </w:tc>
        <w:tc>
          <w:tcPr>
            <w:tcW w:type="dxa" w:w="13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8</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128 GB Premium</w:t>
            </w:r>
          </w:p>
        </w:tc>
        <w:tc>
          <w:tcPr>
            <w:tcW w:type="dxa" w:w="228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Windows Server</w:t>
            </w:r>
          </w:p>
        </w:tc>
      </w:tr>
      <w:tr>
        <w:tc>
          <w:tcPr>
            <w:tcW w:type="dxa" w:w="26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LYNX_CxC</w:t>
            </w:r>
          </w:p>
        </w:tc>
        <w:tc>
          <w:tcPr>
            <w:tcW w:type="dxa" w:w="13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6 GB</w:t>
            </w:r>
          </w:p>
        </w:tc>
        <w:tc>
          <w:tcPr>
            <w:tcW w:type="dxa" w:w="13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4</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128 GB Premium</w:t>
            </w:r>
          </w:p>
        </w:tc>
        <w:tc>
          <w:tcPr>
            <w:tcW w:type="dxa" w:w="228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Ubuntu Linux</w:t>
            </w:r>
          </w:p>
        </w:tc>
      </w:tr>
    </w:tbl>
    <w:p>
      <w:r>
        <w:br w:type="page"/>
      </w:r>
    </w:p>
    <w:p>
      <w:pPr>
        <w:pStyle w:val="Heading1"/>
        <w:spacing w:after="200" w:before="360"/>
      </w:pPr>
      <w:r>
        <w:rPr>
          <w:rFonts w:ascii="Calibri" w:cs="Calibri" w:eastAsia="Calibri" w:hAnsi="Calibri"/>
          <w:b/>
          <w:bCs/>
          <w:color w:val="1F4E79"/>
          <w:sz w:val="32"/>
          <w:szCs w:val="32"/>
        </w:rPr>
        <w:t xml:space="preserve">3. Fuera de Alcance</w:t>
      </w:r>
    </w:p>
    <w:p>
      <w:pPr>
        <w:spacing w:after="120" w:before="0" w:line="300"/>
        <w:jc w:val="both"/>
      </w:pPr>
      <w:r>
        <w:rPr>
          <w:rFonts w:ascii="Calibri" w:cs="Calibri" w:eastAsia="Calibri" w:hAnsi="Calibri"/>
          <w:sz w:val="22"/>
          <w:szCs w:val="22"/>
        </w:rPr>
        <w:t xml:space="preserve">Los siguientes elementos no forman parte de la presente propuesta. En caso de que el cliente requiera alguno de ellos, podrán ser cotizados como un servicio complementario mediante una orden de cambio (Change Order).</w:t>
      </w:r>
    </w:p>
    <w:p>
      <w:pPr>
        <w:pStyle w:val="Heading2"/>
        <w:spacing w:after="140" w:before="280"/>
      </w:pPr>
      <w:r>
        <w:rPr>
          <w:rFonts w:ascii="Calibri" w:cs="Calibri" w:eastAsia="Calibri" w:hAnsi="Calibri"/>
          <w:b/>
          <w:bCs/>
          <w:color w:val="2E75B6"/>
          <w:sz w:val="26"/>
          <w:szCs w:val="26"/>
        </w:rPr>
        <w:t xml:space="preserve">3.1 Migración y Aplicaciones</w:t>
      </w:r>
    </w:p>
    <w:p>
      <w:pPr>
        <w:pStyle w:val="ListParagraph"/>
        <w:numPr>
          <w:ilvl w:val="0"/>
          <w:numId w:val="2"/>
        </w:numPr>
        <w:spacing w:after="80" w:line="280"/>
        <w:jc w:val="both"/>
      </w:pPr>
      <w:r>
        <w:rPr>
          <w:rFonts w:ascii="Calibri" w:cs="Calibri" w:eastAsia="Calibri" w:hAnsi="Calibri"/>
          <w:sz w:val="22"/>
          <w:szCs w:val="22"/>
        </w:rPr>
        <w:t xml:space="preserve">Migración de las 7 VMs restantes del entorno ESXi (fuera de las 4 priorizadas en Fase 1).</w:t>
      </w:r>
    </w:p>
    <w:p>
      <w:pPr>
        <w:pStyle w:val="ListParagraph"/>
        <w:numPr>
          <w:ilvl w:val="0"/>
          <w:numId w:val="2"/>
        </w:numPr>
        <w:spacing w:after="80" w:line="280"/>
        <w:jc w:val="both"/>
      </w:pPr>
      <w:r>
        <w:rPr>
          <w:rFonts w:ascii="Calibri" w:cs="Calibri" w:eastAsia="Calibri" w:hAnsi="Calibri"/>
          <w:sz w:val="22"/>
          <w:szCs w:val="22"/>
        </w:rPr>
        <w:t xml:space="preserve">Refactorización, modernización o re-plataformización de aplicaciones (lift-and-shift puro, no replatforming).</w:t>
      </w:r>
    </w:p>
    <w:p>
      <w:pPr>
        <w:pStyle w:val="ListParagraph"/>
        <w:numPr>
          <w:ilvl w:val="0"/>
          <w:numId w:val="2"/>
        </w:numPr>
        <w:spacing w:after="80" w:line="280"/>
        <w:jc w:val="both"/>
      </w:pPr>
      <w:r>
        <w:rPr>
          <w:rFonts w:ascii="Calibri" w:cs="Calibri" w:eastAsia="Calibri" w:hAnsi="Calibri"/>
          <w:sz w:val="22"/>
          <w:szCs w:val="22"/>
        </w:rPr>
        <w:t xml:space="preserve">Upgrade de versiones de sistema operativo (p. ej., migrar de Windows Server 2012 R2 a Windows Server 2022).</w:t>
      </w:r>
    </w:p>
    <w:p>
      <w:pPr>
        <w:pStyle w:val="ListParagraph"/>
        <w:numPr>
          <w:ilvl w:val="0"/>
          <w:numId w:val="2"/>
        </w:numPr>
        <w:spacing w:after="80" w:line="280"/>
        <w:jc w:val="both"/>
      </w:pPr>
      <w:r>
        <w:rPr>
          <w:rFonts w:ascii="Calibri" w:cs="Calibri" w:eastAsia="Calibri" w:hAnsi="Calibri"/>
          <w:sz w:val="22"/>
          <w:szCs w:val="22"/>
        </w:rPr>
        <w:t xml:space="preserve">Migración o reconfiguración del software CONTPAQi: instalación, parametrización, licenciamiento o validación con el fabricante.</w:t>
      </w:r>
    </w:p>
    <w:p>
      <w:pPr>
        <w:pStyle w:val="ListParagraph"/>
        <w:numPr>
          <w:ilvl w:val="0"/>
          <w:numId w:val="2"/>
        </w:numPr>
        <w:spacing w:after="80" w:line="280"/>
        <w:jc w:val="both"/>
      </w:pPr>
      <w:r>
        <w:rPr>
          <w:rFonts w:ascii="Calibri" w:cs="Calibri" w:eastAsia="Calibri" w:hAnsi="Calibri"/>
          <w:sz w:val="22"/>
          <w:szCs w:val="22"/>
        </w:rPr>
        <w:t xml:space="preserve">Pruebas funcionales de negocio de las aplicaciones (responsabilidad del cliente / áreas usuarias).</w:t>
      </w:r>
    </w:p>
    <w:p>
      <w:pPr>
        <w:pStyle w:val="ListParagraph"/>
        <w:numPr>
          <w:ilvl w:val="0"/>
          <w:numId w:val="2"/>
        </w:numPr>
        <w:spacing w:after="80" w:line="280"/>
        <w:jc w:val="both"/>
      </w:pPr>
      <w:r>
        <w:rPr>
          <w:rFonts w:ascii="Calibri" w:cs="Calibri" w:eastAsia="Calibri" w:hAnsi="Calibri"/>
          <w:sz w:val="22"/>
          <w:szCs w:val="22"/>
        </w:rPr>
        <w:t xml:space="preserve">Reescritura de aplicaciones legacy o desarrollo de software a la medida.</w:t>
      </w:r>
    </w:p>
    <w:p>
      <w:pPr>
        <w:pStyle w:val="Heading2"/>
        <w:spacing w:after="140" w:before="280"/>
      </w:pPr>
      <w:r>
        <w:rPr>
          <w:rFonts w:ascii="Calibri" w:cs="Calibri" w:eastAsia="Calibri" w:hAnsi="Calibri"/>
          <w:b/>
          <w:bCs/>
          <w:color w:val="2E75B6"/>
          <w:sz w:val="26"/>
          <w:szCs w:val="26"/>
        </w:rPr>
        <w:t xml:space="preserve">3.2 Licenciamiento</w:t>
      </w:r>
    </w:p>
    <w:p>
      <w:pPr>
        <w:pStyle w:val="ListParagraph"/>
        <w:numPr>
          <w:ilvl w:val="0"/>
          <w:numId w:val="2"/>
        </w:numPr>
        <w:spacing w:after="80" w:line="280"/>
        <w:jc w:val="both"/>
      </w:pPr>
      <w:r>
        <w:rPr>
          <w:rFonts w:ascii="Calibri" w:cs="Calibri" w:eastAsia="Calibri" w:hAnsi="Calibri"/>
          <w:sz w:val="22"/>
          <w:szCs w:val="22"/>
        </w:rPr>
        <w:t xml:space="preserve">Adquisición de licencias de Microsoft Windows Server (se asume modelo BYOL — el cliente provee sus licencias activas con Software Assurance, o bien se cotizan aparte bajo modelo de licencia incluida en Azure).</w:t>
      </w:r>
    </w:p>
    <w:p>
      <w:pPr>
        <w:pStyle w:val="ListParagraph"/>
        <w:numPr>
          <w:ilvl w:val="0"/>
          <w:numId w:val="2"/>
        </w:numPr>
        <w:spacing w:after="80" w:line="280"/>
        <w:jc w:val="both"/>
      </w:pPr>
      <w:r>
        <w:rPr>
          <w:rFonts w:ascii="Calibri" w:cs="Calibri" w:eastAsia="Calibri" w:hAnsi="Calibri"/>
          <w:sz w:val="22"/>
          <w:szCs w:val="22"/>
        </w:rPr>
        <w:t xml:space="preserve">Licenciamiento de software de terceros instalado dentro de las VMs (CONTPAQi, antivirus, monitoreo, etc.).</w:t>
      </w:r>
    </w:p>
    <w:p>
      <w:pPr>
        <w:pStyle w:val="ListParagraph"/>
        <w:numPr>
          <w:ilvl w:val="0"/>
          <w:numId w:val="2"/>
        </w:numPr>
        <w:spacing w:after="80" w:line="280"/>
        <w:jc w:val="both"/>
      </w:pPr>
      <w:r>
        <w:rPr>
          <w:rFonts w:ascii="Calibri" w:cs="Calibri" w:eastAsia="Calibri" w:hAnsi="Calibri"/>
          <w:sz w:val="22"/>
          <w:szCs w:val="22"/>
        </w:rPr>
        <w:t xml:space="preserve">Costo de las suscripciones mensuales de Microsoft Azure (se entrega estimación, pero la facturación corresponde al cliente o al CSP elegido).</w:t>
      </w:r>
    </w:p>
    <w:p>
      <w:pPr>
        <w:pStyle w:val="Heading2"/>
        <w:spacing w:after="140" w:before="280"/>
      </w:pPr>
      <w:r>
        <w:rPr>
          <w:rFonts w:ascii="Calibri" w:cs="Calibri" w:eastAsia="Calibri" w:hAnsi="Calibri"/>
          <w:b/>
          <w:bCs/>
          <w:color w:val="2E75B6"/>
          <w:sz w:val="26"/>
          <w:szCs w:val="26"/>
        </w:rPr>
        <w:t xml:space="preserve">3.3 Infraestructura y Redes</w:t>
      </w:r>
    </w:p>
    <w:p>
      <w:pPr>
        <w:pStyle w:val="ListParagraph"/>
        <w:numPr>
          <w:ilvl w:val="0"/>
          <w:numId w:val="2"/>
        </w:numPr>
        <w:spacing w:after="80" w:line="280"/>
        <w:jc w:val="both"/>
      </w:pPr>
      <w:r>
        <w:rPr>
          <w:rFonts w:ascii="Calibri" w:cs="Calibri" w:eastAsia="Calibri" w:hAnsi="Calibri"/>
          <w:sz w:val="22"/>
          <w:szCs w:val="22"/>
        </w:rPr>
        <w:t xml:space="preserve">Adquisición, instalación, configuración o renovación del firewall Fortinet FortiGate on-premise (se asume que está operativo y con soporte vigente).</w:t>
      </w:r>
    </w:p>
    <w:p>
      <w:pPr>
        <w:pStyle w:val="ListParagraph"/>
        <w:numPr>
          <w:ilvl w:val="0"/>
          <w:numId w:val="2"/>
        </w:numPr>
        <w:spacing w:after="80" w:line="280"/>
        <w:jc w:val="both"/>
      </w:pPr>
      <w:r>
        <w:rPr>
          <w:rFonts w:ascii="Calibri" w:cs="Calibri" w:eastAsia="Calibri" w:hAnsi="Calibri"/>
          <w:sz w:val="22"/>
          <w:szCs w:val="22"/>
        </w:rPr>
        <w:t xml:space="preserve">Mejoras o cambios al enlace de internet on-premise (ancho de banda, redundancia ISP).</w:t>
      </w:r>
    </w:p>
    <w:p>
      <w:pPr>
        <w:pStyle w:val="ListParagraph"/>
        <w:numPr>
          <w:ilvl w:val="0"/>
          <w:numId w:val="2"/>
        </w:numPr>
        <w:spacing w:after="80" w:line="280"/>
        <w:jc w:val="both"/>
      </w:pPr>
      <w:r>
        <w:rPr>
          <w:rFonts w:ascii="Calibri" w:cs="Calibri" w:eastAsia="Calibri" w:hAnsi="Calibri"/>
          <w:sz w:val="22"/>
          <w:szCs w:val="22"/>
        </w:rPr>
        <w:t xml:space="preserve">Cableado, switches, racks o cualquier modificación al data center físico.</w:t>
      </w:r>
    </w:p>
    <w:p>
      <w:pPr>
        <w:pStyle w:val="ListParagraph"/>
        <w:numPr>
          <w:ilvl w:val="0"/>
          <w:numId w:val="2"/>
        </w:numPr>
        <w:spacing w:after="80" w:line="280"/>
        <w:jc w:val="both"/>
      </w:pPr>
      <w:r>
        <w:rPr>
          <w:rFonts w:ascii="Calibri" w:cs="Calibri" w:eastAsia="Calibri" w:hAnsi="Calibri"/>
          <w:sz w:val="22"/>
          <w:szCs w:val="22"/>
        </w:rPr>
        <w:t xml:space="preserve">Migración o configuración de servicios DNS públicos, registros de dominio o certificados SSL/TLS.</w:t>
      </w:r>
    </w:p>
    <w:p>
      <w:pPr>
        <w:pStyle w:val="ListParagraph"/>
        <w:numPr>
          <w:ilvl w:val="0"/>
          <w:numId w:val="2"/>
        </w:numPr>
        <w:spacing w:after="80" w:line="280"/>
        <w:jc w:val="both"/>
      </w:pPr>
      <w:r>
        <w:rPr>
          <w:rFonts w:ascii="Calibri" w:cs="Calibri" w:eastAsia="Calibri" w:hAnsi="Calibri"/>
          <w:sz w:val="22"/>
          <w:szCs w:val="22"/>
        </w:rPr>
        <w:t xml:space="preserve">Active Directory: si se requiere implementar Azure AD Connect, Azure AD DS o migrar a Microsoft Entra ID, será cotizado como complemento.</w:t>
      </w:r>
    </w:p>
    <w:p>
      <w:pPr>
        <w:pStyle w:val="Heading2"/>
        <w:spacing w:after="140" w:before="280"/>
      </w:pPr>
      <w:r>
        <w:rPr>
          <w:rFonts w:ascii="Calibri" w:cs="Calibri" w:eastAsia="Calibri" w:hAnsi="Calibri"/>
          <w:b/>
          <w:bCs/>
          <w:color w:val="2E75B6"/>
          <w:sz w:val="26"/>
          <w:szCs w:val="26"/>
        </w:rPr>
        <w:t xml:space="preserve">3.4 Seguridad y Cumplimiento</w:t>
      </w:r>
    </w:p>
    <w:p>
      <w:pPr>
        <w:pStyle w:val="ListParagraph"/>
        <w:numPr>
          <w:ilvl w:val="0"/>
          <w:numId w:val="2"/>
        </w:numPr>
        <w:spacing w:after="80" w:line="280"/>
        <w:jc w:val="both"/>
      </w:pPr>
      <w:r>
        <w:rPr>
          <w:rFonts w:ascii="Calibri" w:cs="Calibri" w:eastAsia="Calibri" w:hAnsi="Calibri"/>
          <w:sz w:val="22"/>
          <w:szCs w:val="22"/>
        </w:rPr>
        <w:t xml:space="preserve">Implementación de soluciones avanzadas de seguridad (Microsoft Defender for Cloud P2, Sentinel, WAF, DDoS Protection Standard).</w:t>
      </w:r>
    </w:p>
    <w:p>
      <w:pPr>
        <w:pStyle w:val="ListParagraph"/>
        <w:numPr>
          <w:ilvl w:val="0"/>
          <w:numId w:val="2"/>
        </w:numPr>
        <w:spacing w:after="80" w:line="280"/>
        <w:jc w:val="both"/>
      </w:pPr>
      <w:r>
        <w:rPr>
          <w:rFonts w:ascii="Calibri" w:cs="Calibri" w:eastAsia="Calibri" w:hAnsi="Calibri"/>
          <w:sz w:val="22"/>
          <w:szCs w:val="22"/>
        </w:rPr>
        <w:t xml:space="preserve">Auditorías formales de seguridad o cumplimiento (PCI-DSS, HIPAA, ISO 27001 del cliente).</w:t>
      </w:r>
    </w:p>
    <w:p>
      <w:pPr>
        <w:pStyle w:val="ListParagraph"/>
        <w:numPr>
          <w:ilvl w:val="0"/>
          <w:numId w:val="2"/>
        </w:numPr>
        <w:spacing w:after="80" w:line="280"/>
        <w:jc w:val="both"/>
      </w:pPr>
      <w:r>
        <w:rPr>
          <w:rFonts w:ascii="Calibri" w:cs="Calibri" w:eastAsia="Calibri" w:hAnsi="Calibri"/>
          <w:sz w:val="22"/>
          <w:szCs w:val="22"/>
        </w:rPr>
        <w:t xml:space="preserve">Hardening profundo del sistema operativo más allá de los baselines estándar de Azure.</w:t>
      </w:r>
    </w:p>
    <w:p>
      <w:pPr>
        <w:pStyle w:val="ListParagraph"/>
        <w:numPr>
          <w:ilvl w:val="0"/>
          <w:numId w:val="2"/>
        </w:numPr>
        <w:spacing w:after="80" w:line="280"/>
        <w:jc w:val="both"/>
      </w:pPr>
      <w:r>
        <w:rPr>
          <w:rFonts w:ascii="Calibri" w:cs="Calibri" w:eastAsia="Calibri" w:hAnsi="Calibri"/>
          <w:sz w:val="22"/>
          <w:szCs w:val="22"/>
        </w:rPr>
        <w:t xml:space="preserve">Capacitación formal certificada en Azure para el personal del cliente.</w:t>
      </w:r>
    </w:p>
    <w:p>
      <w:pPr>
        <w:pStyle w:val="Heading2"/>
        <w:spacing w:after="140" w:before="280"/>
      </w:pPr>
      <w:r>
        <w:rPr>
          <w:rFonts w:ascii="Calibri" w:cs="Calibri" w:eastAsia="Calibri" w:hAnsi="Calibri"/>
          <w:b/>
          <w:bCs/>
          <w:color w:val="2E75B6"/>
          <w:sz w:val="26"/>
          <w:szCs w:val="26"/>
        </w:rPr>
        <w:t xml:space="preserve">3.5 Operación Continua Post-Hypercare</w:t>
      </w:r>
    </w:p>
    <w:p>
      <w:pPr>
        <w:pStyle w:val="ListParagraph"/>
        <w:numPr>
          <w:ilvl w:val="0"/>
          <w:numId w:val="2"/>
        </w:numPr>
        <w:spacing w:after="80" w:line="280"/>
        <w:jc w:val="both"/>
      </w:pPr>
      <w:r>
        <w:rPr>
          <w:rFonts w:ascii="Calibri" w:cs="Calibri" w:eastAsia="Calibri" w:hAnsi="Calibri"/>
          <w:sz w:val="22"/>
          <w:szCs w:val="22"/>
        </w:rPr>
        <w:t xml:space="preserve">Operación, monitoreo 24x7 y soporte continuo de la plataforma una vez finalizado el periodo de hypercare (15 días). Se ofrece como servicio gestionado (Managed Services) aparte.</w:t>
      </w:r>
    </w:p>
    <w:p>
      <w:pPr>
        <w:pStyle w:val="ListParagraph"/>
        <w:numPr>
          <w:ilvl w:val="0"/>
          <w:numId w:val="2"/>
        </w:numPr>
        <w:spacing w:after="80" w:line="280"/>
        <w:jc w:val="both"/>
      </w:pPr>
      <w:r>
        <w:rPr>
          <w:rFonts w:ascii="Calibri" w:cs="Calibri" w:eastAsia="Calibri" w:hAnsi="Calibri"/>
          <w:sz w:val="22"/>
          <w:szCs w:val="22"/>
        </w:rPr>
        <w:t xml:space="preserve">Administración continua de parches de sistema operativo y aplicaciones.</w:t>
      </w:r>
    </w:p>
    <w:p>
      <w:pPr>
        <w:pStyle w:val="ListParagraph"/>
        <w:numPr>
          <w:ilvl w:val="0"/>
          <w:numId w:val="2"/>
        </w:numPr>
        <w:spacing w:after="80" w:line="280"/>
        <w:jc w:val="both"/>
      </w:pPr>
      <w:r>
        <w:rPr>
          <w:rFonts w:ascii="Calibri" w:cs="Calibri" w:eastAsia="Calibri" w:hAnsi="Calibri"/>
          <w:sz w:val="22"/>
          <w:szCs w:val="22"/>
        </w:rPr>
        <w:t xml:space="preserve">Atención a incidentes operativos no relacionados con la migración.</w:t>
      </w:r>
    </w:p>
    <w:p>
      <w:r>
        <w:br w:type="page"/>
      </w:r>
    </w:p>
    <w:p>
      <w:pPr>
        <w:pStyle w:val="Heading1"/>
        <w:spacing w:after="200" w:before="360"/>
      </w:pPr>
      <w:r>
        <w:rPr>
          <w:rFonts w:ascii="Calibri" w:cs="Calibri" w:eastAsia="Calibri" w:hAnsi="Calibri"/>
          <w:b/>
          <w:bCs/>
          <w:color w:val="1F4E79"/>
          <w:sz w:val="32"/>
          <w:szCs w:val="32"/>
        </w:rPr>
        <w:t xml:space="preserve">4. Supuestos del Proyecto</w:t>
      </w:r>
    </w:p>
    <w:p>
      <w:pPr>
        <w:spacing w:after="120" w:before="0" w:line="300"/>
        <w:jc w:val="both"/>
      </w:pPr>
      <w:r>
        <w:rPr>
          <w:rFonts w:ascii="Calibri" w:cs="Calibri" w:eastAsia="Calibri" w:hAnsi="Calibri"/>
          <w:sz w:val="22"/>
          <w:szCs w:val="22"/>
        </w:rPr>
        <w:t xml:space="preserve">La ejecución, los tiempos y los costos de esta propuesta se fundamentan en los siguientes supuestos. La variación o invalidación de alguno de ellos durante la ejecución podrá generar ajustes mediante orden de cambio formal.</w:t>
      </w:r>
    </w:p>
    <w:p>
      <w:pPr>
        <w:pStyle w:val="Heading2"/>
        <w:spacing w:after="140" w:before="280"/>
      </w:pPr>
      <w:r>
        <w:rPr>
          <w:rFonts w:ascii="Calibri" w:cs="Calibri" w:eastAsia="Calibri" w:hAnsi="Calibri"/>
          <w:b/>
          <w:bCs/>
          <w:color w:val="2E75B6"/>
          <w:sz w:val="26"/>
          <w:szCs w:val="26"/>
        </w:rPr>
        <w:t xml:space="preserve">4.1 Supuestos Técnicos</w:t>
      </w:r>
    </w:p>
    <w:p>
      <w:pPr>
        <w:pStyle w:val="ListParagraph"/>
        <w:numPr>
          <w:ilvl w:val="0"/>
          <w:numId w:val="3"/>
        </w:numPr>
        <w:spacing w:after="80" w:line="280"/>
        <w:jc w:val="both"/>
      </w:pPr>
      <w:r>
        <w:rPr>
          <w:rFonts w:ascii="Calibri" w:cs="Calibri" w:eastAsia="Calibri" w:hAnsi="Calibri"/>
          <w:sz w:val="22"/>
          <w:szCs w:val="22"/>
        </w:rPr>
        <w:t xml:space="preserve">El entorno VMware ESXi de origen se encuentra operativo, con acceso administrativo vCenter o ESXi Host Client y permisos suficientes para exportar imágenes, instalar agentes de migración y configurar replicación.</w:t>
      </w:r>
    </w:p>
    <w:p>
      <w:pPr>
        <w:pStyle w:val="ListParagraph"/>
        <w:numPr>
          <w:ilvl w:val="0"/>
          <w:numId w:val="3"/>
        </w:numPr>
        <w:spacing w:after="80" w:line="280"/>
        <w:jc w:val="both"/>
      </w:pPr>
      <w:r>
        <w:rPr>
          <w:rFonts w:ascii="Calibri" w:cs="Calibri" w:eastAsia="Calibri" w:hAnsi="Calibri"/>
          <w:sz w:val="22"/>
          <w:szCs w:val="22"/>
        </w:rPr>
        <w:t xml:space="preserve">Las 4 VMs son compatibles con Azure Migrate y cumplen con los requisitos de compatibilidad publicados por Microsoft (sistemas operativos soportados, configuración de discos, etc.).</w:t>
      </w:r>
    </w:p>
    <w:p>
      <w:pPr>
        <w:pStyle w:val="ListParagraph"/>
        <w:numPr>
          <w:ilvl w:val="0"/>
          <w:numId w:val="3"/>
        </w:numPr>
        <w:spacing w:after="80" w:line="280"/>
        <w:jc w:val="both"/>
      </w:pPr>
      <w:r>
        <w:rPr>
          <w:rFonts w:ascii="Calibri" w:cs="Calibri" w:eastAsia="Calibri" w:hAnsi="Calibri"/>
          <w:sz w:val="22"/>
          <w:szCs w:val="22"/>
        </w:rPr>
        <w:t xml:space="preserve">El cliente proporciona el inventario de software instalado dentro de cada VM (aplicaciones, agentes, dependencias) antes del inicio de la fase de migración.</w:t>
      </w:r>
    </w:p>
    <w:p>
      <w:pPr>
        <w:pStyle w:val="ListParagraph"/>
        <w:numPr>
          <w:ilvl w:val="0"/>
          <w:numId w:val="3"/>
        </w:numPr>
        <w:spacing w:after="80" w:line="280"/>
        <w:jc w:val="both"/>
      </w:pPr>
      <w:r>
        <w:rPr>
          <w:rFonts w:ascii="Calibri" w:cs="Calibri" w:eastAsia="Calibri" w:hAnsi="Calibri"/>
          <w:sz w:val="22"/>
          <w:szCs w:val="22"/>
        </w:rPr>
        <w:t xml:space="preserve">Las licencias de Windows Server son válidas y pueden ser reutilizadas en Azure bajo el Beneficio de Uso Híbrido de Azure (Azure Hybrid Benefit), o el cliente acepta el modelo PAYG con licencia incluida en el costo de la VM.</w:t>
      </w:r>
    </w:p>
    <w:p>
      <w:pPr>
        <w:pStyle w:val="ListParagraph"/>
        <w:numPr>
          <w:ilvl w:val="0"/>
          <w:numId w:val="3"/>
        </w:numPr>
        <w:spacing w:after="80" w:line="280"/>
        <w:jc w:val="both"/>
      </w:pPr>
      <w:r>
        <w:rPr>
          <w:rFonts w:ascii="Calibri" w:cs="Calibri" w:eastAsia="Calibri" w:hAnsi="Calibri"/>
          <w:sz w:val="22"/>
          <w:szCs w:val="22"/>
        </w:rPr>
        <w:t xml:space="preserve">El cliente cuenta con un enlace a internet con ancho de banda suficiente (mínimo 100 Mbps simétricos recomendado) para soportar la replicación inicial de los discos hacia Azure dentro de la ventana del proyecto.</w:t>
      </w:r>
    </w:p>
    <w:p>
      <w:pPr>
        <w:pStyle w:val="ListParagraph"/>
        <w:numPr>
          <w:ilvl w:val="0"/>
          <w:numId w:val="3"/>
        </w:numPr>
        <w:spacing w:after="80" w:line="280"/>
        <w:jc w:val="both"/>
      </w:pPr>
      <w:r>
        <w:rPr>
          <w:rFonts w:ascii="Calibri" w:cs="Calibri" w:eastAsia="Calibri" w:hAnsi="Calibri"/>
          <w:sz w:val="22"/>
          <w:szCs w:val="22"/>
        </w:rPr>
        <w:t xml:space="preserve">El firewall Fortinet FortiGate se encuentra en una versión de FortiOS compatible con VPN IPSec Site-to-Site sobre Azure (FortiOS 6.0 o superior), con licencias activas y permite la configuración de túneles IKEv2.</w:t>
      </w:r>
    </w:p>
    <w:p>
      <w:pPr>
        <w:pStyle w:val="ListParagraph"/>
        <w:numPr>
          <w:ilvl w:val="0"/>
          <w:numId w:val="3"/>
        </w:numPr>
        <w:spacing w:after="80" w:line="280"/>
        <w:jc w:val="both"/>
      </w:pPr>
      <w:r>
        <w:rPr>
          <w:rFonts w:ascii="Calibri" w:cs="Calibri" w:eastAsia="Calibri" w:hAnsi="Calibri"/>
          <w:sz w:val="22"/>
          <w:szCs w:val="22"/>
        </w:rPr>
        <w:t xml:space="preserve">La región objetivo en Azure es Mexico Central (o la región acordada en la fase de assessment). Si se requieren regiones específicas adicionales, se evaluará impacto en costo.</w:t>
      </w:r>
    </w:p>
    <w:p>
      <w:pPr>
        <w:pStyle w:val="ListParagraph"/>
        <w:numPr>
          <w:ilvl w:val="0"/>
          <w:numId w:val="3"/>
        </w:numPr>
        <w:spacing w:after="80" w:line="280"/>
        <w:jc w:val="both"/>
      </w:pPr>
      <w:r>
        <w:rPr>
          <w:rFonts w:ascii="Calibri" w:cs="Calibri" w:eastAsia="Calibri" w:hAnsi="Calibri"/>
          <w:sz w:val="22"/>
          <w:szCs w:val="22"/>
        </w:rPr>
        <w:t xml:space="preserve">Las direcciones IP privadas asignadas a las VMs en Azure no entran en conflicto con los rangos IP actuales de la red on-premise.</w:t>
      </w:r>
    </w:p>
    <w:p>
      <w:pPr>
        <w:pStyle w:val="Heading2"/>
        <w:spacing w:after="140" w:before="280"/>
      </w:pPr>
      <w:r>
        <w:rPr>
          <w:rFonts w:ascii="Calibri" w:cs="Calibri" w:eastAsia="Calibri" w:hAnsi="Calibri"/>
          <w:b/>
          <w:bCs/>
          <w:color w:val="2E75B6"/>
          <w:sz w:val="26"/>
          <w:szCs w:val="26"/>
        </w:rPr>
        <w:t xml:space="preserve">4.2 Supuestos Operativos y de Negocio</w:t>
      </w:r>
    </w:p>
    <w:p>
      <w:pPr>
        <w:pStyle w:val="ListParagraph"/>
        <w:numPr>
          <w:ilvl w:val="0"/>
          <w:numId w:val="3"/>
        </w:numPr>
        <w:spacing w:after="80" w:line="280"/>
        <w:jc w:val="both"/>
      </w:pPr>
      <w:r>
        <w:rPr>
          <w:rFonts w:ascii="Calibri" w:cs="Calibri" w:eastAsia="Calibri" w:hAnsi="Calibri"/>
          <w:sz w:val="22"/>
          <w:szCs w:val="22"/>
        </w:rPr>
        <w:t xml:space="preserve">El cliente designa formalmente un Project Owner (Patrocinador) y un Líder Técnico con autoridad para tomar decisiones operativas durante el proyecto.</w:t>
      </w:r>
    </w:p>
    <w:p>
      <w:pPr>
        <w:pStyle w:val="ListParagraph"/>
        <w:numPr>
          <w:ilvl w:val="0"/>
          <w:numId w:val="3"/>
        </w:numPr>
        <w:spacing w:after="80" w:line="280"/>
        <w:jc w:val="both"/>
      </w:pPr>
      <w:r>
        <w:rPr>
          <w:rFonts w:ascii="Calibri" w:cs="Calibri" w:eastAsia="Calibri" w:hAnsi="Calibri"/>
          <w:sz w:val="22"/>
          <w:szCs w:val="22"/>
        </w:rPr>
        <w:t xml:space="preserve">El cliente otorgará ventanas de mantenimiento nocturnas o de fin de semana para los cortes de producción, con un downtime máximo acordado por VM (estimado entre 30 y 90 minutos por VM, dependiendo del tamaño del disco).</w:t>
      </w:r>
    </w:p>
    <w:p>
      <w:pPr>
        <w:pStyle w:val="ListParagraph"/>
        <w:numPr>
          <w:ilvl w:val="0"/>
          <w:numId w:val="3"/>
        </w:numPr>
        <w:spacing w:after="80" w:line="280"/>
        <w:jc w:val="both"/>
      </w:pPr>
      <w:r>
        <w:rPr>
          <w:rFonts w:ascii="Calibri" w:cs="Calibri" w:eastAsia="Calibri" w:hAnsi="Calibri"/>
          <w:sz w:val="22"/>
          <w:szCs w:val="22"/>
        </w:rPr>
        <w:t xml:space="preserve">El personal técnico del cliente está disponible durante las sesiones de descubrimiento, pruebas y validación funcional.</w:t>
      </w:r>
    </w:p>
    <w:p>
      <w:pPr>
        <w:pStyle w:val="ListParagraph"/>
        <w:numPr>
          <w:ilvl w:val="0"/>
          <w:numId w:val="3"/>
        </w:numPr>
        <w:spacing w:after="80" w:line="280"/>
        <w:jc w:val="both"/>
      </w:pPr>
      <w:r>
        <w:rPr>
          <w:rFonts w:ascii="Calibri" w:cs="Calibri" w:eastAsia="Calibri" w:hAnsi="Calibri"/>
          <w:sz w:val="22"/>
          <w:szCs w:val="22"/>
        </w:rPr>
        <w:t xml:space="preserve">El cliente realizará las pruebas funcionales de negocio dentro de las primeras 48 horas posteriores a cada migración, a fin de validar o ejecutar el plan de rollback si fuese necesario.</w:t>
      </w:r>
    </w:p>
    <w:p>
      <w:pPr>
        <w:pStyle w:val="ListParagraph"/>
        <w:numPr>
          <w:ilvl w:val="0"/>
          <w:numId w:val="3"/>
        </w:numPr>
        <w:spacing w:after="80" w:line="280"/>
        <w:jc w:val="both"/>
      </w:pPr>
      <w:r>
        <w:rPr>
          <w:rFonts w:ascii="Calibri" w:cs="Calibri" w:eastAsia="Calibri" w:hAnsi="Calibri"/>
          <w:sz w:val="22"/>
          <w:szCs w:val="22"/>
        </w:rPr>
        <w:t xml:space="preserve">El cliente acepta el modelo de comunicación y reuniones semanales de seguimiento durante toda la ejecución del proyecto.</w:t>
      </w:r>
    </w:p>
    <w:p>
      <w:pPr>
        <w:pStyle w:val="ListParagraph"/>
        <w:numPr>
          <w:ilvl w:val="0"/>
          <w:numId w:val="3"/>
        </w:numPr>
        <w:spacing w:after="80" w:line="280"/>
        <w:jc w:val="both"/>
      </w:pPr>
      <w:r>
        <w:rPr>
          <w:rFonts w:ascii="Calibri" w:cs="Calibri" w:eastAsia="Calibri" w:hAnsi="Calibri"/>
          <w:sz w:val="22"/>
          <w:szCs w:val="22"/>
        </w:rPr>
        <w:t xml:space="preserve">Existe un plan de respaldo (backup) operativo y reciente de las VMs en el entorno on-premise antes de iniciar la migración, como red de seguridad adicional.</w:t>
      </w:r>
    </w:p>
    <w:p>
      <w:pPr>
        <w:pStyle w:val="Heading2"/>
        <w:spacing w:after="140" w:before="280"/>
      </w:pPr>
      <w:r>
        <w:rPr>
          <w:rFonts w:ascii="Calibri" w:cs="Calibri" w:eastAsia="Calibri" w:hAnsi="Calibri"/>
          <w:b/>
          <w:bCs/>
          <w:color w:val="2E75B6"/>
          <w:sz w:val="26"/>
          <w:szCs w:val="26"/>
        </w:rPr>
        <w:t xml:space="preserve">4.3 Supuestos Comerciales y de Licenciamiento</w:t>
      </w:r>
    </w:p>
    <w:p>
      <w:pPr>
        <w:pStyle w:val="ListParagraph"/>
        <w:numPr>
          <w:ilvl w:val="0"/>
          <w:numId w:val="3"/>
        </w:numPr>
        <w:spacing w:after="80" w:line="280"/>
        <w:jc w:val="both"/>
      </w:pPr>
      <w:r>
        <w:rPr>
          <w:rFonts w:ascii="Calibri" w:cs="Calibri" w:eastAsia="Calibri" w:hAnsi="Calibri"/>
          <w:sz w:val="22"/>
          <w:szCs w:val="22"/>
        </w:rPr>
        <w:t xml:space="preserve">Los costos de la suscripción mensual a Microsoft Azure (consumo) son facturados por separado al servicio profesional, ya sea directamente por Microsoft (EA) o a través de un Cloud Solution Provider (CSP).</w:t>
      </w:r>
    </w:p>
    <w:p>
      <w:pPr>
        <w:pStyle w:val="ListParagraph"/>
        <w:numPr>
          <w:ilvl w:val="0"/>
          <w:numId w:val="3"/>
        </w:numPr>
        <w:spacing w:after="80" w:line="280"/>
        <w:jc w:val="both"/>
      </w:pPr>
      <w:r>
        <w:rPr>
          <w:rFonts w:ascii="Calibri" w:cs="Calibri" w:eastAsia="Calibri" w:hAnsi="Calibri"/>
          <w:sz w:val="22"/>
          <w:szCs w:val="22"/>
        </w:rPr>
        <w:t xml:space="preserve">Los precios de Azure incluidos en la sección 8 (Calculadora) son estimados basados en la lista de precios pública vigente al momento de la propuesta y están sujetos a fluctuación por parte de Microsoft.</w:t>
      </w:r>
    </w:p>
    <w:p>
      <w:pPr>
        <w:pStyle w:val="ListParagraph"/>
        <w:numPr>
          <w:ilvl w:val="0"/>
          <w:numId w:val="3"/>
        </w:numPr>
        <w:spacing w:after="80" w:line="280"/>
        <w:jc w:val="both"/>
      </w:pPr>
      <w:r>
        <w:rPr>
          <w:rFonts w:ascii="Calibri" w:cs="Calibri" w:eastAsia="Calibri" w:hAnsi="Calibri"/>
          <w:sz w:val="22"/>
          <w:szCs w:val="22"/>
        </w:rPr>
        <w:t xml:space="preserve">Para validar costos vinculantes, el cliente puede solicitar una cotización formal por la región Mexico Central a través del portal de Azure o del CSP designado.</w:t>
      </w:r>
    </w:p>
    <w:p>
      <w:pPr>
        <w:pStyle w:val="ListParagraph"/>
        <w:numPr>
          <w:ilvl w:val="0"/>
          <w:numId w:val="3"/>
        </w:numPr>
        <w:spacing w:after="80" w:line="280"/>
        <w:jc w:val="both"/>
      </w:pPr>
      <w:r>
        <w:rPr>
          <w:rFonts w:ascii="Calibri" w:cs="Calibri" w:eastAsia="Calibri" w:hAnsi="Calibri"/>
          <w:sz w:val="22"/>
          <w:szCs w:val="22"/>
        </w:rPr>
        <w:t xml:space="preserve">La licencia de CONTPAQi debe ser validada con el fabricante del software por parte del cliente para garantizar su operación en un entorno cloud. El proveedor no se hace responsable de restricciones de licenciamiento de terceros.</w:t>
      </w:r>
    </w:p>
    <w:p>
      <w:pPr>
        <w:pStyle w:val="ListParagraph"/>
        <w:numPr>
          <w:ilvl w:val="0"/>
          <w:numId w:val="3"/>
        </w:numPr>
        <w:spacing w:after="80" w:line="280"/>
        <w:jc w:val="both"/>
      </w:pPr>
      <w:r>
        <w:rPr>
          <w:rFonts w:ascii="Calibri" w:cs="Calibri" w:eastAsia="Calibri" w:hAnsi="Calibri"/>
          <w:sz w:val="22"/>
          <w:szCs w:val="22"/>
        </w:rPr>
        <w:t xml:space="preserve">Cualquier servicio adicional fuera del alcance descrito requerirá una orden de cambio formal con su correspondiente impacto en costo y tiempo.</w:t>
      </w:r>
    </w:p>
    <w:p>
      <w:r>
        <w:br w:type="page"/>
      </w:r>
    </w:p>
    <w:p>
      <w:pPr>
        <w:pStyle w:val="Heading1"/>
        <w:spacing w:after="200" w:before="360"/>
      </w:pPr>
      <w:r>
        <w:rPr>
          <w:rFonts w:ascii="Calibri" w:cs="Calibri" w:eastAsia="Calibri" w:hAnsi="Calibri"/>
          <w:b/>
          <w:bCs/>
          <w:color w:val="1F4E79"/>
          <w:sz w:val="32"/>
          <w:szCs w:val="32"/>
        </w:rPr>
        <w:t xml:space="preserve">5. Plan de Migración Detallado</w:t>
      </w:r>
    </w:p>
    <w:p>
      <w:pPr>
        <w:spacing w:after="120" w:before="0" w:line="300"/>
        <w:jc w:val="both"/>
      </w:pPr>
      <w:r>
        <w:rPr>
          <w:rFonts w:ascii="Calibri" w:cs="Calibri" w:eastAsia="Calibri" w:hAnsi="Calibri"/>
          <w:sz w:val="22"/>
          <w:szCs w:val="22"/>
        </w:rPr>
        <w:t xml:space="preserve">El plan de migración se estructura en 6 fases secuenciales con sus respectivos entregables, responsables y duración estimada. Las fases 3, 4 y 5 pueden tener traslapes parciales según la disponibilidad del cliente. La duración total estimada del proyecto es de 9 a 11 semanas.</w:t>
      </w:r>
    </w:p>
    <w:p>
      <w:pPr>
        <w:pStyle w:val="Heading2"/>
        <w:spacing w:after="140" w:before="280"/>
      </w:pPr>
      <w:r>
        <w:rPr>
          <w:rFonts w:ascii="Calibri" w:cs="Calibri" w:eastAsia="Calibri" w:hAnsi="Calibri"/>
          <w:b/>
          <w:bCs/>
          <w:color w:val="2E75B6"/>
          <w:sz w:val="26"/>
          <w:szCs w:val="26"/>
        </w:rPr>
        <w:t xml:space="preserve">5.1 Resumen de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400"/>
        <w:gridCol w:w="1800"/>
        <w:gridCol w:w="1800"/>
        <w:gridCol w:w="1640"/>
      </w:tblGrid>
      <w:tr>
        <w:tc>
          <w:tcPr>
            <w:tcW w:type="dxa" w:w="72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34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Fase</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Duración</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Responsable</w:t>
            </w:r>
          </w:p>
        </w:tc>
        <w:tc>
          <w:tcPr>
            <w:tcW w:type="dxa" w:w="164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Hito</w:t>
            </w:r>
          </w:p>
        </w:tc>
      </w:tr>
      <w:tr>
        <w:tc>
          <w:tcPr>
            <w:tcW w:type="dxa" w:w="7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w:t>
            </w:r>
          </w:p>
        </w:tc>
        <w:tc>
          <w:tcPr>
            <w:tcW w:type="dxa" w:w="34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Assessment y Descubrimiento</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1 - 2 semanas</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Proveedor + Cliente</w:t>
            </w:r>
          </w:p>
        </w:tc>
        <w:tc>
          <w:tcPr>
            <w:tcW w:type="dxa" w:w="16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Reporte de assessment aprobado</w:t>
            </w:r>
          </w:p>
        </w:tc>
      </w:tr>
      <w:tr>
        <w:tc>
          <w:tcPr>
            <w:tcW w:type="dxa" w:w="7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2</w:t>
            </w:r>
          </w:p>
        </w:tc>
        <w:tc>
          <w:tcPr>
            <w:tcW w:type="dxa" w:w="34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Diseño de Arquitectura Azure</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1 - 2 semanas</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Proveedor</w:t>
            </w:r>
          </w:p>
        </w:tc>
        <w:tc>
          <w:tcPr>
            <w:tcW w:type="dxa" w:w="16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HLD/LLD firmado</w:t>
            </w:r>
          </w:p>
        </w:tc>
      </w:tr>
      <w:tr>
        <w:tc>
          <w:tcPr>
            <w:tcW w:type="dxa" w:w="7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3</w:t>
            </w:r>
          </w:p>
        </w:tc>
        <w:tc>
          <w:tcPr>
            <w:tcW w:type="dxa" w:w="34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Preparación del Entorno (Landing Zone)</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1 - 2 semanas</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Proveedor</w:t>
            </w:r>
          </w:p>
        </w:tc>
        <w:tc>
          <w:tcPr>
            <w:tcW w:type="dxa" w:w="16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VNet, VPN y NSGs operativos</w:t>
            </w:r>
          </w:p>
        </w:tc>
      </w:tr>
      <w:tr>
        <w:tc>
          <w:tcPr>
            <w:tcW w:type="dxa" w:w="7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4</w:t>
            </w:r>
          </w:p>
        </w:tc>
        <w:tc>
          <w:tcPr>
            <w:tcW w:type="dxa" w:w="34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Migración Piloto (1 VM no crítica)</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 semana</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Proveedor + Cliente</w:t>
            </w:r>
          </w:p>
        </w:tc>
        <w:tc>
          <w:tcPr>
            <w:tcW w:type="dxa" w:w="16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Piloto validado</w:t>
            </w:r>
          </w:p>
        </w:tc>
      </w:tr>
      <w:tr>
        <w:tc>
          <w:tcPr>
            <w:tcW w:type="dxa" w:w="7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5</w:t>
            </w:r>
          </w:p>
        </w:tc>
        <w:tc>
          <w:tcPr>
            <w:tcW w:type="dxa" w:w="34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Migración Producción de las 4 VMs</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2 - 3 semanas</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Proveedor + Cliente</w:t>
            </w:r>
          </w:p>
        </w:tc>
        <w:tc>
          <w:tcPr>
            <w:tcW w:type="dxa" w:w="16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Go-live exitoso</w:t>
            </w:r>
          </w:p>
        </w:tc>
      </w:tr>
      <w:tr>
        <w:tc>
          <w:tcPr>
            <w:tcW w:type="dxa" w:w="7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6</w:t>
            </w:r>
          </w:p>
        </w:tc>
        <w:tc>
          <w:tcPr>
            <w:tcW w:type="dxa" w:w="34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Estabilización (Hypercare) y Hand-off</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2 semanas</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Proveedor</w:t>
            </w:r>
          </w:p>
        </w:tc>
        <w:tc>
          <w:tcPr>
            <w:tcW w:type="dxa" w:w="16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Cierre de proyecto</w:t>
            </w:r>
          </w:p>
        </w:tc>
      </w:tr>
    </w:tbl>
    <w:p>
      <w:pPr>
        <w:spacing w:after="160"/>
      </w:pPr>
      <w:r>
        <w:t xml:space="preserve"/>
      </w:r>
    </w:p>
    <w:p>
      <w:pPr>
        <w:pStyle w:val="Heading2"/>
        <w:spacing w:after="140" w:before="280"/>
      </w:pPr>
      <w:r>
        <w:rPr>
          <w:rFonts w:ascii="Calibri" w:cs="Calibri" w:eastAsia="Calibri" w:hAnsi="Calibri"/>
          <w:b/>
          <w:bCs/>
          <w:color w:val="2E75B6"/>
          <w:sz w:val="26"/>
          <w:szCs w:val="26"/>
        </w:rPr>
        <w:t xml:space="preserve">5.2 Fase 1 — Assessment y Descubrimiento</w:t>
      </w:r>
    </w:p>
    <w:p>
      <w:pPr>
        <w:spacing w:after="120" w:before="0" w:line="300"/>
        <w:jc w:val="both"/>
      </w:pPr>
      <w:r>
        <w:rPr>
          <w:rFonts w:ascii="Calibri" w:cs="Calibri" w:eastAsia="Calibri" w:hAnsi="Calibri"/>
          <w:sz w:val="22"/>
          <w:szCs w:val="22"/>
        </w:rPr>
        <w:t xml:space="preserve">Objetivo: levantar el inventario técnico real, validar compatibilidad de las VMs con Azure y dimensionar correctamente los recursos cloud.</w:t>
      </w:r>
    </w:p>
    <w:p>
      <w:pPr>
        <w:pStyle w:val="Heading3"/>
        <w:spacing w:after="100" w:before="200"/>
      </w:pPr>
      <w:r>
        <w:rPr>
          <w:rFonts w:ascii="Calibri" w:cs="Calibri" w:eastAsia="Calibri" w:hAnsi="Calibri"/>
          <w:b/>
          <w:bCs/>
          <w:color w:val="333333"/>
          <w:sz w:val="23"/>
          <w:szCs w:val="23"/>
        </w:rPr>
        <w:t xml:space="preserve">Actividades</w:t>
      </w:r>
    </w:p>
    <w:p>
      <w:pPr>
        <w:pStyle w:val="ListParagraph"/>
        <w:numPr>
          <w:ilvl w:val="0"/>
          <w:numId w:val="2"/>
        </w:numPr>
        <w:spacing w:after="80" w:line="280"/>
        <w:jc w:val="both"/>
      </w:pPr>
      <w:r>
        <w:rPr>
          <w:rFonts w:ascii="Calibri" w:cs="Calibri" w:eastAsia="Calibri" w:hAnsi="Calibri"/>
          <w:sz w:val="22"/>
          <w:szCs w:val="22"/>
        </w:rPr>
        <w:t xml:space="preserve">Sesión de kick-off del proyecto con stakeholders del cliente.</w:t>
      </w:r>
    </w:p>
    <w:p>
      <w:pPr>
        <w:pStyle w:val="ListParagraph"/>
        <w:numPr>
          <w:ilvl w:val="0"/>
          <w:numId w:val="2"/>
        </w:numPr>
        <w:spacing w:after="80" w:line="280"/>
        <w:jc w:val="both"/>
      </w:pPr>
      <w:r>
        <w:rPr>
          <w:rFonts w:ascii="Calibri" w:cs="Calibri" w:eastAsia="Calibri" w:hAnsi="Calibri"/>
          <w:sz w:val="22"/>
          <w:szCs w:val="22"/>
        </w:rPr>
        <w:t xml:space="preserve">Levantamiento detallado de las 4 VMs: SO, parches, software instalado, dependencias, agentes.</w:t>
      </w:r>
    </w:p>
    <w:p>
      <w:pPr>
        <w:pStyle w:val="ListParagraph"/>
        <w:numPr>
          <w:ilvl w:val="0"/>
          <w:numId w:val="2"/>
        </w:numPr>
        <w:spacing w:after="80" w:line="280"/>
        <w:jc w:val="both"/>
      </w:pPr>
      <w:r>
        <w:rPr>
          <w:rFonts w:ascii="Calibri" w:cs="Calibri" w:eastAsia="Calibri" w:hAnsi="Calibri"/>
          <w:sz w:val="22"/>
          <w:szCs w:val="22"/>
        </w:rPr>
        <w:t xml:space="preserve">Análisis de tráfico de red, dependencias entre aplicaciones y puertos abiertos.</w:t>
      </w:r>
    </w:p>
    <w:p>
      <w:pPr>
        <w:pStyle w:val="ListParagraph"/>
        <w:numPr>
          <w:ilvl w:val="0"/>
          <w:numId w:val="2"/>
        </w:numPr>
        <w:spacing w:after="80" w:line="280"/>
        <w:jc w:val="both"/>
      </w:pPr>
      <w:r>
        <w:rPr>
          <w:rFonts w:ascii="Calibri" w:cs="Calibri" w:eastAsia="Calibri" w:hAnsi="Calibri"/>
          <w:sz w:val="22"/>
          <w:szCs w:val="22"/>
        </w:rPr>
        <w:t xml:space="preserve">Ejecución de Azure Migrate: appliance de descubrimiento dentro del entorno VMware del cliente.</w:t>
      </w:r>
    </w:p>
    <w:p>
      <w:pPr>
        <w:pStyle w:val="ListParagraph"/>
        <w:numPr>
          <w:ilvl w:val="0"/>
          <w:numId w:val="2"/>
        </w:numPr>
        <w:spacing w:after="80" w:line="280"/>
        <w:jc w:val="both"/>
      </w:pPr>
      <w:r>
        <w:rPr>
          <w:rFonts w:ascii="Calibri" w:cs="Calibri" w:eastAsia="Calibri" w:hAnsi="Calibri"/>
          <w:sz w:val="22"/>
          <w:szCs w:val="22"/>
        </w:rPr>
        <w:t xml:space="preserve">Recolección de métricas de utilización de CPU, RAM, IOPS y red por al menos 5 días hábiles.</w:t>
      </w:r>
    </w:p>
    <w:p>
      <w:pPr>
        <w:pStyle w:val="ListParagraph"/>
        <w:numPr>
          <w:ilvl w:val="0"/>
          <w:numId w:val="2"/>
        </w:numPr>
        <w:spacing w:after="80" w:line="280"/>
        <w:jc w:val="both"/>
      </w:pPr>
      <w:r>
        <w:rPr>
          <w:rFonts w:ascii="Calibri" w:cs="Calibri" w:eastAsia="Calibri" w:hAnsi="Calibri"/>
          <w:sz w:val="22"/>
          <w:szCs w:val="22"/>
        </w:rPr>
        <w:t xml:space="preserve">Identificación de bloqueos técnicos (drivers, software incompatible, licencias restringidas).</w:t>
      </w:r>
    </w:p>
    <w:p>
      <w:pPr>
        <w:pStyle w:val="ListParagraph"/>
        <w:numPr>
          <w:ilvl w:val="0"/>
          <w:numId w:val="2"/>
        </w:numPr>
        <w:spacing w:after="80" w:line="280"/>
        <w:jc w:val="both"/>
      </w:pPr>
      <w:r>
        <w:rPr>
          <w:rFonts w:ascii="Calibri" w:cs="Calibri" w:eastAsia="Calibri" w:hAnsi="Calibri"/>
          <w:sz w:val="22"/>
          <w:szCs w:val="22"/>
        </w:rPr>
        <w:t xml:space="preserve">Validación inicial de la licencia de CONTPAQi para entorno cloud (con apoyo del cliente).</w:t>
      </w:r>
    </w:p>
    <w:p>
      <w:pPr>
        <w:pStyle w:val="Heading3"/>
        <w:spacing w:after="100" w:before="200"/>
      </w:pPr>
      <w:r>
        <w:rPr>
          <w:rFonts w:ascii="Calibri" w:cs="Calibri" w:eastAsia="Calibri" w:hAnsi="Calibri"/>
          <w:b/>
          <w:bCs/>
          <w:color w:val="333333"/>
          <w:sz w:val="23"/>
          <w:szCs w:val="23"/>
        </w:rPr>
        <w:t xml:space="preserve">Entregables de la Fase</w:t>
      </w:r>
    </w:p>
    <w:p>
      <w:pPr>
        <w:pStyle w:val="ListParagraph"/>
        <w:numPr>
          <w:ilvl w:val="0"/>
          <w:numId w:val="2"/>
        </w:numPr>
        <w:spacing w:after="80" w:line="280"/>
        <w:jc w:val="both"/>
      </w:pPr>
      <w:r>
        <w:rPr>
          <w:rFonts w:ascii="Calibri" w:cs="Calibri" w:eastAsia="Calibri" w:hAnsi="Calibri"/>
          <w:sz w:val="22"/>
          <w:szCs w:val="22"/>
        </w:rPr>
        <w:t xml:space="preserve">Reporte de Assessment con dimensionamiento recomendado por VM.</w:t>
      </w:r>
    </w:p>
    <w:p>
      <w:pPr>
        <w:pStyle w:val="ListParagraph"/>
        <w:numPr>
          <w:ilvl w:val="0"/>
          <w:numId w:val="2"/>
        </w:numPr>
        <w:spacing w:after="80" w:line="280"/>
        <w:jc w:val="both"/>
      </w:pPr>
      <w:r>
        <w:rPr>
          <w:rFonts w:ascii="Calibri" w:cs="Calibri" w:eastAsia="Calibri" w:hAnsi="Calibri"/>
          <w:sz w:val="22"/>
          <w:szCs w:val="22"/>
        </w:rPr>
        <w:t xml:space="preserve">Mapa de dependencias de aplicaciones.</w:t>
      </w:r>
    </w:p>
    <w:p>
      <w:pPr>
        <w:pStyle w:val="ListParagraph"/>
        <w:numPr>
          <w:ilvl w:val="0"/>
          <w:numId w:val="2"/>
        </w:numPr>
        <w:spacing w:after="80" w:line="280"/>
        <w:jc w:val="both"/>
      </w:pPr>
      <w:r>
        <w:rPr>
          <w:rFonts w:ascii="Calibri" w:cs="Calibri" w:eastAsia="Calibri" w:hAnsi="Calibri"/>
          <w:sz w:val="22"/>
          <w:szCs w:val="22"/>
        </w:rPr>
        <w:t xml:space="preserve">Análisis de riesgos y plan de mitigación.</w:t>
      </w:r>
    </w:p>
    <w:p>
      <w:pPr>
        <w:pStyle w:val="ListParagraph"/>
        <w:numPr>
          <w:ilvl w:val="0"/>
          <w:numId w:val="2"/>
        </w:numPr>
        <w:spacing w:after="80" w:line="280"/>
        <w:jc w:val="both"/>
      </w:pPr>
      <w:r>
        <w:rPr>
          <w:rFonts w:ascii="Calibri" w:cs="Calibri" w:eastAsia="Calibri" w:hAnsi="Calibri"/>
          <w:sz w:val="22"/>
          <w:szCs w:val="22"/>
        </w:rPr>
        <w:t xml:space="preserve">Acta de cierre de fase firmada.</w:t>
      </w:r>
    </w:p>
    <w:p>
      <w:pPr>
        <w:pStyle w:val="Heading2"/>
        <w:spacing w:after="140" w:before="280"/>
      </w:pPr>
      <w:r>
        <w:rPr>
          <w:rFonts w:ascii="Calibri" w:cs="Calibri" w:eastAsia="Calibri" w:hAnsi="Calibri"/>
          <w:b/>
          <w:bCs/>
          <w:color w:val="2E75B6"/>
          <w:sz w:val="26"/>
          <w:szCs w:val="26"/>
        </w:rPr>
        <w:t xml:space="preserve">5.3 Fase 2 — Diseño de Arquitectura Azure</w:t>
      </w:r>
    </w:p>
    <w:p>
      <w:pPr>
        <w:spacing w:after="120" w:before="0" w:line="300"/>
        <w:jc w:val="both"/>
      </w:pPr>
      <w:r>
        <w:rPr>
          <w:rFonts w:ascii="Calibri" w:cs="Calibri" w:eastAsia="Calibri" w:hAnsi="Calibri"/>
          <w:sz w:val="22"/>
          <w:szCs w:val="22"/>
        </w:rPr>
        <w:t xml:space="preserve">Objetivo: diseñar la arquitectura objetivo en Azure (Landing Zone) y entregar la documentación técnica de detalle.</w:t>
      </w:r>
    </w:p>
    <w:p>
      <w:pPr>
        <w:pStyle w:val="Heading3"/>
        <w:spacing w:after="100" w:before="200"/>
      </w:pPr>
      <w:r>
        <w:rPr>
          <w:rFonts w:ascii="Calibri" w:cs="Calibri" w:eastAsia="Calibri" w:hAnsi="Calibri"/>
          <w:b/>
          <w:bCs/>
          <w:color w:val="333333"/>
          <w:sz w:val="23"/>
          <w:szCs w:val="23"/>
        </w:rPr>
        <w:t xml:space="preserve">Actividades</w:t>
      </w:r>
    </w:p>
    <w:p>
      <w:pPr>
        <w:pStyle w:val="ListParagraph"/>
        <w:numPr>
          <w:ilvl w:val="0"/>
          <w:numId w:val="2"/>
        </w:numPr>
        <w:spacing w:after="80" w:line="280"/>
        <w:jc w:val="both"/>
      </w:pPr>
      <w:r>
        <w:rPr>
          <w:rFonts w:ascii="Calibri" w:cs="Calibri" w:eastAsia="Calibri" w:hAnsi="Calibri"/>
          <w:sz w:val="22"/>
          <w:szCs w:val="22"/>
        </w:rPr>
        <w:t xml:space="preserve">Diseño de la arquitectura de red: VNet, subredes, NSGs, rutas, peering (si aplica).</w:t>
      </w:r>
    </w:p>
    <w:p>
      <w:pPr>
        <w:pStyle w:val="ListParagraph"/>
        <w:numPr>
          <w:ilvl w:val="0"/>
          <w:numId w:val="2"/>
        </w:numPr>
        <w:spacing w:after="80" w:line="280"/>
        <w:jc w:val="both"/>
      </w:pPr>
      <w:r>
        <w:rPr>
          <w:rFonts w:ascii="Calibri" w:cs="Calibri" w:eastAsia="Calibri" w:hAnsi="Calibri"/>
          <w:sz w:val="22"/>
          <w:szCs w:val="22"/>
        </w:rPr>
        <w:t xml:space="preserve">Diseño de la estructura de suscripciones, grupos de recursos y modelo de tagging.</w:t>
      </w:r>
    </w:p>
    <w:p>
      <w:pPr>
        <w:pStyle w:val="ListParagraph"/>
        <w:numPr>
          <w:ilvl w:val="0"/>
          <w:numId w:val="2"/>
        </w:numPr>
        <w:spacing w:after="80" w:line="280"/>
        <w:jc w:val="both"/>
      </w:pPr>
      <w:r>
        <w:rPr>
          <w:rFonts w:ascii="Calibri" w:cs="Calibri" w:eastAsia="Calibri" w:hAnsi="Calibri"/>
          <w:sz w:val="22"/>
          <w:szCs w:val="22"/>
        </w:rPr>
        <w:t xml:space="preserve">Definición del esquema de identidad y acceso (RBAC, integración con AD existente).</w:t>
      </w:r>
    </w:p>
    <w:p>
      <w:pPr>
        <w:pStyle w:val="ListParagraph"/>
        <w:numPr>
          <w:ilvl w:val="0"/>
          <w:numId w:val="2"/>
        </w:numPr>
        <w:spacing w:after="80" w:line="280"/>
        <w:jc w:val="both"/>
      </w:pPr>
      <w:r>
        <w:rPr>
          <w:rFonts w:ascii="Calibri" w:cs="Calibri" w:eastAsia="Calibri" w:hAnsi="Calibri"/>
          <w:sz w:val="22"/>
          <w:szCs w:val="22"/>
        </w:rPr>
        <w:t xml:space="preserve">Selección del tamaño de VM (SKU) y tipo de disco por cada workload.</w:t>
      </w:r>
    </w:p>
    <w:p>
      <w:pPr>
        <w:pStyle w:val="ListParagraph"/>
        <w:numPr>
          <w:ilvl w:val="0"/>
          <w:numId w:val="2"/>
        </w:numPr>
        <w:spacing w:after="80" w:line="280"/>
        <w:jc w:val="both"/>
      </w:pPr>
      <w:r>
        <w:rPr>
          <w:rFonts w:ascii="Calibri" w:cs="Calibri" w:eastAsia="Calibri" w:hAnsi="Calibri"/>
          <w:sz w:val="22"/>
          <w:szCs w:val="22"/>
        </w:rPr>
        <w:t xml:space="preserve">Diseño del esquema de backup y políticas de retención.</w:t>
      </w:r>
    </w:p>
    <w:p>
      <w:pPr>
        <w:pStyle w:val="ListParagraph"/>
        <w:numPr>
          <w:ilvl w:val="0"/>
          <w:numId w:val="2"/>
        </w:numPr>
        <w:spacing w:after="80" w:line="280"/>
        <w:jc w:val="both"/>
      </w:pPr>
      <w:r>
        <w:rPr>
          <w:rFonts w:ascii="Calibri" w:cs="Calibri" w:eastAsia="Calibri" w:hAnsi="Calibri"/>
          <w:sz w:val="22"/>
          <w:szCs w:val="22"/>
        </w:rPr>
        <w:t xml:space="preserve">Diseño del esquema de monitoreo y alertas (Azure Monitor, Log Analytics).</w:t>
      </w:r>
    </w:p>
    <w:p>
      <w:pPr>
        <w:pStyle w:val="ListParagraph"/>
        <w:numPr>
          <w:ilvl w:val="0"/>
          <w:numId w:val="2"/>
        </w:numPr>
        <w:spacing w:after="80" w:line="280"/>
        <w:jc w:val="both"/>
      </w:pPr>
      <w:r>
        <w:rPr>
          <w:rFonts w:ascii="Calibri" w:cs="Calibri" w:eastAsia="Calibri" w:hAnsi="Calibri"/>
          <w:sz w:val="22"/>
          <w:szCs w:val="22"/>
        </w:rPr>
        <w:t xml:space="preserve">Diseño de la VPN Site-to-Site con Fortinet (parámetros IKE/IPSec, rangos IP, BGP si aplica).</w:t>
      </w:r>
    </w:p>
    <w:p>
      <w:pPr>
        <w:pStyle w:val="Heading3"/>
        <w:spacing w:after="100" w:before="200"/>
      </w:pPr>
      <w:r>
        <w:rPr>
          <w:rFonts w:ascii="Calibri" w:cs="Calibri" w:eastAsia="Calibri" w:hAnsi="Calibri"/>
          <w:b/>
          <w:bCs/>
          <w:color w:val="333333"/>
          <w:sz w:val="23"/>
          <w:szCs w:val="23"/>
        </w:rPr>
        <w:t xml:space="preserve">Entregables de la Fase</w:t>
      </w:r>
    </w:p>
    <w:p>
      <w:pPr>
        <w:pStyle w:val="ListParagraph"/>
        <w:numPr>
          <w:ilvl w:val="0"/>
          <w:numId w:val="2"/>
        </w:numPr>
        <w:spacing w:after="80" w:line="280"/>
        <w:jc w:val="both"/>
      </w:pPr>
      <w:r>
        <w:rPr>
          <w:rFonts w:ascii="Calibri" w:cs="Calibri" w:eastAsia="Calibri" w:hAnsi="Calibri"/>
          <w:sz w:val="22"/>
          <w:szCs w:val="22"/>
        </w:rPr>
        <w:t xml:space="preserve">Documento de Diseño de Alto Nivel (HLD).</w:t>
      </w:r>
    </w:p>
    <w:p>
      <w:pPr>
        <w:pStyle w:val="ListParagraph"/>
        <w:numPr>
          <w:ilvl w:val="0"/>
          <w:numId w:val="2"/>
        </w:numPr>
        <w:spacing w:after="80" w:line="280"/>
        <w:jc w:val="both"/>
      </w:pPr>
      <w:r>
        <w:rPr>
          <w:rFonts w:ascii="Calibri" w:cs="Calibri" w:eastAsia="Calibri" w:hAnsi="Calibri"/>
          <w:sz w:val="22"/>
          <w:szCs w:val="22"/>
        </w:rPr>
        <w:t xml:space="preserve">Documento de Diseño de Bajo Nivel (LLD) con parámetros técnicos.</w:t>
      </w:r>
    </w:p>
    <w:p>
      <w:pPr>
        <w:pStyle w:val="ListParagraph"/>
        <w:numPr>
          <w:ilvl w:val="0"/>
          <w:numId w:val="2"/>
        </w:numPr>
        <w:spacing w:after="80" w:line="280"/>
        <w:jc w:val="both"/>
      </w:pPr>
      <w:r>
        <w:rPr>
          <w:rFonts w:ascii="Calibri" w:cs="Calibri" w:eastAsia="Calibri" w:hAnsi="Calibri"/>
          <w:sz w:val="22"/>
          <w:szCs w:val="22"/>
        </w:rPr>
        <w:t xml:space="preserve">Diagrama de arquitectura de red en formato Visio/Lucid.</w:t>
      </w:r>
    </w:p>
    <w:p>
      <w:pPr>
        <w:pStyle w:val="ListParagraph"/>
        <w:numPr>
          <w:ilvl w:val="0"/>
          <w:numId w:val="2"/>
        </w:numPr>
        <w:spacing w:after="80" w:line="280"/>
        <w:jc w:val="both"/>
      </w:pPr>
      <w:r>
        <w:rPr>
          <w:rFonts w:ascii="Calibri" w:cs="Calibri" w:eastAsia="Calibri" w:hAnsi="Calibri"/>
          <w:sz w:val="22"/>
          <w:szCs w:val="22"/>
        </w:rPr>
        <w:t xml:space="preserve">Matriz de configuraciones por VM (SKU, disco, NSG, backup).</w:t>
      </w:r>
    </w:p>
    <w:p>
      <w:pPr>
        <w:pStyle w:val="Heading2"/>
        <w:spacing w:after="140" w:before="280"/>
      </w:pPr>
      <w:r>
        <w:rPr>
          <w:rFonts w:ascii="Calibri" w:cs="Calibri" w:eastAsia="Calibri" w:hAnsi="Calibri"/>
          <w:b/>
          <w:bCs/>
          <w:color w:val="2E75B6"/>
          <w:sz w:val="26"/>
          <w:szCs w:val="26"/>
        </w:rPr>
        <w:t xml:space="preserve">5.4 Fase 3 — Preparación del Entorno (Landing Zone)</w:t>
      </w:r>
    </w:p>
    <w:p>
      <w:pPr>
        <w:spacing w:after="120" w:before="0" w:line="300"/>
        <w:jc w:val="both"/>
      </w:pPr>
      <w:r>
        <w:rPr>
          <w:rFonts w:ascii="Calibri" w:cs="Calibri" w:eastAsia="Calibri" w:hAnsi="Calibri"/>
          <w:sz w:val="22"/>
          <w:szCs w:val="22"/>
        </w:rPr>
        <w:t xml:space="preserve">Objetivo: dejar la infraestructura cloud lista para recibir las VMs migradas, incluyendo conectividad de red.</w:t>
      </w:r>
    </w:p>
    <w:p>
      <w:pPr>
        <w:pStyle w:val="Heading3"/>
        <w:spacing w:after="100" w:before="200"/>
      </w:pPr>
      <w:r>
        <w:rPr>
          <w:rFonts w:ascii="Calibri" w:cs="Calibri" w:eastAsia="Calibri" w:hAnsi="Calibri"/>
          <w:b/>
          <w:bCs/>
          <w:color w:val="333333"/>
          <w:sz w:val="23"/>
          <w:szCs w:val="23"/>
        </w:rPr>
        <w:t xml:space="preserve">Actividades</w:t>
      </w:r>
    </w:p>
    <w:p>
      <w:pPr>
        <w:pStyle w:val="ListParagraph"/>
        <w:numPr>
          <w:ilvl w:val="0"/>
          <w:numId w:val="2"/>
        </w:numPr>
        <w:spacing w:after="80" w:line="280"/>
        <w:jc w:val="both"/>
      </w:pPr>
      <w:r>
        <w:rPr>
          <w:rFonts w:ascii="Calibri" w:cs="Calibri" w:eastAsia="Calibri" w:hAnsi="Calibri"/>
          <w:sz w:val="22"/>
          <w:szCs w:val="22"/>
        </w:rPr>
        <w:t xml:space="preserve">Creación de la suscripción de Azure y configuración de gobierno básico.</w:t>
      </w:r>
    </w:p>
    <w:p>
      <w:pPr>
        <w:pStyle w:val="ListParagraph"/>
        <w:numPr>
          <w:ilvl w:val="0"/>
          <w:numId w:val="2"/>
        </w:numPr>
        <w:spacing w:after="80" w:line="280"/>
        <w:jc w:val="both"/>
      </w:pPr>
      <w:r>
        <w:rPr>
          <w:rFonts w:ascii="Calibri" w:cs="Calibri" w:eastAsia="Calibri" w:hAnsi="Calibri"/>
          <w:sz w:val="22"/>
          <w:szCs w:val="22"/>
        </w:rPr>
        <w:t xml:space="preserve">Despliegue de la VNet, subredes y NSGs.</w:t>
      </w:r>
    </w:p>
    <w:p>
      <w:pPr>
        <w:pStyle w:val="ListParagraph"/>
        <w:numPr>
          <w:ilvl w:val="0"/>
          <w:numId w:val="2"/>
        </w:numPr>
        <w:spacing w:after="80" w:line="280"/>
        <w:jc w:val="both"/>
      </w:pPr>
      <w:r>
        <w:rPr>
          <w:rFonts w:ascii="Calibri" w:cs="Calibri" w:eastAsia="Calibri" w:hAnsi="Calibri"/>
          <w:sz w:val="22"/>
          <w:szCs w:val="22"/>
        </w:rPr>
        <w:t xml:space="preserve">Configuración del Virtual Network Gateway en Azure.</w:t>
      </w:r>
    </w:p>
    <w:p>
      <w:pPr>
        <w:pStyle w:val="ListParagraph"/>
        <w:numPr>
          <w:ilvl w:val="0"/>
          <w:numId w:val="2"/>
        </w:numPr>
        <w:spacing w:after="80" w:line="280"/>
        <w:jc w:val="both"/>
      </w:pPr>
      <w:r>
        <w:rPr>
          <w:rFonts w:ascii="Calibri" w:cs="Calibri" w:eastAsia="Calibri" w:hAnsi="Calibri"/>
          <w:sz w:val="22"/>
          <w:szCs w:val="22"/>
        </w:rPr>
        <w:t xml:space="preserve">Configuración del túnel VPN IPSec Site-to-Site en Fortinet FortiGate del cliente.</w:t>
      </w:r>
    </w:p>
    <w:p>
      <w:pPr>
        <w:pStyle w:val="ListParagraph"/>
        <w:numPr>
          <w:ilvl w:val="0"/>
          <w:numId w:val="2"/>
        </w:numPr>
        <w:spacing w:after="80" w:line="280"/>
        <w:jc w:val="both"/>
      </w:pPr>
      <w:r>
        <w:rPr>
          <w:rFonts w:ascii="Calibri" w:cs="Calibri" w:eastAsia="Calibri" w:hAnsi="Calibri"/>
          <w:sz w:val="22"/>
          <w:szCs w:val="22"/>
        </w:rPr>
        <w:t xml:space="preserve">Pruebas de conectividad bidireccional (ping, telnet, traceroute) on-prem ↔ Azure.</w:t>
      </w:r>
    </w:p>
    <w:p>
      <w:pPr>
        <w:pStyle w:val="ListParagraph"/>
        <w:numPr>
          <w:ilvl w:val="0"/>
          <w:numId w:val="2"/>
        </w:numPr>
        <w:spacing w:after="80" w:line="280"/>
        <w:jc w:val="both"/>
      </w:pPr>
      <w:r>
        <w:rPr>
          <w:rFonts w:ascii="Calibri" w:cs="Calibri" w:eastAsia="Calibri" w:hAnsi="Calibri"/>
          <w:sz w:val="22"/>
          <w:szCs w:val="22"/>
        </w:rPr>
        <w:t xml:space="preserve">Configuración del Recovery Services Vault para Azure Backup.</w:t>
      </w:r>
    </w:p>
    <w:p>
      <w:pPr>
        <w:pStyle w:val="ListParagraph"/>
        <w:numPr>
          <w:ilvl w:val="0"/>
          <w:numId w:val="2"/>
        </w:numPr>
        <w:spacing w:after="80" w:line="280"/>
        <w:jc w:val="both"/>
      </w:pPr>
      <w:r>
        <w:rPr>
          <w:rFonts w:ascii="Calibri" w:cs="Calibri" w:eastAsia="Calibri" w:hAnsi="Calibri"/>
          <w:sz w:val="22"/>
          <w:szCs w:val="22"/>
        </w:rPr>
        <w:t xml:space="preserve">Configuración del Log Analytics Workspace y Azure Monitor.</w:t>
      </w:r>
    </w:p>
    <w:p>
      <w:pPr>
        <w:pStyle w:val="ListParagraph"/>
        <w:numPr>
          <w:ilvl w:val="0"/>
          <w:numId w:val="2"/>
        </w:numPr>
        <w:spacing w:after="80" w:line="280"/>
        <w:jc w:val="both"/>
      </w:pPr>
      <w:r>
        <w:rPr>
          <w:rFonts w:ascii="Calibri" w:cs="Calibri" w:eastAsia="Calibri" w:hAnsi="Calibri"/>
          <w:sz w:val="22"/>
          <w:szCs w:val="22"/>
        </w:rPr>
        <w:t xml:space="preserve">Provisión de la herramienta de replicación Azure Migrate (Replication Appliance).</w:t>
      </w:r>
    </w:p>
    <w:p>
      <w:pPr>
        <w:pStyle w:val="Heading3"/>
        <w:spacing w:after="100" w:before="200"/>
      </w:pPr>
      <w:r>
        <w:rPr>
          <w:rFonts w:ascii="Calibri" w:cs="Calibri" w:eastAsia="Calibri" w:hAnsi="Calibri"/>
          <w:b/>
          <w:bCs/>
          <w:color w:val="333333"/>
          <w:sz w:val="23"/>
          <w:szCs w:val="23"/>
        </w:rPr>
        <w:t xml:space="preserve">Entregables de la Fase</w:t>
      </w:r>
    </w:p>
    <w:p>
      <w:pPr>
        <w:pStyle w:val="ListParagraph"/>
        <w:numPr>
          <w:ilvl w:val="0"/>
          <w:numId w:val="2"/>
        </w:numPr>
        <w:spacing w:after="80" w:line="280"/>
        <w:jc w:val="both"/>
      </w:pPr>
      <w:r>
        <w:rPr>
          <w:rFonts w:ascii="Calibri" w:cs="Calibri" w:eastAsia="Calibri" w:hAnsi="Calibri"/>
          <w:sz w:val="22"/>
          <w:szCs w:val="22"/>
        </w:rPr>
        <w:t xml:space="preserve">Landing Zone operativa y validada.</w:t>
      </w:r>
    </w:p>
    <w:p>
      <w:pPr>
        <w:pStyle w:val="ListParagraph"/>
        <w:numPr>
          <w:ilvl w:val="0"/>
          <w:numId w:val="2"/>
        </w:numPr>
        <w:spacing w:after="80" w:line="280"/>
        <w:jc w:val="both"/>
      </w:pPr>
      <w:r>
        <w:rPr>
          <w:rFonts w:ascii="Calibri" w:cs="Calibri" w:eastAsia="Calibri" w:hAnsi="Calibri"/>
          <w:sz w:val="22"/>
          <w:szCs w:val="22"/>
        </w:rPr>
        <w:t xml:space="preserve">VPN Site-to-Site establecida y documentada.</w:t>
      </w:r>
    </w:p>
    <w:p>
      <w:pPr>
        <w:pStyle w:val="ListParagraph"/>
        <w:numPr>
          <w:ilvl w:val="0"/>
          <w:numId w:val="2"/>
        </w:numPr>
        <w:spacing w:after="80" w:line="280"/>
        <w:jc w:val="both"/>
      </w:pPr>
      <w:r>
        <w:rPr>
          <w:rFonts w:ascii="Calibri" w:cs="Calibri" w:eastAsia="Calibri" w:hAnsi="Calibri"/>
          <w:sz w:val="22"/>
          <w:szCs w:val="22"/>
        </w:rPr>
        <w:t xml:space="preserve">Acta de pruebas de conectividad firmada por el cliente.</w:t>
      </w:r>
    </w:p>
    <w:p>
      <w:pPr>
        <w:pStyle w:val="Heading2"/>
        <w:spacing w:after="140" w:before="280"/>
      </w:pPr>
      <w:r>
        <w:rPr>
          <w:rFonts w:ascii="Calibri" w:cs="Calibri" w:eastAsia="Calibri" w:hAnsi="Calibri"/>
          <w:b/>
          <w:bCs/>
          <w:color w:val="2E75B6"/>
          <w:sz w:val="26"/>
          <w:szCs w:val="26"/>
        </w:rPr>
        <w:t xml:space="preserve">5.5 Fase 4 — Migración Piloto</w:t>
      </w:r>
    </w:p>
    <w:p>
      <w:pPr>
        <w:spacing w:after="120" w:before="0" w:line="300"/>
        <w:jc w:val="both"/>
      </w:pPr>
      <w:r>
        <w:rPr>
          <w:rFonts w:ascii="Calibri" w:cs="Calibri" w:eastAsia="Calibri" w:hAnsi="Calibri"/>
          <w:sz w:val="22"/>
          <w:szCs w:val="22"/>
        </w:rPr>
        <w:t xml:space="preserve">Objetivo: validar el procedimiento de migración end-to-end con una VM piloto (preferentemente una VM no crítica del entorno actual) antes de tocar producción.</w:t>
      </w:r>
    </w:p>
    <w:p>
      <w:pPr>
        <w:pStyle w:val="Heading3"/>
        <w:spacing w:after="100" w:before="200"/>
      </w:pPr>
      <w:r>
        <w:rPr>
          <w:rFonts w:ascii="Calibri" w:cs="Calibri" w:eastAsia="Calibri" w:hAnsi="Calibri"/>
          <w:b/>
          <w:bCs/>
          <w:color w:val="333333"/>
          <w:sz w:val="23"/>
          <w:szCs w:val="23"/>
        </w:rPr>
        <w:t xml:space="preserve">Actividades</w:t>
      </w:r>
    </w:p>
    <w:p>
      <w:pPr>
        <w:pStyle w:val="ListParagraph"/>
        <w:numPr>
          <w:ilvl w:val="0"/>
          <w:numId w:val="2"/>
        </w:numPr>
        <w:spacing w:after="80" w:line="280"/>
        <w:jc w:val="both"/>
      </w:pPr>
      <w:r>
        <w:rPr>
          <w:rFonts w:ascii="Calibri" w:cs="Calibri" w:eastAsia="Calibri" w:hAnsi="Calibri"/>
          <w:sz w:val="22"/>
          <w:szCs w:val="22"/>
        </w:rPr>
        <w:t xml:space="preserve">Selección con el cliente de la VM piloto.</w:t>
      </w:r>
    </w:p>
    <w:p>
      <w:pPr>
        <w:pStyle w:val="ListParagraph"/>
        <w:numPr>
          <w:ilvl w:val="0"/>
          <w:numId w:val="2"/>
        </w:numPr>
        <w:spacing w:after="80" w:line="280"/>
        <w:jc w:val="both"/>
      </w:pPr>
      <w:r>
        <w:rPr>
          <w:rFonts w:ascii="Calibri" w:cs="Calibri" w:eastAsia="Calibri" w:hAnsi="Calibri"/>
          <w:sz w:val="22"/>
          <w:szCs w:val="22"/>
        </w:rPr>
        <w:t xml:space="preserve">Instalación del agente de replicación en la VM piloto.</w:t>
      </w:r>
    </w:p>
    <w:p>
      <w:pPr>
        <w:pStyle w:val="ListParagraph"/>
        <w:numPr>
          <w:ilvl w:val="0"/>
          <w:numId w:val="2"/>
        </w:numPr>
        <w:spacing w:after="80" w:line="280"/>
        <w:jc w:val="both"/>
      </w:pPr>
      <w:r>
        <w:rPr>
          <w:rFonts w:ascii="Calibri" w:cs="Calibri" w:eastAsia="Calibri" w:hAnsi="Calibri"/>
          <w:sz w:val="22"/>
          <w:szCs w:val="22"/>
        </w:rPr>
        <w:t xml:space="preserve">Replicación inicial (full) hacia Azure.</w:t>
      </w:r>
    </w:p>
    <w:p>
      <w:pPr>
        <w:pStyle w:val="ListParagraph"/>
        <w:numPr>
          <w:ilvl w:val="0"/>
          <w:numId w:val="2"/>
        </w:numPr>
        <w:spacing w:after="80" w:line="280"/>
        <w:jc w:val="both"/>
      </w:pPr>
      <w:r>
        <w:rPr>
          <w:rFonts w:ascii="Calibri" w:cs="Calibri" w:eastAsia="Calibri" w:hAnsi="Calibri"/>
          <w:sz w:val="22"/>
          <w:szCs w:val="22"/>
        </w:rPr>
        <w:t xml:space="preserve">Pruebas de failover en aislamiento (test failover) sin afectar producción.</w:t>
      </w:r>
    </w:p>
    <w:p>
      <w:pPr>
        <w:pStyle w:val="ListParagraph"/>
        <w:numPr>
          <w:ilvl w:val="0"/>
          <w:numId w:val="2"/>
        </w:numPr>
        <w:spacing w:after="80" w:line="280"/>
        <w:jc w:val="both"/>
      </w:pPr>
      <w:r>
        <w:rPr>
          <w:rFonts w:ascii="Calibri" w:cs="Calibri" w:eastAsia="Calibri" w:hAnsi="Calibri"/>
          <w:sz w:val="22"/>
          <w:szCs w:val="22"/>
        </w:rPr>
        <w:t xml:space="preserve">Validación funcional básica por parte del equipo técnico.</w:t>
      </w:r>
    </w:p>
    <w:p>
      <w:pPr>
        <w:pStyle w:val="ListParagraph"/>
        <w:numPr>
          <w:ilvl w:val="0"/>
          <w:numId w:val="2"/>
        </w:numPr>
        <w:spacing w:after="80" w:line="280"/>
        <w:jc w:val="both"/>
      </w:pPr>
      <w:r>
        <w:rPr>
          <w:rFonts w:ascii="Calibri" w:cs="Calibri" w:eastAsia="Calibri" w:hAnsi="Calibri"/>
          <w:sz w:val="22"/>
          <w:szCs w:val="22"/>
        </w:rPr>
        <w:t xml:space="preserve">Documentación de tiempos reales: replicación, cutover y validación.</w:t>
      </w:r>
    </w:p>
    <w:p>
      <w:pPr>
        <w:pStyle w:val="ListParagraph"/>
        <w:numPr>
          <w:ilvl w:val="0"/>
          <w:numId w:val="2"/>
        </w:numPr>
        <w:spacing w:after="80" w:line="280"/>
        <w:jc w:val="both"/>
      </w:pPr>
      <w:r>
        <w:rPr>
          <w:rFonts w:ascii="Calibri" w:cs="Calibri" w:eastAsia="Calibri" w:hAnsi="Calibri"/>
          <w:sz w:val="22"/>
          <w:szCs w:val="22"/>
        </w:rPr>
        <w:t xml:space="preserve">Ejecución del procedimiento de rollback como ensayo.</w:t>
      </w:r>
    </w:p>
    <w:p>
      <w:pPr>
        <w:pStyle w:val="Heading3"/>
        <w:spacing w:after="100" w:before="200"/>
      </w:pPr>
      <w:r>
        <w:rPr>
          <w:rFonts w:ascii="Calibri" w:cs="Calibri" w:eastAsia="Calibri" w:hAnsi="Calibri"/>
          <w:b/>
          <w:bCs/>
          <w:color w:val="333333"/>
          <w:sz w:val="23"/>
          <w:szCs w:val="23"/>
        </w:rPr>
        <w:t xml:space="preserve">Entregables de la Fase</w:t>
      </w:r>
    </w:p>
    <w:p>
      <w:pPr>
        <w:pStyle w:val="ListParagraph"/>
        <w:numPr>
          <w:ilvl w:val="0"/>
          <w:numId w:val="2"/>
        </w:numPr>
        <w:spacing w:after="80" w:line="280"/>
        <w:jc w:val="both"/>
      </w:pPr>
      <w:r>
        <w:rPr>
          <w:rFonts w:ascii="Calibri" w:cs="Calibri" w:eastAsia="Calibri" w:hAnsi="Calibri"/>
          <w:sz w:val="22"/>
          <w:szCs w:val="22"/>
        </w:rPr>
        <w:t xml:space="preserve">Reporte de resultados del piloto.</w:t>
      </w:r>
    </w:p>
    <w:p>
      <w:pPr>
        <w:pStyle w:val="ListParagraph"/>
        <w:numPr>
          <w:ilvl w:val="0"/>
          <w:numId w:val="2"/>
        </w:numPr>
        <w:spacing w:after="80" w:line="280"/>
        <w:jc w:val="both"/>
      </w:pPr>
      <w:r>
        <w:rPr>
          <w:rFonts w:ascii="Calibri" w:cs="Calibri" w:eastAsia="Calibri" w:hAnsi="Calibri"/>
          <w:sz w:val="22"/>
          <w:szCs w:val="22"/>
        </w:rPr>
        <w:t xml:space="preserve">Ajustes al runbook de migración (si aplica).</w:t>
      </w:r>
    </w:p>
    <w:p>
      <w:pPr>
        <w:pStyle w:val="ListParagraph"/>
        <w:numPr>
          <w:ilvl w:val="0"/>
          <w:numId w:val="2"/>
        </w:numPr>
        <w:spacing w:after="80" w:line="280"/>
        <w:jc w:val="both"/>
      </w:pPr>
      <w:r>
        <w:rPr>
          <w:rFonts w:ascii="Calibri" w:cs="Calibri" w:eastAsia="Calibri" w:hAnsi="Calibri"/>
          <w:sz w:val="22"/>
          <w:szCs w:val="22"/>
        </w:rPr>
        <w:t xml:space="preserve">Aprobación formal del cliente para proceder con la migración productiva.</w:t>
      </w:r>
    </w:p>
    <w:p>
      <w:pPr>
        <w:pStyle w:val="Heading2"/>
        <w:spacing w:after="140" w:before="280"/>
      </w:pPr>
      <w:r>
        <w:rPr>
          <w:rFonts w:ascii="Calibri" w:cs="Calibri" w:eastAsia="Calibri" w:hAnsi="Calibri"/>
          <w:b/>
          <w:bCs/>
          <w:color w:val="2E75B6"/>
          <w:sz w:val="26"/>
          <w:szCs w:val="26"/>
        </w:rPr>
        <w:t xml:space="preserve">5.6 Fase 5 — Migración Producción de las 4 VMs Críticas</w:t>
      </w:r>
    </w:p>
    <w:p>
      <w:pPr>
        <w:spacing w:after="120" w:before="0" w:line="300"/>
        <w:jc w:val="both"/>
      </w:pPr>
      <w:r>
        <w:rPr>
          <w:rFonts w:ascii="Calibri" w:cs="Calibri" w:eastAsia="Calibri" w:hAnsi="Calibri"/>
          <w:sz w:val="22"/>
          <w:szCs w:val="22"/>
        </w:rPr>
        <w:t xml:space="preserve">Objetivo: ejecutar la migración de las 4 VMs críticas a Azure, una a una, siguiendo una secuencia que minimice riesgo operativo. Se sugiere el siguiente orden por nivel de dependencia y criticidad:</w:t>
      </w:r>
    </w:p>
    <w:p>
      <w:pPr>
        <w:pStyle w:val="ListParagraph"/>
        <w:numPr>
          <w:ilvl w:val="0"/>
          <w:numId w:val="3"/>
        </w:numPr>
        <w:spacing w:after="80" w:line="280"/>
        <w:jc w:val="both"/>
      </w:pPr>
      <w:r>
        <w:rPr>
          <w:rFonts w:ascii="Calibri" w:cs="Calibri" w:eastAsia="Calibri" w:hAnsi="Calibri"/>
          <w:sz w:val="22"/>
          <w:szCs w:val="22"/>
        </w:rPr>
        <w:t xml:space="preserve">ActiveDirectory-CSJB (primero, para que las demás puedan validar identidades).</w:t>
      </w:r>
    </w:p>
    <w:p>
      <w:pPr>
        <w:pStyle w:val="ListParagraph"/>
        <w:numPr>
          <w:ilvl w:val="0"/>
          <w:numId w:val="3"/>
        </w:numPr>
        <w:spacing w:after="80" w:line="280"/>
        <w:jc w:val="both"/>
      </w:pPr>
      <w:r>
        <w:rPr>
          <w:rFonts w:ascii="Calibri" w:cs="Calibri" w:eastAsia="Calibri" w:hAnsi="Calibri"/>
          <w:sz w:val="22"/>
          <w:szCs w:val="22"/>
        </w:rPr>
        <w:t xml:space="preserve">LYNX_CxC (VM Linux, baja dependencia de otras).</w:t>
      </w:r>
    </w:p>
    <w:p>
      <w:pPr>
        <w:pStyle w:val="ListParagraph"/>
        <w:numPr>
          <w:ilvl w:val="0"/>
          <w:numId w:val="3"/>
        </w:numPr>
        <w:spacing w:after="80" w:line="280"/>
        <w:jc w:val="both"/>
      </w:pPr>
      <w:r>
        <w:rPr>
          <w:rFonts w:ascii="Calibri" w:cs="Calibri" w:eastAsia="Calibri" w:hAnsi="Calibri"/>
          <w:sz w:val="22"/>
          <w:szCs w:val="22"/>
        </w:rPr>
        <w:t xml:space="preserve">CONTPAQI-CSJB (depende de AD).</w:t>
      </w:r>
    </w:p>
    <w:p>
      <w:pPr>
        <w:pStyle w:val="ListParagraph"/>
        <w:numPr>
          <w:ilvl w:val="0"/>
          <w:numId w:val="3"/>
        </w:numPr>
        <w:spacing w:after="80" w:line="280"/>
        <w:jc w:val="both"/>
      </w:pPr>
      <w:r>
        <w:rPr>
          <w:rFonts w:ascii="Calibri" w:cs="Calibri" w:eastAsia="Calibri" w:hAnsi="Calibri"/>
          <w:sz w:val="22"/>
          <w:szCs w:val="22"/>
        </w:rPr>
        <w:t xml:space="preserve">LYNXCAJA-PRD (última por su tamaño de disco — 1 TB — y criticidad de caja).</w:t>
      </w:r>
    </w:p>
    <w:p>
      <w:pPr>
        <w:pStyle w:val="Heading3"/>
        <w:spacing w:after="100" w:before="200"/>
      </w:pPr>
      <w:r>
        <w:rPr>
          <w:rFonts w:ascii="Calibri" w:cs="Calibri" w:eastAsia="Calibri" w:hAnsi="Calibri"/>
          <w:b/>
          <w:bCs/>
          <w:color w:val="333333"/>
          <w:sz w:val="23"/>
          <w:szCs w:val="23"/>
        </w:rPr>
        <w:t xml:space="preserve">Actividades por cada VM</w:t>
      </w:r>
    </w:p>
    <w:p>
      <w:pPr>
        <w:pStyle w:val="ListParagraph"/>
        <w:numPr>
          <w:ilvl w:val="0"/>
          <w:numId w:val="2"/>
        </w:numPr>
        <w:spacing w:after="80" w:line="280"/>
        <w:jc w:val="both"/>
      </w:pPr>
      <w:r>
        <w:rPr>
          <w:rFonts w:ascii="Calibri" w:cs="Calibri" w:eastAsia="Calibri" w:hAnsi="Calibri"/>
          <w:sz w:val="22"/>
          <w:szCs w:val="22"/>
        </w:rPr>
        <w:t xml:space="preserve">Instalación del agente de replicación en la VM origen.</w:t>
      </w:r>
    </w:p>
    <w:p>
      <w:pPr>
        <w:pStyle w:val="ListParagraph"/>
        <w:numPr>
          <w:ilvl w:val="0"/>
          <w:numId w:val="2"/>
        </w:numPr>
        <w:spacing w:after="80" w:line="280"/>
        <w:jc w:val="both"/>
      </w:pPr>
      <w:r>
        <w:rPr>
          <w:rFonts w:ascii="Calibri" w:cs="Calibri" w:eastAsia="Calibri" w:hAnsi="Calibri"/>
          <w:sz w:val="22"/>
          <w:szCs w:val="22"/>
        </w:rPr>
        <w:t xml:space="preserve">Replicación inicial (full) de la VM hacia Azure (puede tomar entre 4 y 24 horas dependiendo del tamaño).</w:t>
      </w:r>
    </w:p>
    <w:p>
      <w:pPr>
        <w:pStyle w:val="ListParagraph"/>
        <w:numPr>
          <w:ilvl w:val="0"/>
          <w:numId w:val="2"/>
        </w:numPr>
        <w:spacing w:after="80" w:line="280"/>
        <w:jc w:val="both"/>
      </w:pPr>
      <w:r>
        <w:rPr>
          <w:rFonts w:ascii="Calibri" w:cs="Calibri" w:eastAsia="Calibri" w:hAnsi="Calibri"/>
          <w:sz w:val="22"/>
          <w:szCs w:val="22"/>
        </w:rPr>
        <w:t xml:space="preserve">Replicación delta continua hasta el día del cutover.</w:t>
      </w:r>
    </w:p>
    <w:p>
      <w:pPr>
        <w:pStyle w:val="ListParagraph"/>
        <w:numPr>
          <w:ilvl w:val="0"/>
          <w:numId w:val="2"/>
        </w:numPr>
        <w:spacing w:after="80" w:line="280"/>
        <w:jc w:val="both"/>
      </w:pPr>
      <w:r>
        <w:rPr>
          <w:rFonts w:ascii="Calibri" w:cs="Calibri" w:eastAsia="Calibri" w:hAnsi="Calibri"/>
          <w:sz w:val="22"/>
          <w:szCs w:val="22"/>
        </w:rPr>
        <w:t xml:space="preserve">Programación de ventana de mantenimiento con el cliente.</w:t>
      </w:r>
    </w:p>
    <w:p>
      <w:pPr>
        <w:pStyle w:val="ListParagraph"/>
        <w:numPr>
          <w:ilvl w:val="0"/>
          <w:numId w:val="2"/>
        </w:numPr>
        <w:spacing w:after="80" w:line="280"/>
        <w:jc w:val="both"/>
      </w:pPr>
      <w:r>
        <w:rPr>
          <w:rFonts w:ascii="Calibri" w:cs="Calibri" w:eastAsia="Calibri" w:hAnsi="Calibri"/>
          <w:sz w:val="22"/>
          <w:szCs w:val="22"/>
        </w:rPr>
        <w:t xml:space="preserve">Apagado controlado de la VM origen.</w:t>
      </w:r>
    </w:p>
    <w:p>
      <w:pPr>
        <w:pStyle w:val="ListParagraph"/>
        <w:numPr>
          <w:ilvl w:val="0"/>
          <w:numId w:val="2"/>
        </w:numPr>
        <w:spacing w:after="80" w:line="280"/>
        <w:jc w:val="both"/>
      </w:pPr>
      <w:r>
        <w:rPr>
          <w:rFonts w:ascii="Calibri" w:cs="Calibri" w:eastAsia="Calibri" w:hAnsi="Calibri"/>
          <w:sz w:val="22"/>
          <w:szCs w:val="22"/>
        </w:rPr>
        <w:t xml:space="preserve">Cutover final: ejecución del failover en Azure.</w:t>
      </w:r>
    </w:p>
    <w:p>
      <w:pPr>
        <w:pStyle w:val="ListParagraph"/>
        <w:numPr>
          <w:ilvl w:val="0"/>
          <w:numId w:val="2"/>
        </w:numPr>
        <w:spacing w:after="80" w:line="280"/>
        <w:jc w:val="both"/>
      </w:pPr>
      <w:r>
        <w:rPr>
          <w:rFonts w:ascii="Calibri" w:cs="Calibri" w:eastAsia="Calibri" w:hAnsi="Calibri"/>
          <w:sz w:val="22"/>
          <w:szCs w:val="22"/>
        </w:rPr>
        <w:t xml:space="preserve">Validación técnica: arranque del SO, servicios, conectividad, accesos.</w:t>
      </w:r>
    </w:p>
    <w:p>
      <w:pPr>
        <w:pStyle w:val="ListParagraph"/>
        <w:numPr>
          <w:ilvl w:val="0"/>
          <w:numId w:val="2"/>
        </w:numPr>
        <w:spacing w:after="80" w:line="280"/>
        <w:jc w:val="both"/>
      </w:pPr>
      <w:r>
        <w:rPr>
          <w:rFonts w:ascii="Calibri" w:cs="Calibri" w:eastAsia="Calibri" w:hAnsi="Calibri"/>
          <w:sz w:val="22"/>
          <w:szCs w:val="22"/>
        </w:rPr>
        <w:t xml:space="preserve">Validación funcional: pruebas del equipo de negocio del cliente.</w:t>
      </w:r>
    </w:p>
    <w:p>
      <w:pPr>
        <w:pStyle w:val="ListParagraph"/>
        <w:numPr>
          <w:ilvl w:val="0"/>
          <w:numId w:val="2"/>
        </w:numPr>
        <w:spacing w:after="80" w:line="280"/>
        <w:jc w:val="both"/>
      </w:pPr>
      <w:r>
        <w:rPr>
          <w:rFonts w:ascii="Calibri" w:cs="Calibri" w:eastAsia="Calibri" w:hAnsi="Calibri"/>
          <w:sz w:val="22"/>
          <w:szCs w:val="22"/>
        </w:rPr>
        <w:t xml:space="preserve">Reapuntamiento de DNS y/o IPs (si aplica).</w:t>
      </w:r>
    </w:p>
    <w:p>
      <w:pPr>
        <w:pStyle w:val="ListParagraph"/>
        <w:numPr>
          <w:ilvl w:val="0"/>
          <w:numId w:val="2"/>
        </w:numPr>
        <w:spacing w:after="80" w:line="280"/>
        <w:jc w:val="both"/>
      </w:pPr>
      <w:r>
        <w:rPr>
          <w:rFonts w:ascii="Calibri" w:cs="Calibri" w:eastAsia="Calibri" w:hAnsi="Calibri"/>
          <w:sz w:val="22"/>
          <w:szCs w:val="22"/>
        </w:rPr>
        <w:t xml:space="preserve">Monitoreo intensivo durante 24 horas posteriores al cutover.</w:t>
      </w:r>
    </w:p>
    <w:p>
      <w:pPr>
        <w:pStyle w:val="Heading3"/>
        <w:spacing w:after="100" w:before="200"/>
      </w:pPr>
      <w:r>
        <w:rPr>
          <w:rFonts w:ascii="Calibri" w:cs="Calibri" w:eastAsia="Calibri" w:hAnsi="Calibri"/>
          <w:b/>
          <w:bCs/>
          <w:color w:val="333333"/>
          <w:sz w:val="23"/>
          <w:szCs w:val="23"/>
        </w:rPr>
        <w:t xml:space="preserve">Entregables de la Fase</w:t>
      </w:r>
    </w:p>
    <w:p>
      <w:pPr>
        <w:pStyle w:val="ListParagraph"/>
        <w:numPr>
          <w:ilvl w:val="0"/>
          <w:numId w:val="2"/>
        </w:numPr>
        <w:spacing w:after="80" w:line="280"/>
        <w:jc w:val="both"/>
      </w:pPr>
      <w:r>
        <w:rPr>
          <w:rFonts w:ascii="Calibri" w:cs="Calibri" w:eastAsia="Calibri" w:hAnsi="Calibri"/>
          <w:sz w:val="22"/>
          <w:szCs w:val="22"/>
        </w:rPr>
        <w:t xml:space="preserve">4 VMs operativas en producción en Azure.</w:t>
      </w:r>
    </w:p>
    <w:p>
      <w:pPr>
        <w:pStyle w:val="ListParagraph"/>
        <w:numPr>
          <w:ilvl w:val="0"/>
          <w:numId w:val="2"/>
        </w:numPr>
        <w:spacing w:after="80" w:line="280"/>
        <w:jc w:val="both"/>
      </w:pPr>
      <w:r>
        <w:rPr>
          <w:rFonts w:ascii="Calibri" w:cs="Calibri" w:eastAsia="Calibri" w:hAnsi="Calibri"/>
          <w:sz w:val="22"/>
          <w:szCs w:val="22"/>
        </w:rPr>
        <w:t xml:space="preserve">Actas de cutover firmadas por VM.</w:t>
      </w:r>
    </w:p>
    <w:p>
      <w:pPr>
        <w:pStyle w:val="ListParagraph"/>
        <w:numPr>
          <w:ilvl w:val="0"/>
          <w:numId w:val="2"/>
        </w:numPr>
        <w:spacing w:after="80" w:line="280"/>
        <w:jc w:val="both"/>
      </w:pPr>
      <w:r>
        <w:rPr>
          <w:rFonts w:ascii="Calibri" w:cs="Calibri" w:eastAsia="Calibri" w:hAnsi="Calibri"/>
          <w:sz w:val="22"/>
          <w:szCs w:val="22"/>
        </w:rPr>
        <w:t xml:space="preserve">Backups iniciales completados.</w:t>
      </w:r>
    </w:p>
    <w:p>
      <w:pPr>
        <w:pStyle w:val="Heading2"/>
        <w:spacing w:after="140" w:before="280"/>
      </w:pPr>
      <w:r>
        <w:rPr>
          <w:rFonts w:ascii="Calibri" w:cs="Calibri" w:eastAsia="Calibri" w:hAnsi="Calibri"/>
          <w:b/>
          <w:bCs/>
          <w:color w:val="2E75B6"/>
          <w:sz w:val="26"/>
          <w:szCs w:val="26"/>
        </w:rPr>
        <w:t xml:space="preserve">5.7 Fase 6 — Estabilización (Hypercare) y Hand-off</w:t>
      </w:r>
    </w:p>
    <w:p>
      <w:pPr>
        <w:spacing w:after="120" w:before="0" w:line="300"/>
        <w:jc w:val="both"/>
      </w:pPr>
      <w:r>
        <w:rPr>
          <w:rFonts w:ascii="Calibri" w:cs="Calibri" w:eastAsia="Calibri" w:hAnsi="Calibri"/>
          <w:sz w:val="22"/>
          <w:szCs w:val="22"/>
        </w:rPr>
        <w:t xml:space="preserve">Objetivo: acompañar al cliente durante 15 días naturales post go-live para resolver cualquier incidente derivado de la migración y transferir el conocimiento al equipo operativo.</w:t>
      </w:r>
    </w:p>
    <w:p>
      <w:pPr>
        <w:pStyle w:val="Heading3"/>
        <w:spacing w:after="100" w:before="200"/>
      </w:pPr>
      <w:r>
        <w:rPr>
          <w:rFonts w:ascii="Calibri" w:cs="Calibri" w:eastAsia="Calibri" w:hAnsi="Calibri"/>
          <w:b/>
          <w:bCs/>
          <w:color w:val="333333"/>
          <w:sz w:val="23"/>
          <w:szCs w:val="23"/>
        </w:rPr>
        <w:t xml:space="preserve">Actividades</w:t>
      </w:r>
    </w:p>
    <w:p>
      <w:pPr>
        <w:pStyle w:val="ListParagraph"/>
        <w:numPr>
          <w:ilvl w:val="0"/>
          <w:numId w:val="2"/>
        </w:numPr>
        <w:spacing w:after="80" w:line="280"/>
        <w:jc w:val="both"/>
      </w:pPr>
      <w:r>
        <w:rPr>
          <w:rFonts w:ascii="Calibri" w:cs="Calibri" w:eastAsia="Calibri" w:hAnsi="Calibri"/>
          <w:sz w:val="22"/>
          <w:szCs w:val="22"/>
        </w:rPr>
        <w:t xml:space="preserve">Soporte de hypercare en horario hábil (lunes a viernes 9:00 a 18:00 hora CDMX) con escalación de emergencia.</w:t>
      </w:r>
    </w:p>
    <w:p>
      <w:pPr>
        <w:pStyle w:val="ListParagraph"/>
        <w:numPr>
          <w:ilvl w:val="0"/>
          <w:numId w:val="2"/>
        </w:numPr>
        <w:spacing w:after="80" w:line="280"/>
        <w:jc w:val="both"/>
      </w:pPr>
      <w:r>
        <w:rPr>
          <w:rFonts w:ascii="Calibri" w:cs="Calibri" w:eastAsia="Calibri" w:hAnsi="Calibri"/>
          <w:sz w:val="22"/>
          <w:szCs w:val="22"/>
        </w:rPr>
        <w:t xml:space="preserve">Resolución de incidentes post-migración.</w:t>
      </w:r>
    </w:p>
    <w:p>
      <w:pPr>
        <w:pStyle w:val="ListParagraph"/>
        <w:numPr>
          <w:ilvl w:val="0"/>
          <w:numId w:val="2"/>
        </w:numPr>
        <w:spacing w:after="80" w:line="280"/>
        <w:jc w:val="both"/>
      </w:pPr>
      <w:r>
        <w:rPr>
          <w:rFonts w:ascii="Calibri" w:cs="Calibri" w:eastAsia="Calibri" w:hAnsi="Calibri"/>
          <w:sz w:val="22"/>
          <w:szCs w:val="22"/>
        </w:rPr>
        <w:t xml:space="preserve">Optimización de configuración basada en métricas reales (right-sizing si aplica).</w:t>
      </w:r>
    </w:p>
    <w:p>
      <w:pPr>
        <w:pStyle w:val="ListParagraph"/>
        <w:numPr>
          <w:ilvl w:val="0"/>
          <w:numId w:val="2"/>
        </w:numPr>
        <w:spacing w:after="80" w:line="280"/>
        <w:jc w:val="both"/>
      </w:pPr>
      <w:r>
        <w:rPr>
          <w:rFonts w:ascii="Calibri" w:cs="Calibri" w:eastAsia="Calibri" w:hAnsi="Calibri"/>
          <w:sz w:val="22"/>
          <w:szCs w:val="22"/>
        </w:rPr>
        <w:t xml:space="preserve">Sesión formal de transferencia de conocimiento (4 horas).</w:t>
      </w:r>
    </w:p>
    <w:p>
      <w:pPr>
        <w:pStyle w:val="ListParagraph"/>
        <w:numPr>
          <w:ilvl w:val="0"/>
          <w:numId w:val="2"/>
        </w:numPr>
        <w:spacing w:after="80" w:line="280"/>
        <w:jc w:val="both"/>
      </w:pPr>
      <w:r>
        <w:rPr>
          <w:rFonts w:ascii="Calibri" w:cs="Calibri" w:eastAsia="Calibri" w:hAnsi="Calibri"/>
          <w:sz w:val="22"/>
          <w:szCs w:val="22"/>
        </w:rPr>
        <w:t xml:space="preserve">Entrega de la documentación final consolidada.</w:t>
      </w:r>
    </w:p>
    <w:p>
      <w:pPr>
        <w:pStyle w:val="ListParagraph"/>
        <w:numPr>
          <w:ilvl w:val="0"/>
          <w:numId w:val="2"/>
        </w:numPr>
        <w:spacing w:after="80" w:line="280"/>
        <w:jc w:val="both"/>
      </w:pPr>
      <w:r>
        <w:rPr>
          <w:rFonts w:ascii="Calibri" w:cs="Calibri" w:eastAsia="Calibri" w:hAnsi="Calibri"/>
          <w:sz w:val="22"/>
          <w:szCs w:val="22"/>
        </w:rPr>
        <w:t xml:space="preserve">Reunión de cierre de proyecto y acta de aceptación final.</w:t>
      </w:r>
    </w:p>
    <w:p>
      <w:pPr>
        <w:pStyle w:val="Heading3"/>
        <w:spacing w:after="100" w:before="200"/>
      </w:pPr>
      <w:r>
        <w:rPr>
          <w:rFonts w:ascii="Calibri" w:cs="Calibri" w:eastAsia="Calibri" w:hAnsi="Calibri"/>
          <w:b/>
          <w:bCs/>
          <w:color w:val="333333"/>
          <w:sz w:val="23"/>
          <w:szCs w:val="23"/>
        </w:rPr>
        <w:t xml:space="preserve">Entregables de la Fase</w:t>
      </w:r>
    </w:p>
    <w:p>
      <w:pPr>
        <w:pStyle w:val="ListParagraph"/>
        <w:numPr>
          <w:ilvl w:val="0"/>
          <w:numId w:val="2"/>
        </w:numPr>
        <w:spacing w:after="80" w:line="280"/>
        <w:jc w:val="both"/>
      </w:pPr>
      <w:r>
        <w:rPr>
          <w:rFonts w:ascii="Calibri" w:cs="Calibri" w:eastAsia="Calibri" w:hAnsi="Calibri"/>
          <w:sz w:val="22"/>
          <w:szCs w:val="22"/>
        </w:rPr>
        <w:t xml:space="preserve">Runbook operativo final.</w:t>
      </w:r>
    </w:p>
    <w:p>
      <w:pPr>
        <w:pStyle w:val="ListParagraph"/>
        <w:numPr>
          <w:ilvl w:val="0"/>
          <w:numId w:val="2"/>
        </w:numPr>
        <w:spacing w:after="80" w:line="280"/>
        <w:jc w:val="both"/>
      </w:pPr>
      <w:r>
        <w:rPr>
          <w:rFonts w:ascii="Calibri" w:cs="Calibri" w:eastAsia="Calibri" w:hAnsi="Calibri"/>
          <w:sz w:val="22"/>
          <w:szCs w:val="22"/>
        </w:rPr>
        <w:t xml:space="preserve">Bitácora de incidentes resueltos durante hypercare.</w:t>
      </w:r>
    </w:p>
    <w:p>
      <w:pPr>
        <w:pStyle w:val="ListParagraph"/>
        <w:numPr>
          <w:ilvl w:val="0"/>
          <w:numId w:val="2"/>
        </w:numPr>
        <w:spacing w:after="80" w:line="280"/>
        <w:jc w:val="both"/>
      </w:pPr>
      <w:r>
        <w:rPr>
          <w:rFonts w:ascii="Calibri" w:cs="Calibri" w:eastAsia="Calibri" w:hAnsi="Calibri"/>
          <w:sz w:val="22"/>
          <w:szCs w:val="22"/>
        </w:rPr>
        <w:t xml:space="preserve">Acta de transferencia de conocimiento firmada.</w:t>
      </w:r>
    </w:p>
    <w:p>
      <w:pPr>
        <w:pStyle w:val="ListParagraph"/>
        <w:numPr>
          <w:ilvl w:val="0"/>
          <w:numId w:val="2"/>
        </w:numPr>
        <w:spacing w:after="80" w:line="280"/>
        <w:jc w:val="both"/>
      </w:pPr>
      <w:r>
        <w:rPr>
          <w:rFonts w:ascii="Calibri" w:cs="Calibri" w:eastAsia="Calibri" w:hAnsi="Calibri"/>
          <w:sz w:val="22"/>
          <w:szCs w:val="22"/>
        </w:rPr>
        <w:t xml:space="preserve">Acta de cierre y aceptación final del proyecto.</w:t>
      </w:r>
    </w:p>
    <w:p>
      <w:r>
        <w:br w:type="page"/>
      </w:r>
    </w:p>
    <w:p>
      <w:pPr>
        <w:pStyle w:val="Heading2"/>
        <w:spacing w:after="140" w:before="280"/>
      </w:pPr>
      <w:r>
        <w:rPr>
          <w:rFonts w:ascii="Calibri" w:cs="Calibri" w:eastAsia="Calibri" w:hAnsi="Calibri"/>
          <w:b/>
          <w:bCs/>
          <w:color w:val="2E75B6"/>
          <w:sz w:val="26"/>
          <w:szCs w:val="26"/>
        </w:rPr>
        <w:t xml:space="preserve">5.8 Cronograma de Alto Nivel</w:t>
      </w:r>
    </w:p>
    <w:p>
      <w:pPr>
        <w:spacing w:after="120" w:before="0" w:line="300"/>
        <w:jc w:val="both"/>
      </w:pPr>
      <w:r>
        <w:rPr>
          <w:rFonts w:ascii="Calibri" w:cs="Calibri" w:eastAsia="Calibri" w:hAnsi="Calibri"/>
          <w:sz w:val="22"/>
          <w:szCs w:val="22"/>
        </w:rPr>
        <w:t xml:space="preserve">El siguiente cronograma representa la planeación tentativa por semana. La fecha de inicio real se acordará en la reunión de kick-off.</w:t>
      </w:r>
    </w:p>
    <w:tbl>
      <w:tblPr>
        <w:tblW w:type="dxa" w:w="10784"/>
        <w:tblBorders>
          <w:top w:val="single" w:color="auto" w:sz="4"/>
          <w:left w:val="single" w:color="auto" w:sz="4"/>
          <w:bottom w:val="single" w:color="auto" w:sz="4"/>
          <w:right w:val="single" w:color="auto" w:sz="4"/>
          <w:insideH w:val="single" w:color="auto" w:sz="4"/>
          <w:insideV w:val="single" w:color="auto" w:sz="4"/>
        </w:tblBorders>
      </w:tblPr>
      <w:tblGrid>
        <w:gridCol w:w="3920"/>
        <w:gridCol w:w="624"/>
        <w:gridCol w:w="624"/>
        <w:gridCol w:w="624"/>
        <w:gridCol w:w="624"/>
        <w:gridCol w:w="624"/>
        <w:gridCol w:w="624"/>
        <w:gridCol w:w="624"/>
        <w:gridCol w:w="624"/>
        <w:gridCol w:w="624"/>
        <w:gridCol w:w="624"/>
        <w:gridCol w:w="624"/>
      </w:tblGrid>
      <w:tr>
        <w:tc>
          <w:tcPr>
            <w:tcW w:type="dxa" w:w="392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Fase / Semana</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1</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2</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3</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4</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5</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6</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7</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8</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9</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10</w:t>
            </w:r>
          </w:p>
        </w:tc>
        <w:tc>
          <w:tcPr>
            <w:tcW w:type="dxa" w:w="624"/>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11</w:t>
            </w:r>
          </w:p>
        </w:tc>
      </w:tr>
      <w:tr>
        <w:tc>
          <w:tcPr>
            <w:tcW w:type="dxa" w:w="39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F1 - Assessment</w:t>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r>
      <w:tr>
        <w:tc>
          <w:tcPr>
            <w:tcW w:type="dxa" w:w="39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F2 - Diseño</w:t>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r>
      <w:tr>
        <w:tc>
          <w:tcPr>
            <w:tcW w:type="dxa" w:w="39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F3 - Landing Zone</w:t>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r>
      <w:tr>
        <w:tc>
          <w:tcPr>
            <w:tcW w:type="dxa" w:w="39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F4 - Piloto</w:t>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r>
      <w:tr>
        <w:tc>
          <w:tcPr>
            <w:tcW w:type="dxa" w:w="39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F5 - Migración Producción</w:t>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r>
      <w:tr>
        <w:tc>
          <w:tcPr>
            <w:tcW w:type="dxa" w:w="39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F6 - Hypercare y Hand-off</w:t>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624"/>
            <w:tcBorders>
              <w:top w:val="single" w:color="BFBFBF" w:sz="6"/>
              <w:left w:val="single" w:color="BFBFBF" w:sz="6"/>
              <w:bottom w:val="single" w:color="BFBFBF" w:sz="6"/>
              <w:right w:val="single" w:color="BFBFBF" w:sz="6"/>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r>
    </w:tbl>
    <w:p>
      <w:pPr>
        <w:spacing w:after="160"/>
      </w:pPr>
      <w:r>
        <w:t xml:space="preserve"/>
      </w:r>
    </w:p>
    <w:p>
      <w:pPr>
        <w:pStyle w:val="Heading2"/>
        <w:spacing w:after="140" w:before="280"/>
      </w:pPr>
      <w:r>
        <w:rPr>
          <w:rFonts w:ascii="Calibri" w:cs="Calibri" w:eastAsia="Calibri" w:hAnsi="Calibri"/>
          <w:b/>
          <w:bCs/>
          <w:color w:val="2E75B6"/>
          <w:sz w:val="26"/>
          <w:szCs w:val="26"/>
        </w:rPr>
        <w:t xml:space="preserve">5.9 Procedimiento de Rollback</w:t>
      </w:r>
    </w:p>
    <w:p>
      <w:pPr>
        <w:spacing w:after="120" w:before="0" w:line="300"/>
        <w:jc w:val="both"/>
      </w:pPr>
      <w:r>
        <w:rPr>
          <w:rFonts w:ascii="Calibri" w:cs="Calibri" w:eastAsia="Calibri" w:hAnsi="Calibri"/>
          <w:sz w:val="22"/>
          <w:szCs w:val="22"/>
        </w:rPr>
        <w:t xml:space="preserve">En caso de detectar una falla crítica durante o inmediatamente después de la migración de una VM, se ejecutará el siguiente procedimiento de rollback. La decisión de invocar el rollback es responsabilidad conjunta del Project Manager del proveedor y el Líder Técnico del cliente.</w:t>
      </w:r>
    </w:p>
    <w:p>
      <w:pPr>
        <w:pStyle w:val="Heading3"/>
        <w:spacing w:after="100" w:before="200"/>
      </w:pPr>
      <w:r>
        <w:rPr>
          <w:rFonts w:ascii="Calibri" w:cs="Calibri" w:eastAsia="Calibri" w:hAnsi="Calibri"/>
          <w:b/>
          <w:bCs/>
          <w:color w:val="333333"/>
          <w:sz w:val="23"/>
          <w:szCs w:val="23"/>
        </w:rPr>
        <w:t xml:space="preserve">Criterios para Invocar el Rollback</w:t>
      </w:r>
    </w:p>
    <w:p>
      <w:pPr>
        <w:pStyle w:val="ListParagraph"/>
        <w:numPr>
          <w:ilvl w:val="0"/>
          <w:numId w:val="2"/>
        </w:numPr>
        <w:spacing w:after="80" w:line="280"/>
        <w:jc w:val="both"/>
      </w:pPr>
      <w:r>
        <w:rPr>
          <w:rFonts w:ascii="Calibri" w:cs="Calibri" w:eastAsia="Calibri" w:hAnsi="Calibri"/>
          <w:sz w:val="22"/>
          <w:szCs w:val="22"/>
        </w:rPr>
        <w:t xml:space="preserve">La VM en Azure no arranca después de 60 minutos de troubleshooting.</w:t>
      </w:r>
    </w:p>
    <w:p>
      <w:pPr>
        <w:pStyle w:val="ListParagraph"/>
        <w:numPr>
          <w:ilvl w:val="0"/>
          <w:numId w:val="2"/>
        </w:numPr>
        <w:spacing w:after="80" w:line="280"/>
        <w:jc w:val="both"/>
      </w:pPr>
      <w:r>
        <w:rPr>
          <w:rFonts w:ascii="Calibri" w:cs="Calibri" w:eastAsia="Calibri" w:hAnsi="Calibri"/>
          <w:sz w:val="22"/>
          <w:szCs w:val="22"/>
        </w:rPr>
        <w:t xml:space="preserve">Servicios críticos de negocio no responden tras la migración.</w:t>
      </w:r>
    </w:p>
    <w:p>
      <w:pPr>
        <w:pStyle w:val="ListParagraph"/>
        <w:numPr>
          <w:ilvl w:val="0"/>
          <w:numId w:val="2"/>
        </w:numPr>
        <w:spacing w:after="80" w:line="280"/>
        <w:jc w:val="both"/>
      </w:pPr>
      <w:r>
        <w:rPr>
          <w:rFonts w:ascii="Calibri" w:cs="Calibri" w:eastAsia="Calibri" w:hAnsi="Calibri"/>
          <w:sz w:val="22"/>
          <w:szCs w:val="22"/>
        </w:rPr>
        <w:t xml:space="preserve">Pérdida de integridad o consistencia de datos detectada.</w:t>
      </w:r>
    </w:p>
    <w:p>
      <w:pPr>
        <w:pStyle w:val="ListParagraph"/>
        <w:numPr>
          <w:ilvl w:val="0"/>
          <w:numId w:val="2"/>
        </w:numPr>
        <w:spacing w:after="80" w:line="280"/>
        <w:jc w:val="both"/>
      </w:pPr>
      <w:r>
        <w:rPr>
          <w:rFonts w:ascii="Calibri" w:cs="Calibri" w:eastAsia="Calibri" w:hAnsi="Calibri"/>
          <w:sz w:val="22"/>
          <w:szCs w:val="22"/>
        </w:rPr>
        <w:t xml:space="preserve">Tiempo de respuesta de la aplicación degradado en más del 50% con respecto a la línea base.</w:t>
      </w:r>
    </w:p>
    <w:p>
      <w:pPr>
        <w:pStyle w:val="Heading3"/>
        <w:spacing w:after="100" w:before="200"/>
      </w:pPr>
      <w:r>
        <w:rPr>
          <w:rFonts w:ascii="Calibri" w:cs="Calibri" w:eastAsia="Calibri" w:hAnsi="Calibri"/>
          <w:b/>
          <w:bCs/>
          <w:color w:val="333333"/>
          <w:sz w:val="23"/>
          <w:szCs w:val="23"/>
        </w:rPr>
        <w:t xml:space="preserve">Pasos del Rollback</w:t>
      </w:r>
    </w:p>
    <w:p>
      <w:pPr>
        <w:pStyle w:val="ListParagraph"/>
        <w:numPr>
          <w:ilvl w:val="0"/>
          <w:numId w:val="3"/>
        </w:numPr>
        <w:spacing w:after="80" w:line="280"/>
        <w:jc w:val="both"/>
      </w:pPr>
      <w:r>
        <w:rPr>
          <w:rFonts w:ascii="Calibri" w:cs="Calibri" w:eastAsia="Calibri" w:hAnsi="Calibri"/>
          <w:sz w:val="22"/>
          <w:szCs w:val="22"/>
        </w:rPr>
        <w:t xml:space="preserve">Detener pruebas funcionales en curso y notificar a los stakeholders.</w:t>
      </w:r>
    </w:p>
    <w:p>
      <w:pPr>
        <w:pStyle w:val="ListParagraph"/>
        <w:numPr>
          <w:ilvl w:val="0"/>
          <w:numId w:val="3"/>
        </w:numPr>
        <w:spacing w:after="80" w:line="280"/>
        <w:jc w:val="both"/>
      </w:pPr>
      <w:r>
        <w:rPr>
          <w:rFonts w:ascii="Calibri" w:cs="Calibri" w:eastAsia="Calibri" w:hAnsi="Calibri"/>
          <w:sz w:val="22"/>
          <w:szCs w:val="22"/>
        </w:rPr>
        <w:t xml:space="preserve">Apagar la VM migrada en Azure (no eliminar — se conserva para análisis post-mortem).</w:t>
      </w:r>
    </w:p>
    <w:p>
      <w:pPr>
        <w:pStyle w:val="ListParagraph"/>
        <w:numPr>
          <w:ilvl w:val="0"/>
          <w:numId w:val="3"/>
        </w:numPr>
        <w:spacing w:after="80" w:line="280"/>
        <w:jc w:val="both"/>
      </w:pPr>
      <w:r>
        <w:rPr>
          <w:rFonts w:ascii="Calibri" w:cs="Calibri" w:eastAsia="Calibri" w:hAnsi="Calibri"/>
          <w:sz w:val="22"/>
          <w:szCs w:val="22"/>
        </w:rPr>
        <w:t xml:space="preserve">Encender nuevamente la VM original en VMware ESXi (se mantiene apagada pero no eliminada durante 30 días).</w:t>
      </w:r>
    </w:p>
    <w:p>
      <w:pPr>
        <w:pStyle w:val="ListParagraph"/>
        <w:numPr>
          <w:ilvl w:val="0"/>
          <w:numId w:val="3"/>
        </w:numPr>
        <w:spacing w:after="80" w:line="280"/>
        <w:jc w:val="both"/>
      </w:pPr>
      <w:r>
        <w:rPr>
          <w:rFonts w:ascii="Calibri" w:cs="Calibri" w:eastAsia="Calibri" w:hAnsi="Calibri"/>
          <w:sz w:val="22"/>
          <w:szCs w:val="22"/>
        </w:rPr>
        <w:t xml:space="preserve">Restablecer registros DNS / IPs apuntando al entorno on-premise original.</w:t>
      </w:r>
    </w:p>
    <w:p>
      <w:pPr>
        <w:pStyle w:val="ListParagraph"/>
        <w:numPr>
          <w:ilvl w:val="0"/>
          <w:numId w:val="3"/>
        </w:numPr>
        <w:spacing w:after="80" w:line="280"/>
        <w:jc w:val="both"/>
      </w:pPr>
      <w:r>
        <w:rPr>
          <w:rFonts w:ascii="Calibri" w:cs="Calibri" w:eastAsia="Calibri" w:hAnsi="Calibri"/>
          <w:sz w:val="22"/>
          <w:szCs w:val="22"/>
        </w:rPr>
        <w:t xml:space="preserve">Validar arranque de servicios y conectividad en la VM original.</w:t>
      </w:r>
    </w:p>
    <w:p>
      <w:pPr>
        <w:pStyle w:val="ListParagraph"/>
        <w:numPr>
          <w:ilvl w:val="0"/>
          <w:numId w:val="3"/>
        </w:numPr>
        <w:spacing w:after="80" w:line="280"/>
        <w:jc w:val="both"/>
      </w:pPr>
      <w:r>
        <w:rPr>
          <w:rFonts w:ascii="Calibri" w:cs="Calibri" w:eastAsia="Calibri" w:hAnsi="Calibri"/>
          <w:sz w:val="22"/>
          <w:szCs w:val="22"/>
        </w:rPr>
        <w:t xml:space="preserve">Confirmar con el área de negocio que la operación está restaurada.</w:t>
      </w:r>
    </w:p>
    <w:p>
      <w:pPr>
        <w:pStyle w:val="ListParagraph"/>
        <w:numPr>
          <w:ilvl w:val="0"/>
          <w:numId w:val="3"/>
        </w:numPr>
        <w:spacing w:after="80" w:line="280"/>
        <w:jc w:val="both"/>
      </w:pPr>
      <w:r>
        <w:rPr>
          <w:rFonts w:ascii="Calibri" w:cs="Calibri" w:eastAsia="Calibri" w:hAnsi="Calibri"/>
          <w:sz w:val="22"/>
          <w:szCs w:val="22"/>
        </w:rPr>
        <w:t xml:space="preserve">Documentar la causa raíz, lecciones aprendidas y plan de remediación.</w:t>
      </w:r>
    </w:p>
    <w:p>
      <w:pPr>
        <w:pStyle w:val="ListParagraph"/>
        <w:numPr>
          <w:ilvl w:val="0"/>
          <w:numId w:val="3"/>
        </w:numPr>
        <w:spacing w:after="80" w:line="280"/>
        <w:jc w:val="both"/>
      </w:pPr>
      <w:r>
        <w:rPr>
          <w:rFonts w:ascii="Calibri" w:cs="Calibri" w:eastAsia="Calibri" w:hAnsi="Calibri"/>
          <w:sz w:val="22"/>
          <w:szCs w:val="22"/>
        </w:rPr>
        <w:t xml:space="preserve">Replanificar el cutover con las correcciones aplicadas.</w:t>
      </w:r>
    </w:p>
    <w:p>
      <w:pPr>
        <w:spacing w:after="120" w:before="0" w:line="300"/>
        <w:jc w:val="both"/>
      </w:pPr>
      <w:r>
        <w:rPr>
          <w:rFonts w:ascii="Calibri" w:cs="Calibri" w:eastAsia="Calibri" w:hAnsi="Calibri"/>
          <w:i/>
          <w:iCs/>
          <w:color w:val="808080"/>
          <w:sz w:val="22"/>
          <w:szCs w:val="22"/>
        </w:rPr>
        <w:t xml:space="preserve">Tiempo estimado del rollback completo por VM: 30 a 60 minutos.</w:t>
      </w:r>
    </w:p>
    <w:p>
      <w:r>
        <w:br w:type="page"/>
      </w:r>
    </w:p>
    <w:p>
      <w:pPr>
        <w:pStyle w:val="Heading1"/>
        <w:spacing w:after="200" w:before="360"/>
      </w:pPr>
      <w:r>
        <w:rPr>
          <w:rFonts w:ascii="Calibri" w:cs="Calibri" w:eastAsia="Calibri" w:hAnsi="Calibri"/>
          <w:b/>
          <w:bCs/>
          <w:color w:val="1F4E79"/>
          <w:sz w:val="32"/>
          <w:szCs w:val="32"/>
        </w:rPr>
        <w:t xml:space="preserve">6. Requerimientos Técnicos para la Ejecución</w:t>
      </w:r>
    </w:p>
    <w:p>
      <w:pPr>
        <w:spacing w:after="120" w:before="0" w:line="300"/>
        <w:jc w:val="both"/>
      </w:pPr>
      <w:r>
        <w:rPr>
          <w:rFonts w:ascii="Calibri" w:cs="Calibri" w:eastAsia="Calibri" w:hAnsi="Calibri"/>
          <w:sz w:val="22"/>
          <w:szCs w:val="22"/>
        </w:rPr>
        <w:t xml:space="preserve">Para garantizar la ejecución exitosa del proyecto, se requiere que el cliente cuente con los siguientes elementos antes y durante la migración.</w:t>
      </w:r>
    </w:p>
    <w:p>
      <w:pPr>
        <w:pStyle w:val="Heading2"/>
        <w:spacing w:after="140" w:before="280"/>
      </w:pPr>
      <w:r>
        <w:rPr>
          <w:rFonts w:ascii="Calibri" w:cs="Calibri" w:eastAsia="Calibri" w:hAnsi="Calibri"/>
          <w:b/>
          <w:bCs/>
          <w:color w:val="2E75B6"/>
          <w:sz w:val="26"/>
          <w:szCs w:val="26"/>
        </w:rPr>
        <w:t xml:space="preserve">6.1 Acceso e Infraestructura On-Premise</w:t>
      </w:r>
    </w:p>
    <w:p>
      <w:pPr>
        <w:pStyle w:val="ListParagraph"/>
        <w:numPr>
          <w:ilvl w:val="0"/>
          <w:numId w:val="2"/>
        </w:numPr>
        <w:spacing w:after="80" w:line="280"/>
        <w:jc w:val="both"/>
      </w:pPr>
      <w:r>
        <w:rPr>
          <w:rFonts w:ascii="Calibri" w:cs="Calibri" w:eastAsia="Calibri" w:hAnsi="Calibri"/>
          <w:sz w:val="22"/>
          <w:szCs w:val="22"/>
        </w:rPr>
        <w:t xml:space="preserve">Acceso administrativo al vCenter o al ESXi Host Client donde residen las 4 VMs.</w:t>
      </w:r>
    </w:p>
    <w:p>
      <w:pPr>
        <w:pStyle w:val="ListParagraph"/>
        <w:numPr>
          <w:ilvl w:val="0"/>
          <w:numId w:val="2"/>
        </w:numPr>
        <w:spacing w:after="80" w:line="280"/>
        <w:jc w:val="both"/>
      </w:pPr>
      <w:r>
        <w:rPr>
          <w:rFonts w:ascii="Calibri" w:cs="Calibri" w:eastAsia="Calibri" w:hAnsi="Calibri"/>
          <w:sz w:val="22"/>
          <w:szCs w:val="22"/>
        </w:rPr>
        <w:t xml:space="preserve">Permisos de exportación y de instalación de agentes en las VMs origen.</w:t>
      </w:r>
    </w:p>
    <w:p>
      <w:pPr>
        <w:pStyle w:val="ListParagraph"/>
        <w:numPr>
          <w:ilvl w:val="0"/>
          <w:numId w:val="2"/>
        </w:numPr>
        <w:spacing w:after="80" w:line="280"/>
        <w:jc w:val="both"/>
      </w:pPr>
      <w:r>
        <w:rPr>
          <w:rFonts w:ascii="Calibri" w:cs="Calibri" w:eastAsia="Calibri" w:hAnsi="Calibri"/>
          <w:sz w:val="22"/>
          <w:szCs w:val="22"/>
        </w:rPr>
        <w:t xml:space="preserve">Credenciales administrativas (Domain Admin para Windows; root o sudo para Linux) durante las ventanas de migración.</w:t>
      </w:r>
    </w:p>
    <w:p>
      <w:pPr>
        <w:pStyle w:val="ListParagraph"/>
        <w:numPr>
          <w:ilvl w:val="0"/>
          <w:numId w:val="2"/>
        </w:numPr>
        <w:spacing w:after="80" w:line="280"/>
        <w:jc w:val="both"/>
      </w:pPr>
      <w:r>
        <w:rPr>
          <w:rFonts w:ascii="Calibri" w:cs="Calibri" w:eastAsia="Calibri" w:hAnsi="Calibri"/>
          <w:sz w:val="22"/>
          <w:szCs w:val="22"/>
        </w:rPr>
        <w:t xml:space="preserve">Acceso administrativo al firewall Fortinet FortiGate para configurar el túnel VPN Site-to-Site.</w:t>
      </w:r>
    </w:p>
    <w:p>
      <w:pPr>
        <w:pStyle w:val="ListParagraph"/>
        <w:numPr>
          <w:ilvl w:val="0"/>
          <w:numId w:val="2"/>
        </w:numPr>
        <w:spacing w:after="80" w:line="280"/>
        <w:jc w:val="both"/>
      </w:pPr>
      <w:r>
        <w:rPr>
          <w:rFonts w:ascii="Calibri" w:cs="Calibri" w:eastAsia="Calibri" w:hAnsi="Calibri"/>
          <w:sz w:val="22"/>
          <w:szCs w:val="22"/>
        </w:rPr>
        <w:t xml:space="preserve">Acceso al inventario actual de direcciones IP de la red LAN.</w:t>
      </w:r>
    </w:p>
    <w:p>
      <w:pPr>
        <w:pStyle w:val="ListParagraph"/>
        <w:numPr>
          <w:ilvl w:val="0"/>
          <w:numId w:val="2"/>
        </w:numPr>
        <w:spacing w:after="80" w:line="280"/>
        <w:jc w:val="both"/>
      </w:pPr>
      <w:r>
        <w:rPr>
          <w:rFonts w:ascii="Calibri" w:cs="Calibri" w:eastAsia="Calibri" w:hAnsi="Calibri"/>
          <w:sz w:val="22"/>
          <w:szCs w:val="22"/>
        </w:rPr>
        <w:t xml:space="preserve">Enlace a internet con ancho de banda mínimo recomendado de 100 Mbps simétricos, dedicado al menos durante las ventanas de replicación de LYNXCAJA-PRD (disco de 1 TB).</w:t>
      </w:r>
    </w:p>
    <w:p>
      <w:pPr>
        <w:pStyle w:val="ListParagraph"/>
        <w:numPr>
          <w:ilvl w:val="0"/>
          <w:numId w:val="2"/>
        </w:numPr>
        <w:spacing w:after="80" w:line="280"/>
        <w:jc w:val="both"/>
      </w:pPr>
      <w:r>
        <w:rPr>
          <w:rFonts w:ascii="Calibri" w:cs="Calibri" w:eastAsia="Calibri" w:hAnsi="Calibri"/>
          <w:sz w:val="22"/>
          <w:szCs w:val="22"/>
        </w:rPr>
        <w:t xml:space="preserve">Espacio en disco libre dentro de las VMs origen para la instalación de los agentes de replicación (mínimo 2 GB).</w:t>
      </w:r>
    </w:p>
    <w:p>
      <w:pPr>
        <w:pStyle w:val="Heading2"/>
        <w:spacing w:after="140" w:before="280"/>
      </w:pPr>
      <w:r>
        <w:rPr>
          <w:rFonts w:ascii="Calibri" w:cs="Calibri" w:eastAsia="Calibri" w:hAnsi="Calibri"/>
          <w:b/>
          <w:bCs/>
          <w:color w:val="2E75B6"/>
          <w:sz w:val="26"/>
          <w:szCs w:val="26"/>
        </w:rPr>
        <w:t xml:space="preserve">6.2 Plataforma Azure</w:t>
      </w:r>
    </w:p>
    <w:p>
      <w:pPr>
        <w:pStyle w:val="ListParagraph"/>
        <w:numPr>
          <w:ilvl w:val="0"/>
          <w:numId w:val="2"/>
        </w:numPr>
        <w:spacing w:after="80" w:line="280"/>
        <w:jc w:val="both"/>
      </w:pPr>
      <w:r>
        <w:rPr>
          <w:rFonts w:ascii="Calibri" w:cs="Calibri" w:eastAsia="Calibri" w:hAnsi="Calibri"/>
          <w:sz w:val="22"/>
          <w:szCs w:val="22"/>
        </w:rPr>
        <w:t xml:space="preserve">Suscripción activa de Microsoft Azure con cuotas suficientes para los recursos a desplegar (mínimo 25 vCPUs disponibles en la región).</w:t>
      </w:r>
    </w:p>
    <w:p>
      <w:pPr>
        <w:pStyle w:val="ListParagraph"/>
        <w:numPr>
          <w:ilvl w:val="0"/>
          <w:numId w:val="2"/>
        </w:numPr>
        <w:spacing w:after="80" w:line="280"/>
        <w:jc w:val="both"/>
      </w:pPr>
      <w:r>
        <w:rPr>
          <w:rFonts w:ascii="Calibri" w:cs="Calibri" w:eastAsia="Calibri" w:hAnsi="Calibri"/>
          <w:sz w:val="22"/>
          <w:szCs w:val="22"/>
        </w:rPr>
        <w:t xml:space="preserve">Permisos de Owner o Contributor a nivel suscripción para el equipo de implementación durante el proyecto.</w:t>
      </w:r>
    </w:p>
    <w:p>
      <w:pPr>
        <w:pStyle w:val="ListParagraph"/>
        <w:numPr>
          <w:ilvl w:val="0"/>
          <w:numId w:val="2"/>
        </w:numPr>
        <w:spacing w:after="80" w:line="280"/>
        <w:jc w:val="both"/>
      </w:pPr>
      <w:r>
        <w:rPr>
          <w:rFonts w:ascii="Calibri" w:cs="Calibri" w:eastAsia="Calibri" w:hAnsi="Calibri"/>
          <w:sz w:val="22"/>
          <w:szCs w:val="22"/>
        </w:rPr>
        <w:t xml:space="preserve">Tenant de Azure AD / Microsoft Entra ID asociado a la suscripción.</w:t>
      </w:r>
    </w:p>
    <w:p>
      <w:pPr>
        <w:pStyle w:val="ListParagraph"/>
        <w:numPr>
          <w:ilvl w:val="0"/>
          <w:numId w:val="2"/>
        </w:numPr>
        <w:spacing w:after="80" w:line="280"/>
        <w:jc w:val="both"/>
      </w:pPr>
      <w:r>
        <w:rPr>
          <w:rFonts w:ascii="Calibri" w:cs="Calibri" w:eastAsia="Calibri" w:hAnsi="Calibri"/>
          <w:sz w:val="22"/>
          <w:szCs w:val="22"/>
        </w:rPr>
        <w:t xml:space="preserve">Asignación del presupuesto operativo (Azure consumption) según la estimación de la sección 8.</w:t>
      </w:r>
    </w:p>
    <w:p>
      <w:pPr>
        <w:pStyle w:val="Heading2"/>
        <w:spacing w:after="140" w:before="280"/>
      </w:pPr>
      <w:r>
        <w:rPr>
          <w:rFonts w:ascii="Calibri" w:cs="Calibri" w:eastAsia="Calibri" w:hAnsi="Calibri"/>
          <w:b/>
          <w:bCs/>
          <w:color w:val="2E75B6"/>
          <w:sz w:val="26"/>
          <w:szCs w:val="26"/>
        </w:rPr>
        <w:t xml:space="preserve">6.3 Licenciamiento</w:t>
      </w:r>
    </w:p>
    <w:p>
      <w:pPr>
        <w:pStyle w:val="ListParagraph"/>
        <w:numPr>
          <w:ilvl w:val="0"/>
          <w:numId w:val="2"/>
        </w:numPr>
        <w:spacing w:after="80" w:line="280"/>
        <w:jc w:val="both"/>
      </w:pPr>
      <w:r>
        <w:rPr>
          <w:rFonts w:ascii="Calibri" w:cs="Calibri" w:eastAsia="Calibri" w:hAnsi="Calibri"/>
          <w:sz w:val="22"/>
          <w:szCs w:val="22"/>
        </w:rPr>
        <w:t xml:space="preserve">Licencias válidas de Windows Server (×3) con Software Assurance activo para aprovechar Azure Hybrid Benefit (recomendado). Alternativamente, contratar el modelo de licencia incluida en el costo de la VM.</w:t>
      </w:r>
    </w:p>
    <w:p>
      <w:pPr>
        <w:pStyle w:val="ListParagraph"/>
        <w:numPr>
          <w:ilvl w:val="0"/>
          <w:numId w:val="2"/>
        </w:numPr>
        <w:spacing w:after="80" w:line="280"/>
        <w:jc w:val="both"/>
      </w:pPr>
      <w:r>
        <w:rPr>
          <w:rFonts w:ascii="Calibri" w:cs="Calibri" w:eastAsia="Calibri" w:hAnsi="Calibri"/>
          <w:sz w:val="22"/>
          <w:szCs w:val="22"/>
        </w:rPr>
        <w:t xml:space="preserve">Validación con el fabricante de CONTPAQi sobre la operación del software en entorno cloud y posibles ajustes de licenciamiento.</w:t>
      </w:r>
    </w:p>
    <w:p>
      <w:pPr>
        <w:pStyle w:val="ListParagraph"/>
        <w:numPr>
          <w:ilvl w:val="0"/>
          <w:numId w:val="2"/>
        </w:numPr>
        <w:spacing w:after="80" w:line="280"/>
        <w:jc w:val="both"/>
      </w:pPr>
      <w:r>
        <w:rPr>
          <w:rFonts w:ascii="Calibri" w:cs="Calibri" w:eastAsia="Calibri" w:hAnsi="Calibri"/>
          <w:sz w:val="22"/>
          <w:szCs w:val="22"/>
        </w:rPr>
        <w:t xml:space="preserve">Licencias de antivirus, herramientas de monitoreo o software adicional dentro de las VMs (responsabilidad del cliente).</w:t>
      </w:r>
    </w:p>
    <w:p>
      <w:pPr>
        <w:pStyle w:val="Heading2"/>
        <w:spacing w:after="140" w:before="280"/>
      </w:pPr>
      <w:r>
        <w:rPr>
          <w:rFonts w:ascii="Calibri" w:cs="Calibri" w:eastAsia="Calibri" w:hAnsi="Calibri"/>
          <w:b/>
          <w:bCs/>
          <w:color w:val="2E75B6"/>
          <w:sz w:val="26"/>
          <w:szCs w:val="26"/>
        </w:rPr>
        <w:t xml:space="preserve">6.4 Especificaciones Técnicas Recomendadas por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560"/>
      </w:tblGrid>
      <w:tr>
        <w:tc>
          <w:tcPr>
            <w:tcW w:type="dxa" w:w="22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VM Origen</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SKU Azure Recomendado</w:t>
            </w:r>
          </w:p>
        </w:tc>
        <w:tc>
          <w:tcPr>
            <w:tcW w:type="dxa" w:w="17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vCPU / RAM</w:t>
            </w:r>
          </w:p>
        </w:tc>
        <w:tc>
          <w:tcPr>
            <w:tcW w:type="dxa" w:w="17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Disco</w:t>
            </w:r>
          </w:p>
        </w:tc>
        <w:tc>
          <w:tcPr>
            <w:tcW w:type="dxa" w:w="156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Hybrid Benefit</w:t>
            </w:r>
          </w:p>
        </w:tc>
      </w:tr>
      <w:tr>
        <w:tc>
          <w:tcPr>
            <w:tcW w:type="dxa" w:w="2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LYNXCAJA-PRD</w:t>
            </w:r>
          </w:p>
        </w:tc>
        <w:tc>
          <w:tcPr>
            <w:tcW w:type="dxa" w:w="2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Standard_D8s_v5</w:t>
            </w:r>
          </w:p>
        </w:tc>
        <w:tc>
          <w:tcPr>
            <w:tcW w:type="dxa" w:w="1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8 / 32 GB</w:t>
            </w:r>
          </w:p>
        </w:tc>
        <w:tc>
          <w:tcPr>
            <w:tcW w:type="dxa" w:w="1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P30 (1 TB, 5,000 IOPS)</w:t>
            </w:r>
          </w:p>
        </w:tc>
        <w:tc>
          <w:tcPr>
            <w:tcW w:type="dxa" w:w="15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Sí (Windows)</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ActiveDirectory-CSJB</w:t>
            </w:r>
          </w:p>
        </w:tc>
        <w:tc>
          <w:tcPr>
            <w:tcW w:type="dxa" w:w="2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Standard_B2ms</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2 / 8 GB</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P10 (128 GB, 500 IOPS)</w:t>
            </w:r>
          </w:p>
        </w:tc>
        <w:tc>
          <w:tcPr>
            <w:tcW w:type="dxa" w:w="15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Sí (Windows)</w:t>
            </w:r>
          </w:p>
        </w:tc>
      </w:tr>
      <w:tr>
        <w:tc>
          <w:tcPr>
            <w:tcW w:type="dxa" w:w="2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CONTPAQI-CSJB</w:t>
            </w:r>
          </w:p>
        </w:tc>
        <w:tc>
          <w:tcPr>
            <w:tcW w:type="dxa" w:w="2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Standard_D8s_v5</w:t>
            </w:r>
          </w:p>
        </w:tc>
        <w:tc>
          <w:tcPr>
            <w:tcW w:type="dxa" w:w="1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8 / 32 GB</w:t>
            </w:r>
          </w:p>
        </w:tc>
        <w:tc>
          <w:tcPr>
            <w:tcW w:type="dxa" w:w="1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P10 (128 GB)</w:t>
            </w:r>
          </w:p>
        </w:tc>
        <w:tc>
          <w:tcPr>
            <w:tcW w:type="dxa" w:w="15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Sí (Windows)</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LYNX_CxC</w:t>
            </w:r>
          </w:p>
        </w:tc>
        <w:tc>
          <w:tcPr>
            <w:tcW w:type="dxa" w:w="2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Standard_D4s_v5</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4 / 16 GB</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P10 (128 GB)</w:t>
            </w:r>
          </w:p>
        </w:tc>
        <w:tc>
          <w:tcPr>
            <w:tcW w:type="dxa" w:w="15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No (Ubuntu)</w:t>
            </w:r>
          </w:p>
        </w:tc>
      </w:tr>
    </w:tbl>
    <w:p>
      <w:pPr>
        <w:spacing w:after="120"/>
      </w:pPr>
      <w:r>
        <w:t xml:space="preserve"/>
      </w:r>
    </w:p>
    <w:p>
      <w:pPr>
        <w:spacing w:after="120" w:before="0" w:line="300"/>
        <w:jc w:val="both"/>
      </w:pPr>
      <w:r>
        <w:rPr>
          <w:rFonts w:ascii="Calibri" w:cs="Calibri" w:eastAsia="Calibri" w:hAnsi="Calibri"/>
          <w:i/>
          <w:iCs/>
          <w:color w:val="808080"/>
          <w:sz w:val="22"/>
          <w:szCs w:val="22"/>
        </w:rPr>
        <w:t xml:space="preserve">Nota: Los SKUs propuestos consideran headroom para crecimiento del 20% según lo recomendado en el documento de requerimientos del cliente. El dimensionamiento final se confirma en la Fase 1 (Assessment) con métricas reales.</w:t>
      </w:r>
    </w:p>
    <w:p>
      <w:pPr>
        <w:pStyle w:val="Heading2"/>
        <w:spacing w:after="140" w:before="280"/>
      </w:pPr>
      <w:r>
        <w:rPr>
          <w:rFonts w:ascii="Calibri" w:cs="Calibri" w:eastAsia="Calibri" w:hAnsi="Calibri"/>
          <w:b/>
          <w:bCs/>
          <w:color w:val="2E75B6"/>
          <w:sz w:val="26"/>
          <w:szCs w:val="26"/>
        </w:rPr>
        <w:t xml:space="preserve">6.5 Componentes Complementarios</w:t>
      </w:r>
    </w:p>
    <w:p>
      <w:pPr>
        <w:pStyle w:val="ListParagraph"/>
        <w:numPr>
          <w:ilvl w:val="0"/>
          <w:numId w:val="2"/>
        </w:numPr>
        <w:spacing w:after="80" w:line="280"/>
        <w:jc w:val="both"/>
      </w:pPr>
      <w:r>
        <w:rPr>
          <w:rFonts w:ascii="Calibri" w:cs="Calibri" w:eastAsia="Calibri" w:hAnsi="Calibri"/>
          <w:sz w:val="22"/>
          <w:szCs w:val="22"/>
        </w:rPr>
        <w:t xml:space="preserve">Virtual Network Gateway VpnGw2 (1.0 Gbps, hasta 30 túneles) para la conectividad Site-to-Site.</w:t>
      </w:r>
    </w:p>
    <w:p>
      <w:pPr>
        <w:pStyle w:val="ListParagraph"/>
        <w:numPr>
          <w:ilvl w:val="0"/>
          <w:numId w:val="2"/>
        </w:numPr>
        <w:spacing w:after="80" w:line="280"/>
        <w:jc w:val="both"/>
      </w:pPr>
      <w:r>
        <w:rPr>
          <w:rFonts w:ascii="Calibri" w:cs="Calibri" w:eastAsia="Calibri" w:hAnsi="Calibri"/>
          <w:sz w:val="22"/>
          <w:szCs w:val="22"/>
        </w:rPr>
        <w:t xml:space="preserve">Recovery Services Vault para Azure Backup (almacenamiento LRS — Locally Redundant Storage).</w:t>
      </w:r>
    </w:p>
    <w:p>
      <w:pPr>
        <w:pStyle w:val="ListParagraph"/>
        <w:numPr>
          <w:ilvl w:val="0"/>
          <w:numId w:val="2"/>
        </w:numPr>
        <w:spacing w:after="80" w:line="280"/>
        <w:jc w:val="both"/>
      </w:pPr>
      <w:r>
        <w:rPr>
          <w:rFonts w:ascii="Calibri" w:cs="Calibri" w:eastAsia="Calibri" w:hAnsi="Calibri"/>
          <w:sz w:val="22"/>
          <w:szCs w:val="22"/>
        </w:rPr>
        <w:t xml:space="preserve">Log Analytics Workspace para Azure Monitor (retención 30 días).</w:t>
      </w:r>
    </w:p>
    <w:p>
      <w:pPr>
        <w:pStyle w:val="ListParagraph"/>
        <w:numPr>
          <w:ilvl w:val="0"/>
          <w:numId w:val="2"/>
        </w:numPr>
        <w:spacing w:after="80" w:line="280"/>
        <w:jc w:val="both"/>
      </w:pPr>
      <w:r>
        <w:rPr>
          <w:rFonts w:ascii="Calibri" w:cs="Calibri" w:eastAsia="Calibri" w:hAnsi="Calibri"/>
          <w:sz w:val="22"/>
          <w:szCs w:val="22"/>
        </w:rPr>
        <w:t xml:space="preserve">Storage Account para diagnósticos de boot.</w:t>
      </w:r>
    </w:p>
    <w:p>
      <w:pPr>
        <w:pStyle w:val="ListParagraph"/>
        <w:numPr>
          <w:ilvl w:val="0"/>
          <w:numId w:val="2"/>
        </w:numPr>
        <w:spacing w:after="80" w:line="280"/>
        <w:jc w:val="both"/>
      </w:pPr>
      <w:r>
        <w:rPr>
          <w:rFonts w:ascii="Calibri" w:cs="Calibri" w:eastAsia="Calibri" w:hAnsi="Calibri"/>
          <w:sz w:val="22"/>
          <w:szCs w:val="22"/>
        </w:rPr>
        <w:t xml:space="preserve">Key Vault para resguardo de secretos y llaves de cifrado.</w:t>
      </w:r>
    </w:p>
    <w:p>
      <w:r>
        <w:br w:type="page"/>
      </w:r>
    </w:p>
    <w:p>
      <w:pPr>
        <w:pStyle w:val="Heading1"/>
        <w:spacing w:after="200" w:before="360"/>
      </w:pPr>
      <w:r>
        <w:rPr>
          <w:rFonts w:ascii="Calibri" w:cs="Calibri" w:eastAsia="Calibri" w:hAnsi="Calibri"/>
          <w:b/>
          <w:bCs/>
          <w:color w:val="1F4E79"/>
          <w:sz w:val="32"/>
          <w:szCs w:val="32"/>
        </w:rPr>
        <w:t xml:space="preserve">7. Requerimientos Humanos (Equipo de Trabajo)</w:t>
      </w:r>
    </w:p>
    <w:p>
      <w:pPr>
        <w:spacing w:after="120" w:before="0" w:line="300"/>
        <w:jc w:val="both"/>
      </w:pPr>
      <w:r>
        <w:rPr>
          <w:rFonts w:ascii="Calibri" w:cs="Calibri" w:eastAsia="Calibri" w:hAnsi="Calibri"/>
          <w:sz w:val="22"/>
          <w:szCs w:val="22"/>
        </w:rPr>
        <w:t xml:space="preserve">La ejecución del proyecto requiere la participación de un equipo multidisciplinario del proveedor y la designación de contrapartes específicas del cliente. A continuación se describe la conformación recomendada.</w:t>
      </w:r>
    </w:p>
    <w:p>
      <w:pPr>
        <w:pStyle w:val="Heading2"/>
        <w:spacing w:after="140" w:before="280"/>
      </w:pPr>
      <w:r>
        <w:rPr>
          <w:rFonts w:ascii="Calibri" w:cs="Calibri" w:eastAsia="Calibri" w:hAnsi="Calibri"/>
          <w:b/>
          <w:bCs/>
          <w:color w:val="2E75B6"/>
          <w:sz w:val="26"/>
          <w:szCs w:val="26"/>
        </w:rPr>
        <w:t xml:space="preserve">7.1 Equipo del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1320"/>
        <w:gridCol w:w="1140"/>
      </w:tblGrid>
      <w:tr>
        <w:tc>
          <w:tcPr>
            <w:tcW w:type="dxa" w:w="27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Rol</w:t>
            </w:r>
          </w:p>
        </w:tc>
        <w:tc>
          <w:tcPr>
            <w:tcW w:type="dxa" w:w="42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Responsabilidades Principales</w:t>
            </w:r>
          </w:p>
        </w:tc>
        <w:tc>
          <w:tcPr>
            <w:tcW w:type="dxa" w:w="132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Dedicación</w:t>
            </w:r>
          </w:p>
        </w:tc>
        <w:tc>
          <w:tcPr>
            <w:tcW w:type="dxa" w:w="114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Fases</w:t>
            </w:r>
          </w:p>
        </w:tc>
      </w:tr>
      <w:tr>
        <w:tc>
          <w:tcPr>
            <w:tcW w:type="dxa" w:w="2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Project Manager (PMP)</w:t>
            </w:r>
          </w:p>
        </w:tc>
        <w:tc>
          <w:tcPr>
            <w:tcW w:type="dxa" w:w="4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Planeación, seguimiento, control de cambios, comunicación con el cliente, gestión de riesgos.</w:t>
            </w:r>
          </w:p>
        </w:tc>
        <w:tc>
          <w:tcPr>
            <w:tcW w:type="dxa" w:w="13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Tiempo parcial</w:t>
            </w:r>
          </w:p>
        </w:tc>
        <w:tc>
          <w:tcPr>
            <w:tcW w:type="dxa" w:w="11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1 - 6</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Arquitecto Cloud Azure</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Diseño de la arquitectura, validación técnica del HLD/LLD, definición de estándares.</w:t>
            </w:r>
          </w:p>
        </w:tc>
        <w:tc>
          <w:tcPr>
            <w:tcW w:type="dxa" w:w="13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Tiempo parcial</w:t>
            </w:r>
          </w:p>
        </w:tc>
        <w:tc>
          <w:tcPr>
            <w:tcW w:type="dxa" w:w="11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1 - 3, 6</w:t>
            </w:r>
          </w:p>
        </w:tc>
      </w:tr>
      <w:tr>
        <w:tc>
          <w:tcPr>
            <w:tcW w:type="dxa" w:w="2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Ingeniero Sr. de Migración Cloud</w:t>
            </w:r>
          </w:p>
        </w:tc>
        <w:tc>
          <w:tcPr>
            <w:tcW w:type="dxa" w:w="4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Configuración de Azure Migrate, ejecución de replicaciones, cutovers, validación técnica post-migración.</w:t>
            </w:r>
          </w:p>
        </w:tc>
        <w:tc>
          <w:tcPr>
            <w:tcW w:type="dxa" w:w="13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Tiempo completo</w:t>
            </w:r>
          </w:p>
        </w:tc>
        <w:tc>
          <w:tcPr>
            <w:tcW w:type="dxa" w:w="11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3 - 6</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Ingeniero de Redes y Seguridad (Fortinet)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Configuración de VPN Site-to-Site Fortinet ↔ Azure, NSGs, troubleshooting de red.</w:t>
            </w:r>
          </w:p>
        </w:tc>
        <w:tc>
          <w:tcPr>
            <w:tcW w:type="dxa" w:w="13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Tiempo parcial</w:t>
            </w:r>
          </w:p>
        </w:tc>
        <w:tc>
          <w:tcPr>
            <w:tcW w:type="dxa" w:w="11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2 - 4, 6</w:t>
            </w:r>
          </w:p>
        </w:tc>
      </w:tr>
      <w:tr>
        <w:tc>
          <w:tcPr>
            <w:tcW w:type="dxa" w:w="2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Especialista Windows Server</w:t>
            </w:r>
          </w:p>
        </w:tc>
        <w:tc>
          <w:tcPr>
            <w:tcW w:type="dxa" w:w="4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Validación post-migración de las VMs Windows, soporte a Active Directory.</w:t>
            </w:r>
          </w:p>
        </w:tc>
        <w:tc>
          <w:tcPr>
            <w:tcW w:type="dxa" w:w="13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Tiempo parcial</w:t>
            </w:r>
          </w:p>
        </w:tc>
        <w:tc>
          <w:tcPr>
            <w:tcW w:type="dxa" w:w="11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4 - 6</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Especialista Linux</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Validación post-migración de la VM Ubuntu (LYNX_CxC).</w:t>
            </w:r>
          </w:p>
        </w:tc>
        <w:tc>
          <w:tcPr>
            <w:tcW w:type="dxa" w:w="13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Por demanda</w:t>
            </w:r>
          </w:p>
        </w:tc>
        <w:tc>
          <w:tcPr>
            <w:tcW w:type="dxa" w:w="11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4 - 5</w:t>
            </w:r>
          </w:p>
        </w:tc>
      </w:tr>
      <w:tr>
        <w:tc>
          <w:tcPr>
            <w:tcW w:type="dxa" w:w="2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QA / Validador Técnico</w:t>
            </w:r>
          </w:p>
        </w:tc>
        <w:tc>
          <w:tcPr>
            <w:tcW w:type="dxa" w:w="4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Ejecución de pruebas técnicas post-migración, generación de evidencias.</w:t>
            </w:r>
          </w:p>
        </w:tc>
        <w:tc>
          <w:tcPr>
            <w:tcW w:type="dxa" w:w="13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Por demanda</w:t>
            </w:r>
          </w:p>
        </w:tc>
        <w:tc>
          <w:tcPr>
            <w:tcW w:type="dxa" w:w="11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4 - 6</w:t>
            </w:r>
          </w:p>
        </w:tc>
      </w:tr>
    </w:tbl>
    <w:p>
      <w:pPr>
        <w:spacing w:after="160"/>
      </w:pPr>
      <w:r>
        <w:t xml:space="preserve"/>
      </w:r>
    </w:p>
    <w:p>
      <w:pPr>
        <w:pStyle w:val="Heading2"/>
        <w:spacing w:after="140" w:before="280"/>
      </w:pPr>
      <w:r>
        <w:rPr>
          <w:rFonts w:ascii="Calibri" w:cs="Calibri" w:eastAsia="Calibri" w:hAnsi="Calibri"/>
          <w:b/>
          <w:bCs/>
          <w:color w:val="2E75B6"/>
          <w:sz w:val="26"/>
          <w:szCs w:val="26"/>
        </w:rPr>
        <w:t xml:space="preserve">7.2 Equipo Requerido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520"/>
        <w:gridCol w:w="1140"/>
      </w:tblGrid>
      <w:tr>
        <w:tc>
          <w:tcPr>
            <w:tcW w:type="dxa" w:w="27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Rol del Cliente</w:t>
            </w:r>
          </w:p>
        </w:tc>
        <w:tc>
          <w:tcPr>
            <w:tcW w:type="dxa" w:w="552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Responsabilidades</w:t>
            </w:r>
          </w:p>
        </w:tc>
        <w:tc>
          <w:tcPr>
            <w:tcW w:type="dxa" w:w="114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Dedicación</w:t>
            </w:r>
          </w:p>
        </w:tc>
      </w:tr>
      <w:tr>
        <w:tc>
          <w:tcPr>
            <w:tcW w:type="dxa" w:w="2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Patrocinador del Proyecto (Sponsor)</w:t>
            </w:r>
          </w:p>
        </w:tc>
        <w:tc>
          <w:tcPr>
            <w:tcW w:type="dxa" w:w="55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Aprobación de hitos, resolución de bloqueos de alto nivel, toma de decisiones estratégicas.</w:t>
            </w:r>
          </w:p>
        </w:tc>
        <w:tc>
          <w:tcPr>
            <w:tcW w:type="dxa" w:w="11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Bajo</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Líder Técnico de TI</w:t>
            </w:r>
          </w:p>
        </w:tc>
        <w:tc>
          <w:tcPr>
            <w:tcW w:type="dxa" w:w="55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Contraparte técnica del proveedor, validación de diseños, aprobación de cambios técnicos.</w:t>
            </w:r>
          </w:p>
        </w:tc>
        <w:tc>
          <w:tcPr>
            <w:tcW w:type="dxa" w:w="11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Medio</w:t>
            </w:r>
          </w:p>
        </w:tc>
      </w:tr>
      <w:tr>
        <w:tc>
          <w:tcPr>
            <w:tcW w:type="dxa" w:w="2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Administrador VMware / ESXi</w:t>
            </w:r>
          </w:p>
        </w:tc>
        <w:tc>
          <w:tcPr>
            <w:tcW w:type="dxa" w:w="55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Apoyo en exportación, snapshots, accesos al entorno de origen.</w:t>
            </w:r>
          </w:p>
        </w:tc>
        <w:tc>
          <w:tcPr>
            <w:tcW w:type="dxa" w:w="11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Medio</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Administrador de Fortinet</w:t>
            </w:r>
          </w:p>
        </w:tc>
        <w:tc>
          <w:tcPr>
            <w:tcW w:type="dxa" w:w="55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Configuración del túnel VPN en el FortiGate del cliente.</w:t>
            </w:r>
          </w:p>
        </w:tc>
        <w:tc>
          <w:tcPr>
            <w:tcW w:type="dxa" w:w="11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Bajo</w:t>
            </w:r>
          </w:p>
        </w:tc>
      </w:tr>
      <w:tr>
        <w:tc>
          <w:tcPr>
            <w:tcW w:type="dxa" w:w="2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Administrador de Active Directory</w:t>
            </w:r>
          </w:p>
        </w:tc>
        <w:tc>
          <w:tcPr>
            <w:tcW w:type="dxa" w:w="55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Validación post-migración del AD, soporte en pruebas.</w:t>
            </w:r>
          </w:p>
        </w:tc>
        <w:tc>
          <w:tcPr>
            <w:tcW w:type="dxa" w:w="11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Bajo</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Usuario funcional de aplicaciones</w:t>
            </w:r>
          </w:p>
        </w:tc>
        <w:tc>
          <w:tcPr>
            <w:tcW w:type="dxa" w:w="55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Pruebas funcionales de negocio de CONTPAQi, LYNXCAJA, LYNX_CxC.</w:t>
            </w:r>
          </w:p>
        </w:tc>
        <w:tc>
          <w:tcPr>
            <w:tcW w:type="dxa" w:w="11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Medio (en cutovers)</w:t>
            </w:r>
          </w:p>
        </w:tc>
      </w:tr>
    </w:tbl>
    <w:p>
      <w:pPr>
        <w:spacing w:after="160"/>
      </w:pPr>
      <w:r>
        <w:t xml:space="preserve"/>
      </w:r>
    </w:p>
    <w:p>
      <w:pPr>
        <w:pStyle w:val="Heading2"/>
        <w:spacing w:after="140" w:before="280"/>
      </w:pPr>
      <w:r>
        <w:rPr>
          <w:rFonts w:ascii="Calibri" w:cs="Calibri" w:eastAsia="Calibri" w:hAnsi="Calibri"/>
          <w:b/>
          <w:bCs/>
          <w:color w:val="2E75B6"/>
          <w:sz w:val="26"/>
          <w:szCs w:val="26"/>
        </w:rPr>
        <w:t xml:space="preserve">7.3 Modelo de Gobierno y Comunicación</w:t>
      </w:r>
    </w:p>
    <w:p>
      <w:pPr>
        <w:pStyle w:val="ListParagraph"/>
        <w:numPr>
          <w:ilvl w:val="0"/>
          <w:numId w:val="2"/>
        </w:numPr>
        <w:spacing w:after="80" w:line="280"/>
        <w:jc w:val="both"/>
      </w:pPr>
      <w:r>
        <w:rPr>
          <w:rFonts w:ascii="Calibri" w:cs="Calibri" w:eastAsia="Calibri" w:hAnsi="Calibri"/>
          <w:sz w:val="22"/>
          <w:szCs w:val="22"/>
        </w:rPr>
        <w:t xml:space="preserve">Reunión semanal de seguimiento (60 min) entre el PM del proveedor y el Líder Técnico del cliente.</w:t>
      </w:r>
    </w:p>
    <w:p>
      <w:pPr>
        <w:pStyle w:val="ListParagraph"/>
        <w:numPr>
          <w:ilvl w:val="0"/>
          <w:numId w:val="2"/>
        </w:numPr>
        <w:spacing w:after="80" w:line="280"/>
        <w:jc w:val="both"/>
      </w:pPr>
      <w:r>
        <w:rPr>
          <w:rFonts w:ascii="Calibri" w:cs="Calibri" w:eastAsia="Calibri" w:hAnsi="Calibri"/>
          <w:sz w:val="22"/>
          <w:szCs w:val="22"/>
        </w:rPr>
        <w:t xml:space="preserve">Reporte semanal de avance con porcentaje completado, riesgos y bloqueos.</w:t>
      </w:r>
    </w:p>
    <w:p>
      <w:pPr>
        <w:pStyle w:val="ListParagraph"/>
        <w:numPr>
          <w:ilvl w:val="0"/>
          <w:numId w:val="2"/>
        </w:numPr>
        <w:spacing w:after="80" w:line="280"/>
        <w:jc w:val="both"/>
      </w:pPr>
      <w:r>
        <w:rPr>
          <w:rFonts w:ascii="Calibri" w:cs="Calibri" w:eastAsia="Calibri" w:hAnsi="Calibri"/>
          <w:sz w:val="22"/>
          <w:szCs w:val="22"/>
        </w:rPr>
        <w:t xml:space="preserve">Reuniones de revisión de hitos al cierre de cada fase.</w:t>
      </w:r>
    </w:p>
    <w:p>
      <w:pPr>
        <w:pStyle w:val="ListParagraph"/>
        <w:numPr>
          <w:ilvl w:val="0"/>
          <w:numId w:val="2"/>
        </w:numPr>
        <w:spacing w:after="80" w:line="280"/>
        <w:jc w:val="both"/>
      </w:pPr>
      <w:r>
        <w:rPr>
          <w:rFonts w:ascii="Calibri" w:cs="Calibri" w:eastAsia="Calibri" w:hAnsi="Calibri"/>
          <w:sz w:val="22"/>
          <w:szCs w:val="22"/>
        </w:rPr>
        <w:t xml:space="preserve">Canal de comunicación dedicado (Teams o Slack) para temas operativos del día a día.</w:t>
      </w:r>
    </w:p>
    <w:p>
      <w:pPr>
        <w:pStyle w:val="ListParagraph"/>
        <w:numPr>
          <w:ilvl w:val="0"/>
          <w:numId w:val="2"/>
        </w:numPr>
        <w:spacing w:after="80" w:line="280"/>
        <w:jc w:val="both"/>
      </w:pPr>
      <w:r>
        <w:rPr>
          <w:rFonts w:ascii="Calibri" w:cs="Calibri" w:eastAsia="Calibri" w:hAnsi="Calibri"/>
          <w:sz w:val="22"/>
          <w:szCs w:val="22"/>
        </w:rPr>
        <w:t xml:space="preserve">Comité ejecutivo quincenal con el patrocinador del cliente.</w:t>
      </w:r>
    </w:p>
    <w:p>
      <w:r>
        <w:br w:type="page"/>
      </w:r>
    </w:p>
    <w:p>
      <w:pPr>
        <w:pStyle w:val="Heading1"/>
        <w:spacing w:after="200" w:before="360"/>
      </w:pPr>
      <w:r>
        <w:rPr>
          <w:rFonts w:ascii="Calibri" w:cs="Calibri" w:eastAsia="Calibri" w:hAnsi="Calibri"/>
          <w:b/>
          <w:bCs/>
          <w:color w:val="1F4E79"/>
          <w:sz w:val="32"/>
          <w:szCs w:val="32"/>
        </w:rPr>
        <w:t xml:space="preserve">8. Estimación de Costos en Microsoft Azure</w:t>
      </w:r>
    </w:p>
    <w:p>
      <w:pPr>
        <w:spacing w:after="120" w:before="0" w:line="300"/>
        <w:jc w:val="both"/>
      </w:pPr>
      <w:r>
        <w:rPr>
          <w:rFonts w:ascii="Calibri" w:cs="Calibri" w:eastAsia="Calibri" w:hAnsi="Calibri"/>
          <w:sz w:val="22"/>
          <w:szCs w:val="22"/>
        </w:rPr>
        <w:t xml:space="preserve">La siguiente estimación se basa en la calculadora oficial de Microsoft Azure (https://azure.microsoft.com/pricing/calculator/) para la región Mexico Central. Los precios son referenciales y están expresados en dólares estadounidenses (USD) con base en la lista de precios pública vigente. Los precios reales pueden variar y deben validarse al momento de la contratación.</w:t>
      </w:r>
    </w:p>
    <w:p>
      <w:pPr>
        <w:spacing w:after="120" w:before="0" w:line="300"/>
        <w:jc w:val="both"/>
      </w:pPr>
      <w:r>
        <w:rPr>
          <w:rFonts w:ascii="Calibri" w:cs="Calibri" w:eastAsia="Calibri" w:hAnsi="Calibri"/>
          <w:i/>
          <w:iCs/>
          <w:color w:val="808080"/>
          <w:sz w:val="22"/>
          <w:szCs w:val="22"/>
        </w:rPr>
        <w:t xml:space="preserve">Se presentan dos modelos de costo: PAYG (Pay-As-You-Go) que ofrece máxima flexibilidad, y Reserved Instance (1 año) que aplica un descuento aproximado del 35% al compromiso de uso anual. Se recomienda el modelo Reserved Instance para producción.</w:t>
      </w:r>
    </w:p>
    <w:p>
      <w:pPr>
        <w:pStyle w:val="Heading2"/>
        <w:spacing w:after="140" w:before="280"/>
      </w:pPr>
      <w:r>
        <w:rPr>
          <w:rFonts w:ascii="Calibri" w:cs="Calibri" w:eastAsia="Calibri" w:hAnsi="Calibri"/>
          <w:b/>
          <w:bCs/>
          <w:color w:val="2E75B6"/>
          <w:sz w:val="26"/>
          <w:szCs w:val="26"/>
        </w:rPr>
        <w:t xml:space="preserve">8.1 Costo por Máquina Virtual (Cómputo)</w:t>
      </w:r>
    </w:p>
    <w:p>
      <w:pPr>
        <w:spacing w:after="120" w:before="0" w:line="300"/>
        <w:jc w:val="both"/>
      </w:pPr>
      <w:r>
        <w:rPr>
          <w:rFonts w:ascii="Calibri" w:cs="Calibri" w:eastAsia="Calibri" w:hAnsi="Calibri"/>
          <w:sz w:val="22"/>
          <w:szCs w:val="22"/>
        </w:rPr>
        <w:t xml:space="preserve">Costos mensuales estimados considerando Azure Hybrid Benefit (BYOL para Windows) y reserva de 1 año: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00"/>
        <w:gridCol w:w="1500"/>
        <w:gridCol w:w="1700"/>
        <w:gridCol w:w="760"/>
      </w:tblGrid>
      <w:tr>
        <w:tc>
          <w:tcPr>
            <w:tcW w:type="dxa" w:w="22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VM</w:t>
            </w:r>
          </w:p>
        </w:tc>
        <w:tc>
          <w:tcPr>
            <w:tcW w:type="dxa" w:w="19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SKU Azure</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PAYG (USD/mes)</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 1 año (USD/mes)</w:t>
            </w:r>
          </w:p>
        </w:tc>
        <w:tc>
          <w:tcPr>
            <w:tcW w:type="dxa" w:w="17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Hybrid Benefit</w:t>
            </w:r>
          </w:p>
        </w:tc>
        <w:tc>
          <w:tcPr>
            <w:tcW w:type="dxa" w:w="76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LYNXCAJA-PRD</w:t>
            </w:r>
          </w:p>
        </w:tc>
        <w:tc>
          <w:tcPr>
            <w:tcW w:type="dxa" w:w="19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D8s_v5</w:t>
            </w:r>
          </w:p>
        </w:tc>
        <w:tc>
          <w:tcPr>
            <w:tcW w:type="dxa" w:w="15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$420</w:t>
            </w:r>
          </w:p>
        </w:tc>
        <w:tc>
          <w:tcPr>
            <w:tcW w:type="dxa" w:w="15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color w:val="1F4E79"/>
                <w:sz w:val="20"/>
                <w:szCs w:val="20"/>
              </w:rPr>
              <w:t xml:space="preserve">$273</w:t>
            </w:r>
          </w:p>
        </w:tc>
        <w:tc>
          <w:tcPr>
            <w:tcW w:type="dxa" w:w="1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Aplica (-40%)</w:t>
            </w:r>
          </w:p>
        </w:tc>
        <w:tc>
          <w:tcPr>
            <w:tcW w:type="dxa" w:w="7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Win</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ActiveDirectory-CSJB</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B2ms</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$72</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color w:val="1F4E79"/>
                <w:sz w:val="20"/>
                <w:szCs w:val="20"/>
              </w:rPr>
              <w:t xml:space="preserve">$47</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Aplica (-40%)</w:t>
            </w:r>
          </w:p>
        </w:tc>
        <w:tc>
          <w:tcPr>
            <w:tcW w:type="dxa" w:w="7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Win</w:t>
            </w:r>
          </w:p>
        </w:tc>
      </w:tr>
      <w:tr>
        <w:tc>
          <w:tcPr>
            <w:tcW w:type="dxa" w:w="2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CONTPAQI-CSJB</w:t>
            </w:r>
          </w:p>
        </w:tc>
        <w:tc>
          <w:tcPr>
            <w:tcW w:type="dxa" w:w="19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D8s_v5</w:t>
            </w:r>
          </w:p>
        </w:tc>
        <w:tc>
          <w:tcPr>
            <w:tcW w:type="dxa" w:w="15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$420</w:t>
            </w:r>
          </w:p>
        </w:tc>
        <w:tc>
          <w:tcPr>
            <w:tcW w:type="dxa" w:w="15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color w:val="1F4E79"/>
                <w:sz w:val="20"/>
                <w:szCs w:val="20"/>
              </w:rPr>
              <w:t xml:space="preserve">$273</w:t>
            </w:r>
          </w:p>
        </w:tc>
        <w:tc>
          <w:tcPr>
            <w:tcW w:type="dxa" w:w="1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Aplica (-40%)</w:t>
            </w:r>
          </w:p>
        </w:tc>
        <w:tc>
          <w:tcPr>
            <w:tcW w:type="dxa" w:w="7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Win</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LYNX_CxC</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D4s_v5</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$175</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color w:val="1F4E79"/>
                <w:sz w:val="20"/>
                <w:szCs w:val="20"/>
              </w:rPr>
              <w:t xml:space="preserve">$114</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No aplica (Linux)</w:t>
            </w:r>
          </w:p>
        </w:tc>
        <w:tc>
          <w:tcPr>
            <w:tcW w:type="dxa" w:w="7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Ubuntu</w:t>
            </w:r>
          </w:p>
        </w:tc>
      </w:tr>
      <w:tr>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Subtotal Cómputo</w:t>
            </w:r>
          </w:p>
        </w:tc>
        <w:tc>
          <w:tcPr>
            <w:tcW w:type="dxa" w:w="19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15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$1,087</w:t>
            </w:r>
          </w:p>
        </w:tc>
        <w:tc>
          <w:tcPr>
            <w:tcW w:type="dxa" w:w="15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center"/>
            </w:pPr>
            <w:r>
              <w:rPr>
                <w:rFonts w:ascii="Calibri" w:cs="Calibri" w:eastAsia="Calibri" w:hAnsi="Calibri"/>
                <w:b/>
                <w:bCs/>
                <w:color w:val="1F4E79"/>
                <w:sz w:val="20"/>
                <w:szCs w:val="20"/>
              </w:rPr>
              <w:t xml:space="preserve">$707</w:t>
            </w:r>
          </w:p>
        </w:tc>
        <w:tc>
          <w:tcPr>
            <w:tcW w:type="dxa" w:w="17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7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r>
    </w:tbl>
    <w:p>
      <w:pPr>
        <w:spacing w:after="160"/>
      </w:pPr>
      <w:r>
        <w:t xml:space="preserve"/>
      </w:r>
    </w:p>
    <w:p>
      <w:pPr>
        <w:pStyle w:val="Heading2"/>
        <w:spacing w:after="140" w:before="280"/>
      </w:pPr>
      <w:r>
        <w:rPr>
          <w:rFonts w:ascii="Calibri" w:cs="Calibri" w:eastAsia="Calibri" w:hAnsi="Calibri"/>
          <w:b/>
          <w:bCs/>
          <w:color w:val="2E75B6"/>
          <w:sz w:val="26"/>
          <w:szCs w:val="26"/>
        </w:rPr>
        <w:t xml:space="preserve">8.2 Costo de Almacenamiento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40"/>
        <w:gridCol w:w="1640"/>
        <w:gridCol w:w="1480"/>
      </w:tblGrid>
      <w:tr>
        <w:tc>
          <w:tcPr>
            <w:tcW w:type="dxa" w:w="22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VM</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Tipo de Disco</w:t>
            </w:r>
          </w:p>
        </w:tc>
        <w:tc>
          <w:tcPr>
            <w:tcW w:type="dxa" w:w="164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Tamaño</w:t>
            </w:r>
          </w:p>
        </w:tc>
        <w:tc>
          <w:tcPr>
            <w:tcW w:type="dxa" w:w="164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IOPS / Throughput</w:t>
            </w:r>
          </w:p>
        </w:tc>
        <w:tc>
          <w:tcPr>
            <w:tcW w:type="dxa" w:w="148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Costo (USD/mes)</w:t>
            </w:r>
          </w:p>
        </w:tc>
      </w:tr>
      <w:tr>
        <w:tc>
          <w:tcPr>
            <w:tcW w:type="dxa" w:w="2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LYNXCAJA-PRD</w:t>
            </w:r>
          </w:p>
        </w:tc>
        <w:tc>
          <w:tcPr>
            <w:tcW w:type="dxa" w:w="24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Premium SSD P30</w:t>
            </w:r>
          </w:p>
        </w:tc>
        <w:tc>
          <w:tcPr>
            <w:tcW w:type="dxa" w:w="16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1,024 GB</w:t>
            </w:r>
          </w:p>
        </w:tc>
        <w:tc>
          <w:tcPr>
            <w:tcW w:type="dxa" w:w="16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5,000 / 200 MB/s</w:t>
            </w:r>
          </w:p>
        </w:tc>
        <w:tc>
          <w:tcPr>
            <w:tcW w:type="dxa" w:w="148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$135.17</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ActiveDirectory-CSJB</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Premium SSD P10</w:t>
            </w:r>
          </w:p>
        </w:tc>
        <w:tc>
          <w:tcPr>
            <w:tcW w:type="dxa" w:w="16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128 GB</w:t>
            </w:r>
          </w:p>
        </w:tc>
        <w:tc>
          <w:tcPr>
            <w:tcW w:type="dxa" w:w="16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500 / 100 MB/s</w:t>
            </w:r>
          </w:p>
        </w:tc>
        <w:tc>
          <w:tcPr>
            <w:tcW w:type="dxa" w:w="148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$19.71</w:t>
            </w:r>
          </w:p>
        </w:tc>
      </w:tr>
      <w:tr>
        <w:tc>
          <w:tcPr>
            <w:tcW w:type="dxa" w:w="2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CONTPAQI-CSJB</w:t>
            </w:r>
          </w:p>
        </w:tc>
        <w:tc>
          <w:tcPr>
            <w:tcW w:type="dxa" w:w="24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Premium SSD P10</w:t>
            </w:r>
          </w:p>
        </w:tc>
        <w:tc>
          <w:tcPr>
            <w:tcW w:type="dxa" w:w="16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128 GB</w:t>
            </w:r>
          </w:p>
        </w:tc>
        <w:tc>
          <w:tcPr>
            <w:tcW w:type="dxa" w:w="16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500 / 100 MB/s</w:t>
            </w:r>
          </w:p>
        </w:tc>
        <w:tc>
          <w:tcPr>
            <w:tcW w:type="dxa" w:w="148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$19.71</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LYNX_CxC</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Premium SSD P10</w:t>
            </w:r>
          </w:p>
        </w:tc>
        <w:tc>
          <w:tcPr>
            <w:tcW w:type="dxa" w:w="16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128 GB</w:t>
            </w:r>
          </w:p>
        </w:tc>
        <w:tc>
          <w:tcPr>
            <w:tcW w:type="dxa" w:w="16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500 / 100 MB/s</w:t>
            </w:r>
          </w:p>
        </w:tc>
        <w:tc>
          <w:tcPr>
            <w:tcW w:type="dxa" w:w="148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$19.71</w:t>
            </w:r>
          </w:p>
        </w:tc>
      </w:tr>
      <w:tr>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Subtotal Almacenamiento</w:t>
            </w:r>
          </w:p>
        </w:tc>
        <w:tc>
          <w:tcPr>
            <w:tcW w:type="dxa" w:w="2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164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164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148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center"/>
            </w:pPr>
            <w:r>
              <w:rPr>
                <w:rFonts w:ascii="Calibri" w:cs="Calibri" w:eastAsia="Calibri" w:hAnsi="Calibri"/>
                <w:b/>
                <w:bCs/>
                <w:color w:val="1F4E79"/>
                <w:sz w:val="20"/>
                <w:szCs w:val="20"/>
              </w:rPr>
              <w:t xml:space="preserve">$194.30</w:t>
            </w:r>
          </w:p>
        </w:tc>
      </w:tr>
    </w:tbl>
    <w:p>
      <w:pPr>
        <w:spacing w:after="160"/>
      </w:pPr>
      <w:r>
        <w:t xml:space="preserve"/>
      </w:r>
    </w:p>
    <w:p>
      <w:pPr>
        <w:pStyle w:val="Heading2"/>
        <w:spacing w:after="140" w:before="280"/>
      </w:pPr>
      <w:r>
        <w:rPr>
          <w:rFonts w:ascii="Calibri" w:cs="Calibri" w:eastAsia="Calibri" w:hAnsi="Calibri"/>
          <w:b/>
          <w:bCs/>
          <w:color w:val="2E75B6"/>
          <w:sz w:val="26"/>
          <w:szCs w:val="26"/>
        </w:rPr>
        <w:t xml:space="preserve">8.3 Costo de Red y Servicios Complementarios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60"/>
      </w:tblGrid>
      <w:tr>
        <w:tc>
          <w:tcPr>
            <w:tcW w:type="dxa" w:w="38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Servicio</w:t>
            </w:r>
          </w:p>
        </w:tc>
        <w:tc>
          <w:tcPr>
            <w:tcW w:type="dxa" w:w="42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Detalle</w:t>
            </w:r>
          </w:p>
        </w:tc>
        <w:tc>
          <w:tcPr>
            <w:tcW w:type="dxa" w:w="136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Costo (USD/mes)</w:t>
            </w:r>
          </w:p>
        </w:tc>
      </w:tr>
      <w:tr>
        <w:tc>
          <w:tcPr>
            <w:tcW w:type="dxa" w:w="3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Virtual Network Gateway</w:t>
            </w:r>
          </w:p>
        </w:tc>
        <w:tc>
          <w:tcPr>
            <w:tcW w:type="dxa" w:w="4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VpnGw2 (1.0 Gbps, hasta 30 túneles S2S, agregación de BGP)</w:t>
            </w:r>
          </w:p>
        </w:tc>
        <w:tc>
          <w:tcPr>
            <w:tcW w:type="dxa" w:w="13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$365.00</w:t>
            </w:r>
          </w:p>
        </w:tc>
      </w:tr>
      <w:tr>
        <w:tc>
          <w:tcPr>
            <w:tcW w:type="dxa" w:w="3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Tráfico de salida (Egress)</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Estimado 100 GB/mes saliente (primeros 100 GB gratuitos cada mes)</w:t>
            </w:r>
          </w:p>
        </w:tc>
        <w:tc>
          <w:tcPr>
            <w:tcW w:type="dxa" w:w="13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$0.00</w:t>
            </w:r>
          </w:p>
        </w:tc>
      </w:tr>
      <w:tr>
        <w:tc>
          <w:tcPr>
            <w:tcW w:type="dxa" w:w="3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IP Pública Estándar (×4)</w:t>
            </w:r>
          </w:p>
        </w:tc>
        <w:tc>
          <w:tcPr>
            <w:tcW w:type="dxa" w:w="4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Direcciones IPv4 estáticas para acceso administrativo</w:t>
            </w:r>
          </w:p>
        </w:tc>
        <w:tc>
          <w:tcPr>
            <w:tcW w:type="dxa" w:w="13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$14.60</w:t>
            </w:r>
          </w:p>
        </w:tc>
      </w:tr>
      <w:tr>
        <w:tc>
          <w:tcPr>
            <w:tcW w:type="dxa" w:w="3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Azure Backup</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4 VMs, ~1.4 TB de datos, LRS, retención 7 días</w:t>
            </w:r>
          </w:p>
        </w:tc>
        <w:tc>
          <w:tcPr>
            <w:tcW w:type="dxa" w:w="13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$95.00</w:t>
            </w:r>
          </w:p>
        </w:tc>
      </w:tr>
      <w:tr>
        <w:tc>
          <w:tcPr>
            <w:tcW w:type="dxa" w:w="3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Azure Monitor + Log Analytics</w:t>
            </w:r>
          </w:p>
        </w:tc>
        <w:tc>
          <w:tcPr>
            <w:tcW w:type="dxa" w:w="4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5 GB de ingesta/mes, retención 30 días</w:t>
            </w:r>
          </w:p>
        </w:tc>
        <w:tc>
          <w:tcPr>
            <w:tcW w:type="dxa" w:w="13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$12.50</w:t>
            </w:r>
          </w:p>
        </w:tc>
      </w:tr>
      <w:tr>
        <w:tc>
          <w:tcPr>
            <w:tcW w:type="dxa" w:w="3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Key Vault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Resguardo de secretos y llaves (operaciones estándar)</w:t>
            </w:r>
          </w:p>
        </w:tc>
        <w:tc>
          <w:tcPr>
            <w:tcW w:type="dxa" w:w="13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$2.00</w:t>
            </w:r>
          </w:p>
        </w:tc>
      </w:tr>
      <w:tr>
        <w:tc>
          <w:tcPr>
            <w:tcW w:type="dxa" w:w="3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Storage Account (boot diagnostics)</w:t>
            </w:r>
          </w:p>
        </w:tc>
        <w:tc>
          <w:tcPr>
            <w:tcW w:type="dxa" w:w="4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Standard LRS, ~10 GB</w:t>
            </w:r>
          </w:p>
        </w:tc>
        <w:tc>
          <w:tcPr>
            <w:tcW w:type="dxa" w:w="13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$1.50</w:t>
            </w:r>
          </w:p>
        </w:tc>
      </w:tr>
      <w:tr>
        <w:tc>
          <w:tcPr>
            <w:tcW w:type="dxa" w:w="38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Subtotal Red y Servicios</w:t>
            </w:r>
          </w:p>
        </w:tc>
        <w:tc>
          <w:tcPr>
            <w:tcW w:type="dxa" w:w="4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
            </w:r>
          </w:p>
        </w:tc>
        <w:tc>
          <w:tcPr>
            <w:tcW w:type="dxa" w:w="13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center"/>
            </w:pPr>
            <w:r>
              <w:rPr>
                <w:rFonts w:ascii="Calibri" w:cs="Calibri" w:eastAsia="Calibri" w:hAnsi="Calibri"/>
                <w:b/>
                <w:bCs/>
                <w:color w:val="1F4E79"/>
                <w:sz w:val="20"/>
                <w:szCs w:val="20"/>
              </w:rPr>
              <w:t xml:space="preserve">$490.60</w:t>
            </w:r>
          </w:p>
        </w:tc>
      </w:tr>
    </w:tbl>
    <w:p>
      <w:pPr>
        <w:spacing w:after="160"/>
      </w:pPr>
      <w:r>
        <w:t xml:space="preserve"/>
      </w:r>
    </w:p>
    <w:p>
      <w:pPr>
        <w:pStyle w:val="Heading2"/>
        <w:spacing w:after="140" w:before="280"/>
      </w:pPr>
      <w:r>
        <w:rPr>
          <w:rFonts w:ascii="Calibri" w:cs="Calibri" w:eastAsia="Calibri" w:hAnsi="Calibri"/>
          <w:b/>
          <w:bCs/>
          <w:color w:val="2E75B6"/>
          <w:sz w:val="26"/>
          <w:szCs w:val="26"/>
        </w:rPr>
        <w:t xml:space="preserve">8.4 Resumen Consolidado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Concepto</w:t>
            </w:r>
          </w:p>
        </w:tc>
        <w:tc>
          <w:tcPr>
            <w:tcW w:type="dxa" w:w="19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PAYG (USD)</w:t>
            </w:r>
          </w:p>
        </w:tc>
        <w:tc>
          <w:tcPr>
            <w:tcW w:type="dxa" w:w="19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 1 año (USD)</w:t>
            </w:r>
          </w:p>
        </w:tc>
      </w:tr>
      <w:tr>
        <w:tc>
          <w:tcPr>
            <w:tcW w:type="dxa" w:w="55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Cómputo (4 VMs con Azure Hybrid Benefit)</w:t>
            </w:r>
          </w:p>
        </w:tc>
        <w:tc>
          <w:tcPr>
            <w:tcW w:type="dxa" w:w="19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$1,087.00</w:t>
            </w:r>
          </w:p>
        </w:tc>
        <w:tc>
          <w:tcPr>
            <w:tcW w:type="dxa" w:w="19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$707.00</w:t>
            </w:r>
          </w:p>
        </w:tc>
      </w:tr>
      <w:tr>
        <w:tc>
          <w:tcPr>
            <w:tcW w:type="dxa" w:w="55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Almacenamiento Premium SSD</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$194.30</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$194.30</w:t>
            </w:r>
          </w:p>
        </w:tc>
      </w:tr>
      <w:tr>
        <w:tc>
          <w:tcPr>
            <w:tcW w:type="dxa" w:w="55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Red y servicios complementarios</w:t>
            </w:r>
          </w:p>
        </w:tc>
        <w:tc>
          <w:tcPr>
            <w:tcW w:type="dxa" w:w="19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$490.60</w:t>
            </w:r>
          </w:p>
        </w:tc>
        <w:tc>
          <w:tcPr>
            <w:tcW w:type="dxa" w:w="19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$490.60</w:t>
            </w:r>
          </w:p>
        </w:tc>
      </w:tr>
      <w:tr>
        <w:tc>
          <w:tcPr>
            <w:tcW w:type="dxa" w:w="556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TOTAL ESTIMADO MENSUAL</w:t>
            </w:r>
          </w:p>
        </w:tc>
        <w:tc>
          <w:tcPr>
            <w:tcW w:type="dxa" w:w="19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~$1,771.90</w:t>
            </w:r>
          </w:p>
        </w:tc>
        <w:tc>
          <w:tcPr>
            <w:tcW w:type="dxa" w:w="19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~$1,391.90</w:t>
            </w:r>
          </w:p>
        </w:tc>
      </w:tr>
      <w:tr>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TOTAL ESTIMADO ANUAL</w:t>
            </w:r>
          </w:p>
        </w:tc>
        <w:tc>
          <w:tcPr>
            <w:tcW w:type="dxa" w:w="19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~$21,262.80</w:t>
            </w:r>
          </w:p>
        </w:tc>
        <w:tc>
          <w:tcPr>
            <w:tcW w:type="dxa" w:w="19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pPr>
              <w:jc w:val="center"/>
            </w:pPr>
            <w:r>
              <w:rPr>
                <w:rFonts w:ascii="Calibri" w:cs="Calibri" w:eastAsia="Calibri" w:hAnsi="Calibri"/>
                <w:b/>
                <w:bCs/>
                <w:color w:val="1F4E79"/>
                <w:sz w:val="20"/>
                <w:szCs w:val="20"/>
              </w:rPr>
              <w:t xml:space="preserve">~$16,702.80</w:t>
            </w:r>
          </w:p>
        </w:tc>
      </w:tr>
    </w:tbl>
    <w:p>
      <w:pPr>
        <w:spacing w:after="160"/>
      </w:pPr>
      <w:r>
        <w:t xml:space="preserve"/>
      </w:r>
    </w:p>
    <w:p>
      <w:pPr>
        <w:pStyle w:val="Heading2"/>
        <w:spacing w:after="140" w:before="280"/>
      </w:pPr>
      <w:r>
        <w:rPr>
          <w:rFonts w:ascii="Calibri" w:cs="Calibri" w:eastAsia="Calibri" w:hAnsi="Calibri"/>
          <w:b/>
          <w:bCs/>
          <w:color w:val="2E75B6"/>
          <w:sz w:val="26"/>
          <w:szCs w:val="26"/>
        </w:rPr>
        <w:t xml:space="preserve">8.5 Consideraciones sobre la Estimación</w:t>
      </w:r>
    </w:p>
    <w:p>
      <w:pPr>
        <w:pStyle w:val="ListParagraph"/>
        <w:numPr>
          <w:ilvl w:val="0"/>
          <w:numId w:val="2"/>
        </w:numPr>
        <w:spacing w:after="80" w:line="280"/>
        <w:jc w:val="both"/>
      </w:pPr>
      <w:r>
        <w:rPr>
          <w:rFonts w:ascii="Calibri" w:cs="Calibri" w:eastAsia="Calibri" w:hAnsi="Calibri"/>
          <w:sz w:val="22"/>
          <w:szCs w:val="22"/>
        </w:rPr>
        <w:t xml:space="preserve">Los precios son estimados con base en la calculadora oficial de Azure para la región Mexico Central (junio 2026). Pueden variar según los ajustes de Microsoft.</w:t>
      </w:r>
    </w:p>
    <w:p>
      <w:pPr>
        <w:pStyle w:val="ListParagraph"/>
        <w:numPr>
          <w:ilvl w:val="0"/>
          <w:numId w:val="2"/>
        </w:numPr>
        <w:spacing w:after="80" w:line="280"/>
        <w:jc w:val="both"/>
      </w:pPr>
      <w:r>
        <w:rPr>
          <w:rFonts w:ascii="Calibri" w:cs="Calibri" w:eastAsia="Calibri" w:hAnsi="Calibri"/>
          <w:sz w:val="22"/>
          <w:szCs w:val="22"/>
        </w:rPr>
        <w:t xml:space="preserve">Se considera Azure Hybrid Benefit para las 3 VMs Windows, lo que implica que el cliente proveerá las licencias de Windows Server con Software Assurance vigente. Si no aplica, el costo del cómputo se incrementa aproximadamente 40%.</w:t>
      </w:r>
    </w:p>
    <w:p>
      <w:pPr>
        <w:pStyle w:val="ListParagraph"/>
        <w:numPr>
          <w:ilvl w:val="0"/>
          <w:numId w:val="2"/>
        </w:numPr>
        <w:spacing w:after="80" w:line="280"/>
        <w:jc w:val="both"/>
      </w:pPr>
      <w:r>
        <w:rPr>
          <w:rFonts w:ascii="Calibri" w:cs="Calibri" w:eastAsia="Calibri" w:hAnsi="Calibri"/>
          <w:sz w:val="22"/>
          <w:szCs w:val="22"/>
        </w:rPr>
        <w:t xml:space="preserve">El costo de Reserved Instance asume un compromiso de uso por 1 año pagado mensualmente. Las opciones de 3 años pueden ofrecer descuentos adicionales (hasta 60% sobre PAYG).</w:t>
      </w:r>
    </w:p>
    <w:p>
      <w:pPr>
        <w:pStyle w:val="ListParagraph"/>
        <w:numPr>
          <w:ilvl w:val="0"/>
          <w:numId w:val="2"/>
        </w:numPr>
        <w:spacing w:after="80" w:line="280"/>
        <w:jc w:val="both"/>
      </w:pPr>
      <w:r>
        <w:rPr>
          <w:rFonts w:ascii="Calibri" w:cs="Calibri" w:eastAsia="Calibri" w:hAnsi="Calibri"/>
          <w:sz w:val="22"/>
          <w:szCs w:val="22"/>
        </w:rPr>
        <w:t xml:space="preserve">El egress de red (tráfico saliente) se estima en 100 GB/mes; los primeros 100 GB son gratuitos. Si el tráfico real excede este monto, se cobra aproximadamente $0.087 USD/GB en la región.</w:t>
      </w:r>
    </w:p>
    <w:p>
      <w:pPr>
        <w:pStyle w:val="ListParagraph"/>
        <w:numPr>
          <w:ilvl w:val="0"/>
          <w:numId w:val="2"/>
        </w:numPr>
        <w:spacing w:after="80" w:line="280"/>
        <w:jc w:val="both"/>
      </w:pPr>
      <w:r>
        <w:rPr>
          <w:rFonts w:ascii="Calibri" w:cs="Calibri" w:eastAsia="Calibri" w:hAnsi="Calibri"/>
          <w:sz w:val="22"/>
          <w:szCs w:val="22"/>
        </w:rPr>
        <w:t xml:space="preserve">Los costos del servicio profesional (proyecto de migración) se cotizan por separado en la sección 9. El costo recurrente de Azure inicia desde el aprovisionamiento en Fase 3.</w:t>
      </w:r>
    </w:p>
    <w:p>
      <w:pPr>
        <w:pStyle w:val="ListParagraph"/>
        <w:numPr>
          <w:ilvl w:val="0"/>
          <w:numId w:val="2"/>
        </w:numPr>
        <w:spacing w:after="80" w:line="280"/>
        <w:jc w:val="both"/>
      </w:pPr>
      <w:r>
        <w:rPr>
          <w:rFonts w:ascii="Calibri" w:cs="Calibri" w:eastAsia="Calibri" w:hAnsi="Calibri"/>
          <w:sz w:val="22"/>
          <w:szCs w:val="22"/>
        </w:rPr>
        <w:t xml:space="preserve">Para una cotización vinculante se recomienda generar un export desde la calculadora oficial de Azure con la suscripción del cliente.</w:t>
      </w:r>
    </w:p>
    <w:p>
      <w:r>
        <w:br w:type="page"/>
      </w:r>
    </w:p>
    <w:p>
      <w:pPr>
        <w:pStyle w:val="Heading1"/>
        <w:spacing w:after="200" w:before="360"/>
      </w:pPr>
      <w:r>
        <w:rPr>
          <w:rFonts w:ascii="Calibri" w:cs="Calibri" w:eastAsia="Calibri" w:hAnsi="Calibri"/>
          <w:b/>
          <w:bCs/>
          <w:color w:val="1F4E79"/>
          <w:sz w:val="32"/>
          <w:szCs w:val="32"/>
        </w:rPr>
        <w:t xml:space="preserve">9. Inversión — Servicios Profesionales</w:t>
      </w:r>
    </w:p>
    <w:p>
      <w:pPr>
        <w:spacing w:after="120" w:before="0" w:line="300"/>
        <w:jc w:val="both"/>
      </w:pPr>
      <w:r>
        <w:rPr>
          <w:rFonts w:ascii="Calibri" w:cs="Calibri" w:eastAsia="Calibri" w:hAnsi="Calibri"/>
          <w:sz w:val="22"/>
          <w:szCs w:val="22"/>
        </w:rPr>
        <w:t xml:space="preserve">La presente sección detalla la inversión correspondiente a los servicios profesionales del proyecto de migración. Este costo es único, distinto y separado del consumo recurrente de Azure descrito en la sección 8.</w:t>
      </w:r>
    </w:p>
    <w:p>
      <w:pPr>
        <w:pStyle w:val="Heading2"/>
        <w:spacing w:after="140" w:before="280"/>
      </w:pPr>
      <w:r>
        <w:rPr>
          <w:rFonts w:ascii="Calibri" w:cs="Calibri" w:eastAsia="Calibri" w:hAnsi="Calibri"/>
          <w:b/>
          <w:bCs/>
          <w:color w:val="2E75B6"/>
          <w:sz w:val="26"/>
          <w:szCs w:val="26"/>
        </w:rPr>
        <w:t xml:space="preserve">9.1 Esquema de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20"/>
        <w:gridCol w:w="1800"/>
        <w:gridCol w:w="1700"/>
        <w:gridCol w:w="1940"/>
      </w:tblGrid>
      <w:tr>
        <w:tc>
          <w:tcPr>
            <w:tcW w:type="dxa" w:w="392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Fase / Entregable</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Duración (sem.)</w:t>
            </w:r>
          </w:p>
        </w:tc>
        <w:tc>
          <w:tcPr>
            <w:tcW w:type="dxa" w:w="17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Esfuerzo (HH)</w:t>
            </w:r>
          </w:p>
        </w:tc>
        <w:tc>
          <w:tcPr>
            <w:tcW w:type="dxa" w:w="194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Inversión (USD)</w:t>
            </w:r>
          </w:p>
        </w:tc>
      </w:tr>
      <w:tr>
        <w:tc>
          <w:tcPr>
            <w:tcW w:type="dxa" w:w="39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Fase 1 — Assessment y Descubrimiento</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2</w:t>
            </w:r>
          </w:p>
        </w:tc>
        <w:tc>
          <w:tcPr>
            <w:tcW w:type="dxa" w:w="1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80</w:t>
            </w:r>
          </w:p>
        </w:tc>
        <w:tc>
          <w:tcPr>
            <w:tcW w:type="dxa" w:w="19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[A cotizar]</w:t>
            </w:r>
          </w:p>
        </w:tc>
      </w:tr>
      <w:tr>
        <w:tc>
          <w:tcPr>
            <w:tcW w:type="dxa" w:w="39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Fase 2 — Diseño de Arquitectura</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2</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60</w:t>
            </w:r>
          </w:p>
        </w:tc>
        <w:tc>
          <w:tcPr>
            <w:tcW w:type="dxa" w:w="19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[A cotizar]</w:t>
            </w:r>
          </w:p>
        </w:tc>
      </w:tr>
      <w:tr>
        <w:tc>
          <w:tcPr>
            <w:tcW w:type="dxa" w:w="39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Fase 3 — Landing Zone</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2</w:t>
            </w:r>
          </w:p>
        </w:tc>
        <w:tc>
          <w:tcPr>
            <w:tcW w:type="dxa" w:w="1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100</w:t>
            </w:r>
          </w:p>
        </w:tc>
        <w:tc>
          <w:tcPr>
            <w:tcW w:type="dxa" w:w="19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[A cotizar]</w:t>
            </w:r>
          </w:p>
        </w:tc>
      </w:tr>
      <w:tr>
        <w:tc>
          <w:tcPr>
            <w:tcW w:type="dxa" w:w="39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Fase 4 — Migración Piloto</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1</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40</w:t>
            </w:r>
          </w:p>
        </w:tc>
        <w:tc>
          <w:tcPr>
            <w:tcW w:type="dxa" w:w="19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[A cotizar]</w:t>
            </w:r>
          </w:p>
        </w:tc>
      </w:tr>
      <w:tr>
        <w:tc>
          <w:tcPr>
            <w:tcW w:type="dxa" w:w="392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Fase 5 — Migración Producción (4 VMs)</w:t>
            </w:r>
          </w:p>
        </w:tc>
        <w:tc>
          <w:tcPr>
            <w:tcW w:type="dxa" w:w="18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3</w:t>
            </w:r>
          </w:p>
        </w:tc>
        <w:tc>
          <w:tcPr>
            <w:tcW w:type="dxa" w:w="17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180</w:t>
            </w:r>
          </w:p>
        </w:tc>
        <w:tc>
          <w:tcPr>
            <w:tcW w:type="dxa" w:w="194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[A cotizar]</w:t>
            </w:r>
          </w:p>
        </w:tc>
      </w:tr>
      <w:tr>
        <w:tc>
          <w:tcPr>
            <w:tcW w:type="dxa" w:w="392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Fase 6 — Hypercare y Hand-off</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2</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80</w:t>
            </w:r>
          </w:p>
        </w:tc>
        <w:tc>
          <w:tcPr>
            <w:tcW w:type="dxa" w:w="194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[A cotizar]</w:t>
            </w:r>
          </w:p>
        </w:tc>
      </w:tr>
      <w:tr>
        <w:tc>
          <w:tcPr>
            <w:tcW w:type="dxa" w:w="392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TOTAL SERVICIOS PROFESIONALES</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9 - 11</w:t>
            </w:r>
          </w:p>
        </w:tc>
        <w:tc>
          <w:tcPr>
            <w:tcW w:type="dxa" w:w="17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~540</w:t>
            </w:r>
          </w:p>
        </w:tc>
        <w:tc>
          <w:tcPr>
            <w:tcW w:type="dxa" w:w="194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[Total]</w:t>
            </w:r>
          </w:p>
        </w:tc>
      </w:tr>
    </w:tbl>
    <w:p>
      <w:pPr>
        <w:spacing w:after="160"/>
      </w:pPr>
      <w:r>
        <w:t xml:space="preserve"/>
      </w:r>
    </w:p>
    <w:p>
      <w:pPr>
        <w:spacing w:after="120" w:before="0" w:line="300"/>
        <w:jc w:val="both"/>
      </w:pPr>
      <w:r>
        <w:rPr>
          <w:rFonts w:ascii="Calibri" w:cs="Calibri" w:eastAsia="Calibri" w:hAnsi="Calibri"/>
          <w:i/>
          <w:iCs/>
          <w:color w:val="808080"/>
          <w:sz w:val="22"/>
          <w:szCs w:val="22"/>
        </w:rPr>
        <w:t xml:space="preserve">Nota: El monto final de los servicios profesionales se confirmará una vez ratificadas las condiciones comerciales y el calendario de ejecución con el cliente.</w:t>
      </w:r>
    </w:p>
    <w:p>
      <w:pPr>
        <w:pStyle w:val="Heading2"/>
        <w:spacing w:after="140" w:before="280"/>
      </w:pPr>
      <w:r>
        <w:rPr>
          <w:rFonts w:ascii="Calibri" w:cs="Calibri" w:eastAsia="Calibri" w:hAnsi="Calibri"/>
          <w:b/>
          <w:bCs/>
          <w:color w:val="2E75B6"/>
          <w:sz w:val="26"/>
          <w:szCs w:val="26"/>
        </w:rPr>
        <w:t xml:space="preserve">9.2 Condiciones Comerciales</w:t>
      </w:r>
    </w:p>
    <w:p>
      <w:pPr>
        <w:pStyle w:val="ListParagraph"/>
        <w:numPr>
          <w:ilvl w:val="0"/>
          <w:numId w:val="2"/>
        </w:numPr>
        <w:spacing w:after="80" w:line="280"/>
        <w:jc w:val="both"/>
      </w:pPr>
      <w:r>
        <w:rPr>
          <w:rFonts w:ascii="Calibri" w:cs="Calibri" w:eastAsia="Calibri" w:hAnsi="Calibri"/>
          <w:sz w:val="22"/>
          <w:szCs w:val="22"/>
        </w:rPr>
        <w:t xml:space="preserve">Forma de pago sugerida: 30% al inicio del proyecto (kick-off), 40% al finalizar la Fase 3 (Landing Zone), 30% al cierre del proyecto.</w:t>
      </w:r>
    </w:p>
    <w:p>
      <w:pPr>
        <w:pStyle w:val="ListParagraph"/>
        <w:numPr>
          <w:ilvl w:val="0"/>
          <w:numId w:val="2"/>
        </w:numPr>
        <w:spacing w:after="80" w:line="280"/>
        <w:jc w:val="both"/>
      </w:pPr>
      <w:r>
        <w:rPr>
          <w:rFonts w:ascii="Calibri" w:cs="Calibri" w:eastAsia="Calibri" w:hAnsi="Calibri"/>
          <w:sz w:val="22"/>
          <w:szCs w:val="22"/>
        </w:rPr>
        <w:t xml:space="preserve">Vigencia de la propuesta: 30 días naturales a partir de la fecha de emisión.</w:t>
      </w:r>
    </w:p>
    <w:p>
      <w:pPr>
        <w:pStyle w:val="ListParagraph"/>
        <w:numPr>
          <w:ilvl w:val="0"/>
          <w:numId w:val="2"/>
        </w:numPr>
        <w:spacing w:after="80" w:line="280"/>
        <w:jc w:val="both"/>
      </w:pPr>
      <w:r>
        <w:rPr>
          <w:rFonts w:ascii="Calibri" w:cs="Calibri" w:eastAsia="Calibri" w:hAnsi="Calibri"/>
          <w:sz w:val="22"/>
          <w:szCs w:val="22"/>
        </w:rPr>
        <w:t xml:space="preserve">Los precios no incluyen IVA.</w:t>
      </w:r>
    </w:p>
    <w:p>
      <w:pPr>
        <w:pStyle w:val="ListParagraph"/>
        <w:numPr>
          <w:ilvl w:val="0"/>
          <w:numId w:val="2"/>
        </w:numPr>
        <w:spacing w:after="80" w:line="280"/>
        <w:jc w:val="both"/>
      </w:pPr>
      <w:r>
        <w:rPr>
          <w:rFonts w:ascii="Calibri" w:cs="Calibri" w:eastAsia="Calibri" w:hAnsi="Calibri"/>
          <w:sz w:val="22"/>
          <w:szCs w:val="22"/>
        </w:rPr>
        <w:t xml:space="preserve">Cualquier ajuste al alcance se gestiona vía orden de cambio formal.</w:t>
      </w:r>
    </w:p>
    <w:p>
      <w:pPr>
        <w:pStyle w:val="ListParagraph"/>
        <w:numPr>
          <w:ilvl w:val="0"/>
          <w:numId w:val="2"/>
        </w:numPr>
        <w:spacing w:after="80" w:line="280"/>
        <w:jc w:val="both"/>
      </w:pPr>
      <w:r>
        <w:rPr>
          <w:rFonts w:ascii="Calibri" w:cs="Calibri" w:eastAsia="Calibri" w:hAnsi="Calibri"/>
          <w:sz w:val="22"/>
          <w:szCs w:val="22"/>
        </w:rPr>
        <w:t xml:space="preserve">La facturación de los servicios profesionales es independiente del consumo de Azure.</w:t>
      </w:r>
    </w:p>
    <w:p>
      <w:r>
        <w:br w:type="page"/>
      </w:r>
    </w:p>
    <w:p>
      <w:pPr>
        <w:pStyle w:val="Heading1"/>
        <w:spacing w:after="200" w:before="360"/>
      </w:pPr>
      <w:r>
        <w:rPr>
          <w:rFonts w:ascii="Calibri" w:cs="Calibri" w:eastAsia="Calibri" w:hAnsi="Calibri"/>
          <w:b/>
          <w:bCs/>
          <w:color w:val="1F4E79"/>
          <w:sz w:val="32"/>
          <w:szCs w:val="32"/>
        </w:rPr>
        <w:t xml:space="preserve">10. Entregables y Criterios de Aceptación</w:t>
      </w:r>
    </w:p>
    <w:p>
      <w:pPr>
        <w:pStyle w:val="Heading2"/>
        <w:spacing w:after="140" w:before="280"/>
      </w:pPr>
      <w:r>
        <w:rPr>
          <w:rFonts w:ascii="Calibri" w:cs="Calibri" w:eastAsia="Calibri" w:hAnsi="Calibri"/>
          <w:b/>
          <w:bCs/>
          <w:color w:val="2E75B6"/>
          <w:sz w:val="26"/>
          <w:szCs w:val="26"/>
        </w:rPr>
        <w:t xml:space="preserve">10.1 Entregables del Proyecto</w:t>
      </w:r>
    </w:p>
    <w:p>
      <w:pPr>
        <w:pStyle w:val="ListParagraph"/>
        <w:numPr>
          <w:ilvl w:val="0"/>
          <w:numId w:val="2"/>
        </w:numPr>
        <w:spacing w:after="80" w:line="280"/>
        <w:jc w:val="both"/>
      </w:pPr>
      <w:r>
        <w:rPr>
          <w:rFonts w:ascii="Calibri" w:cs="Calibri" w:eastAsia="Calibri" w:hAnsi="Calibri"/>
          <w:sz w:val="22"/>
          <w:szCs w:val="22"/>
        </w:rPr>
        <w:t xml:space="preserve">Reporte de Assessment (Fase 1).</w:t>
      </w:r>
    </w:p>
    <w:p>
      <w:pPr>
        <w:pStyle w:val="ListParagraph"/>
        <w:numPr>
          <w:ilvl w:val="0"/>
          <w:numId w:val="2"/>
        </w:numPr>
        <w:spacing w:after="80" w:line="280"/>
        <w:jc w:val="both"/>
      </w:pPr>
      <w:r>
        <w:rPr>
          <w:rFonts w:ascii="Calibri" w:cs="Calibri" w:eastAsia="Calibri" w:hAnsi="Calibri"/>
          <w:sz w:val="22"/>
          <w:szCs w:val="22"/>
        </w:rPr>
        <w:t xml:space="preserve">Documento HLD y LLD de la arquitectura Azure (Fase 2).</w:t>
      </w:r>
    </w:p>
    <w:p>
      <w:pPr>
        <w:pStyle w:val="ListParagraph"/>
        <w:numPr>
          <w:ilvl w:val="0"/>
          <w:numId w:val="2"/>
        </w:numPr>
        <w:spacing w:after="80" w:line="280"/>
        <w:jc w:val="both"/>
      </w:pPr>
      <w:r>
        <w:rPr>
          <w:rFonts w:ascii="Calibri" w:cs="Calibri" w:eastAsia="Calibri" w:hAnsi="Calibri"/>
          <w:sz w:val="22"/>
          <w:szCs w:val="22"/>
        </w:rPr>
        <w:t xml:space="preserve">Diagrama de arquitectura de red final, incluyendo VPN con Fortinet.</w:t>
      </w:r>
    </w:p>
    <w:p>
      <w:pPr>
        <w:pStyle w:val="ListParagraph"/>
        <w:numPr>
          <w:ilvl w:val="0"/>
          <w:numId w:val="2"/>
        </w:numPr>
        <w:spacing w:after="80" w:line="280"/>
        <w:jc w:val="both"/>
      </w:pPr>
      <w:r>
        <w:rPr>
          <w:rFonts w:ascii="Calibri" w:cs="Calibri" w:eastAsia="Calibri" w:hAnsi="Calibri"/>
          <w:sz w:val="22"/>
          <w:szCs w:val="22"/>
        </w:rPr>
        <w:t xml:space="preserve">Landing Zone operativa y documentada (Fase 3).</w:t>
      </w:r>
    </w:p>
    <w:p>
      <w:pPr>
        <w:pStyle w:val="ListParagraph"/>
        <w:numPr>
          <w:ilvl w:val="0"/>
          <w:numId w:val="2"/>
        </w:numPr>
        <w:spacing w:after="80" w:line="280"/>
        <w:jc w:val="both"/>
      </w:pPr>
      <w:r>
        <w:rPr>
          <w:rFonts w:ascii="Calibri" w:cs="Calibri" w:eastAsia="Calibri" w:hAnsi="Calibri"/>
          <w:sz w:val="22"/>
          <w:szCs w:val="22"/>
        </w:rPr>
        <w:t xml:space="preserve">Reporte de pruebas piloto (Fase 4).</w:t>
      </w:r>
    </w:p>
    <w:p>
      <w:pPr>
        <w:pStyle w:val="ListParagraph"/>
        <w:numPr>
          <w:ilvl w:val="0"/>
          <w:numId w:val="2"/>
        </w:numPr>
        <w:spacing w:after="80" w:line="280"/>
        <w:jc w:val="both"/>
      </w:pPr>
      <w:r>
        <w:rPr>
          <w:rFonts w:ascii="Calibri" w:cs="Calibri" w:eastAsia="Calibri" w:hAnsi="Calibri"/>
          <w:sz w:val="22"/>
          <w:szCs w:val="22"/>
        </w:rPr>
        <w:t xml:space="preserve">Las 4 VMs migradas, validadas y operativas en producción (Fase 5).</w:t>
      </w:r>
    </w:p>
    <w:p>
      <w:pPr>
        <w:pStyle w:val="ListParagraph"/>
        <w:numPr>
          <w:ilvl w:val="0"/>
          <w:numId w:val="2"/>
        </w:numPr>
        <w:spacing w:after="80" w:line="280"/>
        <w:jc w:val="both"/>
      </w:pPr>
      <w:r>
        <w:rPr>
          <w:rFonts w:ascii="Calibri" w:cs="Calibri" w:eastAsia="Calibri" w:hAnsi="Calibri"/>
          <w:sz w:val="22"/>
          <w:szCs w:val="22"/>
        </w:rPr>
        <w:t xml:space="preserve">Runbook operativo final.</w:t>
      </w:r>
    </w:p>
    <w:p>
      <w:pPr>
        <w:pStyle w:val="ListParagraph"/>
        <w:numPr>
          <w:ilvl w:val="0"/>
          <w:numId w:val="2"/>
        </w:numPr>
        <w:spacing w:after="80" w:line="280"/>
        <w:jc w:val="both"/>
      </w:pPr>
      <w:r>
        <w:rPr>
          <w:rFonts w:ascii="Calibri" w:cs="Calibri" w:eastAsia="Calibri" w:hAnsi="Calibri"/>
          <w:sz w:val="22"/>
          <w:szCs w:val="22"/>
        </w:rPr>
        <w:t xml:space="preserve">Procedimiento de rollback documentado.</w:t>
      </w:r>
    </w:p>
    <w:p>
      <w:pPr>
        <w:pStyle w:val="ListParagraph"/>
        <w:numPr>
          <w:ilvl w:val="0"/>
          <w:numId w:val="2"/>
        </w:numPr>
        <w:spacing w:after="80" w:line="280"/>
        <w:jc w:val="both"/>
      </w:pPr>
      <w:r>
        <w:rPr>
          <w:rFonts w:ascii="Calibri" w:cs="Calibri" w:eastAsia="Calibri" w:hAnsi="Calibri"/>
          <w:sz w:val="22"/>
          <w:szCs w:val="22"/>
        </w:rPr>
        <w:t xml:space="preserve">Bitácora de incidentes y resoluciones durante hypercare.</w:t>
      </w:r>
    </w:p>
    <w:p>
      <w:pPr>
        <w:pStyle w:val="ListParagraph"/>
        <w:numPr>
          <w:ilvl w:val="0"/>
          <w:numId w:val="2"/>
        </w:numPr>
        <w:spacing w:after="80" w:line="280"/>
        <w:jc w:val="both"/>
      </w:pPr>
      <w:r>
        <w:rPr>
          <w:rFonts w:ascii="Calibri" w:cs="Calibri" w:eastAsia="Calibri" w:hAnsi="Calibri"/>
          <w:sz w:val="22"/>
          <w:szCs w:val="22"/>
        </w:rPr>
        <w:t xml:space="preserve">Acta de transferencia de conocimiento.</w:t>
      </w:r>
    </w:p>
    <w:p>
      <w:pPr>
        <w:pStyle w:val="ListParagraph"/>
        <w:numPr>
          <w:ilvl w:val="0"/>
          <w:numId w:val="2"/>
        </w:numPr>
        <w:spacing w:after="80" w:line="280"/>
        <w:jc w:val="both"/>
      </w:pPr>
      <w:r>
        <w:rPr>
          <w:rFonts w:ascii="Calibri" w:cs="Calibri" w:eastAsia="Calibri" w:hAnsi="Calibri"/>
          <w:sz w:val="22"/>
          <w:szCs w:val="22"/>
        </w:rPr>
        <w:t xml:space="preserve">Acta de cierre y aceptación final.</w:t>
      </w:r>
    </w:p>
    <w:p>
      <w:pPr>
        <w:pStyle w:val="Heading2"/>
        <w:spacing w:after="140" w:before="280"/>
      </w:pPr>
      <w:r>
        <w:rPr>
          <w:rFonts w:ascii="Calibri" w:cs="Calibri" w:eastAsia="Calibri" w:hAnsi="Calibri"/>
          <w:b/>
          <w:bCs/>
          <w:color w:val="2E75B6"/>
          <w:sz w:val="26"/>
          <w:szCs w:val="26"/>
        </w:rPr>
        <w:t xml:space="preserve">10.2 Criterios de Aceptación</w:t>
      </w:r>
    </w:p>
    <w:p>
      <w:pPr>
        <w:pStyle w:val="ListParagraph"/>
        <w:numPr>
          <w:ilvl w:val="0"/>
          <w:numId w:val="2"/>
        </w:numPr>
        <w:spacing w:after="80" w:line="280"/>
        <w:jc w:val="both"/>
      </w:pPr>
      <w:r>
        <w:rPr>
          <w:rFonts w:ascii="Calibri" w:cs="Calibri" w:eastAsia="Calibri" w:hAnsi="Calibri"/>
          <w:sz w:val="22"/>
          <w:szCs w:val="22"/>
        </w:rPr>
        <w:t xml:space="preserve">Las 4 VMs arrancan correctamente en Azure tras el cutover.</w:t>
      </w:r>
    </w:p>
    <w:p>
      <w:pPr>
        <w:pStyle w:val="ListParagraph"/>
        <w:numPr>
          <w:ilvl w:val="0"/>
          <w:numId w:val="2"/>
        </w:numPr>
        <w:spacing w:after="80" w:line="280"/>
        <w:jc w:val="both"/>
      </w:pPr>
      <w:r>
        <w:rPr>
          <w:rFonts w:ascii="Calibri" w:cs="Calibri" w:eastAsia="Calibri" w:hAnsi="Calibri"/>
          <w:sz w:val="22"/>
          <w:szCs w:val="22"/>
        </w:rPr>
        <w:t xml:space="preserve">Los servicios críticos responden y son accesibles desde la red on-premise vía VPN.</w:t>
      </w:r>
    </w:p>
    <w:p>
      <w:pPr>
        <w:pStyle w:val="ListParagraph"/>
        <w:numPr>
          <w:ilvl w:val="0"/>
          <w:numId w:val="2"/>
        </w:numPr>
        <w:spacing w:after="80" w:line="280"/>
        <w:jc w:val="both"/>
      </w:pPr>
      <w:r>
        <w:rPr>
          <w:rFonts w:ascii="Calibri" w:cs="Calibri" w:eastAsia="Calibri" w:hAnsi="Calibri"/>
          <w:sz w:val="22"/>
          <w:szCs w:val="22"/>
        </w:rPr>
        <w:t xml:space="preserve">Active Directory replica correctamente y autentica usuarios.</w:t>
      </w:r>
    </w:p>
    <w:p>
      <w:pPr>
        <w:pStyle w:val="ListParagraph"/>
        <w:numPr>
          <w:ilvl w:val="0"/>
          <w:numId w:val="2"/>
        </w:numPr>
        <w:spacing w:after="80" w:line="280"/>
        <w:jc w:val="both"/>
      </w:pPr>
      <w:r>
        <w:rPr>
          <w:rFonts w:ascii="Calibri" w:cs="Calibri" w:eastAsia="Calibri" w:hAnsi="Calibri"/>
          <w:sz w:val="22"/>
          <w:szCs w:val="22"/>
        </w:rPr>
        <w:t xml:space="preserve">LYNXCAJA-PRD ejecuta operaciones de caja sin degradación de tiempo de respuesta.</w:t>
      </w:r>
    </w:p>
    <w:p>
      <w:pPr>
        <w:pStyle w:val="ListParagraph"/>
        <w:numPr>
          <w:ilvl w:val="0"/>
          <w:numId w:val="2"/>
        </w:numPr>
        <w:spacing w:after="80" w:line="280"/>
        <w:jc w:val="both"/>
      </w:pPr>
      <w:r>
        <w:rPr>
          <w:rFonts w:ascii="Calibri" w:cs="Calibri" w:eastAsia="Calibri" w:hAnsi="Calibri"/>
          <w:sz w:val="22"/>
          <w:szCs w:val="22"/>
        </w:rPr>
        <w:t xml:space="preserve">CONTPAQi ejecuta sus operaciones normales (validación funcional por el cliente).</w:t>
      </w:r>
    </w:p>
    <w:p>
      <w:pPr>
        <w:pStyle w:val="ListParagraph"/>
        <w:numPr>
          <w:ilvl w:val="0"/>
          <w:numId w:val="2"/>
        </w:numPr>
        <w:spacing w:after="80" w:line="280"/>
        <w:jc w:val="both"/>
      </w:pPr>
      <w:r>
        <w:rPr>
          <w:rFonts w:ascii="Calibri" w:cs="Calibri" w:eastAsia="Calibri" w:hAnsi="Calibri"/>
          <w:sz w:val="22"/>
          <w:szCs w:val="22"/>
        </w:rPr>
        <w:t xml:space="preserve">Los backups automáticos se ejecutan exitosamente al menos 3 días consecutivos.</w:t>
      </w:r>
    </w:p>
    <w:p>
      <w:pPr>
        <w:pStyle w:val="ListParagraph"/>
        <w:numPr>
          <w:ilvl w:val="0"/>
          <w:numId w:val="2"/>
        </w:numPr>
        <w:spacing w:after="80" w:line="280"/>
        <w:jc w:val="both"/>
      </w:pPr>
      <w:r>
        <w:rPr>
          <w:rFonts w:ascii="Calibri" w:cs="Calibri" w:eastAsia="Calibri" w:hAnsi="Calibri"/>
          <w:sz w:val="22"/>
          <w:szCs w:val="22"/>
        </w:rPr>
        <w:t xml:space="preserve">El monitoreo y las alertas están configurados y funcionando.</w:t>
      </w:r>
    </w:p>
    <w:p>
      <w:pPr>
        <w:pStyle w:val="ListParagraph"/>
        <w:numPr>
          <w:ilvl w:val="0"/>
          <w:numId w:val="2"/>
        </w:numPr>
        <w:spacing w:after="80" w:line="280"/>
        <w:jc w:val="both"/>
      </w:pPr>
      <w:r>
        <w:rPr>
          <w:rFonts w:ascii="Calibri" w:cs="Calibri" w:eastAsia="Calibri" w:hAnsi="Calibri"/>
          <w:sz w:val="22"/>
          <w:szCs w:val="22"/>
        </w:rPr>
        <w:t xml:space="preserve">La documentación está entregada y aceptada formalmente por el cliente.</w:t>
      </w:r>
    </w:p>
    <w:p>
      <w:pPr>
        <w:pStyle w:val="Heading2"/>
        <w:spacing w:after="140" w:before="280"/>
      </w:pPr>
      <w:r>
        <w:rPr>
          <w:rFonts w:ascii="Calibri" w:cs="Calibri" w:eastAsia="Calibri" w:hAnsi="Calibri"/>
          <w:b/>
          <w:bCs/>
          <w:color w:val="2E75B6"/>
          <w:sz w:val="26"/>
          <w:szCs w:val="26"/>
        </w:rPr>
        <w:t xml:space="preserve">10.3 Garantía Post-Implementación</w:t>
      </w:r>
    </w:p>
    <w:p>
      <w:pPr>
        <w:spacing w:after="120" w:before="0" w:line="300"/>
        <w:jc w:val="both"/>
      </w:pPr>
      <w:r>
        <w:rPr>
          <w:rFonts w:ascii="Calibri" w:cs="Calibri" w:eastAsia="Calibri" w:hAnsi="Calibri"/>
          <w:sz w:val="22"/>
          <w:szCs w:val="22"/>
        </w:rPr>
        <w:t xml:space="preserve">El proveedor garantiza la correcta implementación de los componentes desplegados durante 30 días naturales posteriores al acta de cierre. Durante este periodo, se atenderán sin costo adicional las fallas atribuibles a la configuración inicial entregada por el proveedor. Excluye fallas derivadas de cambios realizados por el cliente, fallas del proveedor de nube (Microsoft) o problemas de aplicaciones no relacionados con la migración.</w:t>
      </w:r>
    </w:p>
    <w:p>
      <w:r>
        <w:br w:type="page"/>
      </w:r>
    </w:p>
    <w:p>
      <w:pPr>
        <w:pStyle w:val="Heading1"/>
        <w:spacing w:after="200" w:before="360"/>
      </w:pPr>
      <w:r>
        <w:rPr>
          <w:rFonts w:ascii="Calibri" w:cs="Calibri" w:eastAsia="Calibri" w:hAnsi="Calibri"/>
          <w:b/>
          <w:bCs/>
          <w:color w:val="1F4E79"/>
          <w:sz w:val="32"/>
          <w:szCs w:val="32"/>
        </w:rPr>
        <w:t xml:space="preserve">11. Riesgos y Mitigaciones</w:t>
      </w:r>
    </w:p>
    <w:p>
      <w:pPr>
        <w:spacing w:after="120" w:before="0" w:line="300"/>
        <w:jc w:val="both"/>
      </w:pPr>
      <w:r>
        <w:rPr>
          <w:rFonts w:ascii="Calibri" w:cs="Calibri" w:eastAsia="Calibri" w:hAnsi="Calibri"/>
          <w:sz w:val="22"/>
          <w:szCs w:val="22"/>
        </w:rPr>
        <w:t xml:space="preserve">Se identifican los siguientes riesgos asociados al proyecto, con sus respectivas estrategias de mitigación.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4960"/>
      </w:tblGrid>
      <w:tr>
        <w:tc>
          <w:tcPr>
            <w:tcW w:type="dxa" w:w="32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Riesgo</w:t>
            </w:r>
          </w:p>
        </w:tc>
        <w:tc>
          <w:tcPr>
            <w:tcW w:type="dxa" w:w="11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Probab.</w:t>
            </w:r>
          </w:p>
        </w:tc>
        <w:tc>
          <w:tcPr>
            <w:tcW w:type="dxa" w:w="110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Impacto</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Mitigación</w:t>
            </w:r>
          </w:p>
        </w:tc>
      </w:tr>
      <w:tr>
        <w:tc>
          <w:tcPr>
            <w:tcW w:type="dxa" w:w="3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Incompatibilidad de software (CONTPAQi) en cloud</w:t>
            </w:r>
          </w:p>
        </w:tc>
        <w:tc>
          <w:tcPr>
            <w:tcW w:type="dxa" w:w="11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Media</w:t>
            </w:r>
          </w:p>
        </w:tc>
        <w:tc>
          <w:tcPr>
            <w:tcW w:type="dxa" w:w="11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Alto</w:t>
            </w:r>
          </w:p>
        </w:tc>
        <w:tc>
          <w:tcPr>
            <w:tcW w:type="dxa" w:w="49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Validar con fabricante en Fase 1; ejecutar piloto antes de producción.</w:t>
            </w:r>
          </w:p>
        </w:tc>
      </w:tr>
      <w:tr>
        <w:tc>
          <w:tcPr>
            <w:tcW w:type="dxa" w:w="3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Ancho de banda insuficiente para replicación de 1 TB</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Media</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Medio</w:t>
            </w:r>
          </w:p>
        </w:tc>
        <w:tc>
          <w:tcPr>
            <w:tcW w:type="dxa" w:w="49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Pre-seeding offline (Azure Data Box) como plan B; replicación en horario no laboral.</w:t>
            </w:r>
          </w:p>
        </w:tc>
      </w:tr>
      <w:tr>
        <w:tc>
          <w:tcPr>
            <w:tcW w:type="dxa" w:w="3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Conflictos de IP entre on-prem y Azure</w:t>
            </w:r>
          </w:p>
        </w:tc>
        <w:tc>
          <w:tcPr>
            <w:tcW w:type="dxa" w:w="11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Baja</w:t>
            </w:r>
          </w:p>
        </w:tc>
        <w:tc>
          <w:tcPr>
            <w:tcW w:type="dxa" w:w="11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Alto</w:t>
            </w:r>
          </w:p>
        </w:tc>
        <w:tc>
          <w:tcPr>
            <w:tcW w:type="dxa" w:w="49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Levantamiento detallado de rangos IP en Fase 1; uso de subredes no superpuestas.</w:t>
            </w:r>
          </w:p>
        </w:tc>
      </w:tr>
      <w:tr>
        <w:tc>
          <w:tcPr>
            <w:tcW w:type="dxa" w:w="3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Falla del túnel VPN Fortinet ↔ Azure</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Baja</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Alto</w:t>
            </w:r>
          </w:p>
        </w:tc>
        <w:tc>
          <w:tcPr>
            <w:tcW w:type="dxa" w:w="49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Configuración con BGP y túneles redundantes; pruebas exhaustivas en Fase 3.</w:t>
            </w:r>
          </w:p>
        </w:tc>
      </w:tr>
      <w:tr>
        <w:tc>
          <w:tcPr>
            <w:tcW w:type="dxa" w:w="3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Indisponibilidad del personal del cliente en cutovers</w:t>
            </w:r>
          </w:p>
        </w:tc>
        <w:tc>
          <w:tcPr>
            <w:tcW w:type="dxa" w:w="11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Media</w:t>
            </w:r>
          </w:p>
        </w:tc>
        <w:tc>
          <w:tcPr>
            <w:tcW w:type="dxa" w:w="11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Medio</w:t>
            </w:r>
          </w:p>
        </w:tc>
        <w:tc>
          <w:tcPr>
            <w:tcW w:type="dxa" w:w="49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Calendarizar ventanas con 2 semanas de anticipación; comunicación temprana.</w:t>
            </w:r>
          </w:p>
        </w:tc>
      </w:tr>
      <w:tr>
        <w:tc>
          <w:tcPr>
            <w:tcW w:type="dxa" w:w="32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Costos de Azure mayores a lo estimado</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Media</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center"/>
            </w:pPr>
            <w:r>
              <w:rPr>
                <w:rFonts w:ascii="Calibri" w:cs="Calibri" w:eastAsia="Calibri" w:hAnsi="Calibri"/>
                <w:sz w:val="20"/>
                <w:szCs w:val="20"/>
              </w:rPr>
              <w:t xml:space="preserve">Medio</w:t>
            </w:r>
          </w:p>
        </w:tc>
        <w:tc>
          <w:tcPr>
            <w:tcW w:type="dxa" w:w="4960"/>
            <w:tcBorders>
              <w:top w:val="single" w:color="BFBFBF" w:sz="6"/>
              <w:left w:val="single" w:color="BFBFBF" w:sz="6"/>
              <w:bottom w:val="single" w:color="BFBFBF" w:sz="6"/>
              <w:right w:val="single" w:color="BFBFBF" w:sz="6"/>
            </w:tcBorders>
            <w:shd w:fill="F2F2F2" w:val="clear"/>
            <w:tcMar>
              <w:top w:type="dxa" w:w="100"/>
              <w:left w:type="dxa" w:w="120"/>
              <w:bottom w:type="dxa" w:w="100"/>
              <w:right w:type="dxa" w:w="120"/>
            </w:tcMar>
            <w:vAlign w:val="center"/>
          </w:tcPr>
          <w:p>
            <w:pPr>
              <w:jc w:val="left"/>
            </w:pPr>
            <w:r>
              <w:rPr>
                <w:rFonts w:ascii="Calibri" w:cs="Calibri" w:eastAsia="Calibri" w:hAnsi="Calibri"/>
                <w:sz w:val="20"/>
                <w:szCs w:val="20"/>
              </w:rPr>
              <w:t xml:space="preserve">Configurar Budget Alerts; revisar consumo semanal; ajustar SKUs si aplica.</w:t>
            </w:r>
          </w:p>
        </w:tc>
      </w:tr>
      <w:tr>
        <w:tc>
          <w:tcPr>
            <w:tcW w:type="dxa" w:w="32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Falla en pruebas funcionales post-migración</w:t>
            </w:r>
          </w:p>
        </w:tc>
        <w:tc>
          <w:tcPr>
            <w:tcW w:type="dxa" w:w="11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Baja</w:t>
            </w:r>
          </w:p>
        </w:tc>
        <w:tc>
          <w:tcPr>
            <w:tcW w:type="dxa" w:w="110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center"/>
            </w:pPr>
            <w:r>
              <w:rPr>
                <w:rFonts w:ascii="Calibri" w:cs="Calibri" w:eastAsia="Calibri" w:hAnsi="Calibri"/>
                <w:sz w:val="20"/>
                <w:szCs w:val="20"/>
              </w:rPr>
              <w:t xml:space="preserve">Alto</w:t>
            </w:r>
          </w:p>
        </w:tc>
        <w:tc>
          <w:tcPr>
            <w:tcW w:type="dxa" w:w="496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sz w:val="20"/>
                <w:szCs w:val="20"/>
              </w:rPr>
              <w:t xml:space="preserve">Procedimiento de rollback documentado; mantener VM origen apagada 30 días.</w:t>
            </w:r>
          </w:p>
        </w:tc>
      </w:tr>
    </w:tbl>
    <w:p>
      <w:r>
        <w:br w:type="page"/>
      </w:r>
    </w:p>
    <w:p>
      <w:pPr>
        <w:pStyle w:val="Heading1"/>
        <w:spacing w:after="200" w:before="360"/>
      </w:pPr>
      <w:r>
        <w:rPr>
          <w:rFonts w:ascii="Calibri" w:cs="Calibri" w:eastAsia="Calibri" w:hAnsi="Calibri"/>
          <w:b/>
          <w:bCs/>
          <w:color w:val="1F4E79"/>
          <w:sz w:val="32"/>
          <w:szCs w:val="32"/>
        </w:rPr>
        <w:t xml:space="preserve">12. Aceptación de la Propuesta</w:t>
      </w:r>
    </w:p>
    <w:p>
      <w:pPr>
        <w:spacing w:after="120" w:before="0" w:line="300"/>
        <w:jc w:val="both"/>
      </w:pPr>
      <w:r>
        <w:rPr>
          <w:rFonts w:ascii="Calibri" w:cs="Calibri" w:eastAsia="Calibri" w:hAnsi="Calibri"/>
          <w:sz w:val="22"/>
          <w:szCs w:val="22"/>
        </w:rPr>
        <w:t xml:space="preserve">La aceptación formal de la presente propuesta se realiza mediante la firma del presente documento por ambas partes y la emisión de la orden de compra correspondiente al proveedor.</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2"/>
                <w:szCs w:val="22"/>
              </w:rPr>
              <w:t xml:space="preserve">POR EL CLIENTE</w:t>
            </w:r>
            <w:r>
              <w:rPr>
                <w:sz w:val="22"/>
                <w:szCs w:val="22"/>
              </w:rPr>
              <w:t xml:space="preserve">
</w:t>
            </w:r>
            <w:r>
              <w:rPr>
                <w:rFonts w:ascii="Calibri" w:cs="Calibri" w:eastAsia="Calibri" w:hAnsi="Calibri"/>
                <w:sz w:val="22"/>
                <w:szCs w:val="22"/>
              </w:rPr>
              <w:t xml:space="preserve">_________________________________</w:t>
            </w:r>
            <w:r>
              <w:rPr>
                <w:rFonts w:ascii="Calibri" w:cs="Calibri" w:eastAsia="Calibri" w:hAnsi="Calibri"/>
                <w:b/>
                <w:bCs/>
                <w:sz w:val="22"/>
                <w:szCs w:val="22"/>
              </w:rPr>
              <w:t xml:space="preserve">
Nombre: </w:t>
            </w:r>
            <w:r>
              <w:rPr>
                <w:rFonts w:ascii="Calibri" w:cs="Calibri" w:eastAsia="Calibri" w:hAnsi="Calibri"/>
                <w:b/>
                <w:bCs/>
                <w:sz w:val="22"/>
                <w:szCs w:val="22"/>
              </w:rPr>
              <w:t xml:space="preserve">
Cargo: </w:t>
            </w:r>
            <w:r>
              <w:rPr>
                <w:rFonts w:ascii="Calibri" w:cs="Calibri" w:eastAsia="Calibri" w:hAnsi="Calibri"/>
                <w:b/>
                <w:bCs/>
                <w:sz w:val="22"/>
                <w:szCs w:val="22"/>
              </w:rPr>
              <w:t xml:space="preserve">
Fecha: </w:t>
            </w:r>
          </w:p>
        </w:tc>
        <w:tc>
          <w:tcPr>
            <w:tcW w:type="dxa" w:w="4680"/>
            <w:tcBorders>
              <w:top w:val="single" w:color="BFBFBF" w:sz="6"/>
              <w:left w:val="single" w:color="BFBFBF" w:sz="6"/>
              <w:bottom w:val="single" w:color="BFBFBF" w:sz="6"/>
              <w:right w:val="single" w:color="BFBFBF" w:sz="6"/>
            </w:tcBorders>
            <w:tcMar>
              <w:top w:type="dxa" w:w="100"/>
              <w:left w:type="dxa" w:w="120"/>
              <w:bottom w:type="dxa" w:w="100"/>
              <w:right w:type="dxa" w:w="120"/>
            </w:tcMar>
            <w:vAlign w:val="center"/>
          </w:tcPr>
          <w:p>
            <w:pPr>
              <w:jc w:val="left"/>
            </w:pPr>
            <w:r>
              <w:rPr>
                <w:rFonts w:ascii="Calibri" w:cs="Calibri" w:eastAsia="Calibri" w:hAnsi="Calibri"/>
                <w:b/>
                <w:bCs/>
                <w:sz w:val="22"/>
                <w:szCs w:val="22"/>
              </w:rPr>
              <w:t xml:space="preserve">POR EL PROVEEDOR</w:t>
            </w:r>
            <w:r>
              <w:rPr>
                <w:sz w:val="22"/>
                <w:szCs w:val="22"/>
              </w:rPr>
              <w:t xml:space="preserve">
</w:t>
            </w:r>
            <w:r>
              <w:rPr>
                <w:rFonts w:ascii="Calibri" w:cs="Calibri" w:eastAsia="Calibri" w:hAnsi="Calibri"/>
                <w:sz w:val="22"/>
                <w:szCs w:val="22"/>
              </w:rPr>
              <w:t xml:space="preserve">_________________________________</w:t>
            </w:r>
            <w:r>
              <w:rPr>
                <w:rFonts w:ascii="Calibri" w:cs="Calibri" w:eastAsia="Calibri" w:hAnsi="Calibri"/>
                <w:b/>
                <w:bCs/>
                <w:sz w:val="22"/>
                <w:szCs w:val="22"/>
              </w:rPr>
              <w:t xml:space="preserve">
Nombre: </w:t>
            </w:r>
            <w:r>
              <w:rPr>
                <w:rFonts w:ascii="Calibri" w:cs="Calibri" w:eastAsia="Calibri" w:hAnsi="Calibri"/>
                <w:b/>
                <w:bCs/>
                <w:sz w:val="22"/>
                <w:szCs w:val="22"/>
              </w:rPr>
              <w:t xml:space="preserve">
Cargo: </w:t>
            </w:r>
            <w:r>
              <w:rPr>
                <w:rFonts w:ascii="Calibri" w:cs="Calibri" w:eastAsia="Calibri" w:hAnsi="Calibri"/>
                <w:b/>
                <w:bCs/>
                <w:sz w:val="22"/>
                <w:szCs w:val="22"/>
              </w:rPr>
              <w:t xml:space="preserve">
Fecha: </w:t>
            </w:r>
          </w:p>
        </w:tc>
      </w:tr>
    </w:tbl>
    <w:p>
      <w:pPr>
        <w:spacing w:after="400"/>
      </w:pPr>
      <w:r>
        <w:t xml:space="preserve"/>
      </w:r>
    </w:p>
    <w:p>
      <w:pPr>
        <w:spacing w:after="120" w:before="0" w:line="300"/>
        <w:jc w:val="center"/>
      </w:pPr>
      <w:r>
        <w:rPr>
          <w:rFonts w:ascii="Calibri" w:cs="Calibri" w:eastAsia="Calibri" w:hAnsi="Calibri"/>
          <w:i/>
          <w:iCs/>
          <w:color w:val="808080"/>
          <w:sz w:val="22"/>
          <w:szCs w:val="22"/>
        </w:rPr>
        <w:t xml:space="preserve">Esta propuesta es válida por 30 días naturales a partir de la fecha de emisión. Cualquier modificación al alcance, tiempos o condiciones comerciales aquí descritas requerirá una orden de cambio formal acordada y firmada por ambas partes.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Confidencial — 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i/>
        <w:iCs/>
        <w:color w:val="808080"/>
        <w:sz w:val="18"/>
        <w:szCs w:val="18"/>
      </w:rPr>
      <w:t xml:space="preserve">Propuesta de Servicios Profesionales — Migración a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Profesionales - Migración a Azure</dc:title>
  <dc:creator>Servicios Profesionales</dc:creator>
  <dc:description>Propuesta para migración de VMs VMware ESXi a Microsoft Azure</dc:description>
  <cp:lastModifiedBy>Un-named</cp:lastModifiedBy>
  <cp:revision>1</cp:revision>
  <dcterms:created xsi:type="dcterms:W3CDTF">2026-06-17T16:15:18.071Z</dcterms:created>
  <dcterms:modified xsi:type="dcterms:W3CDTF">2026-06-17T16:15:18.087Z</dcterms:modified>
</cp:coreProperties>
</file>

<file path=docProps/custom.xml><?xml version="1.0" encoding="utf-8"?>
<Properties xmlns="http://schemas.openxmlformats.org/officeDocument/2006/custom-properties" xmlns:vt="http://schemas.openxmlformats.org/officeDocument/2006/docPropsVTypes"/>
</file>