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rFonts w:ascii="Calibri" w:cs="Calibri" w:eastAsia="Calibri" w:hAnsi="Calibri"/>
          <w:b/>
          <w:bCs/>
          <w:color w:val="0078D4"/>
          <w:sz w:val="28"/>
          <w:szCs w:val="28"/>
        </w:rPr>
        <w:t xml:space="preserve">PROPUESTA DE SERVICIOS</w:t>
      </w:r>
    </w:p>
    <w:p>
      <w:pPr>
        <w:pBdr>
          <w:bottom w:val="single" w:color="0078D4" w:sz="12" w:space="6"/>
        </w:pBdr>
        <w:spacing w:after="200"/>
      </w:pPr>
      <w:r>
        <w:rPr>
          <w:rFonts w:ascii="Calibri" w:cs="Calibri" w:eastAsia="Calibri" w:hAnsi="Calibri"/>
          <w:b/>
          <w:bCs/>
          <w:color w:val="1F3864"/>
          <w:sz w:val="44"/>
          <w:szCs w:val="44"/>
        </w:rPr>
        <w:t xml:space="preserve">Solución híbrida de respaldo, almacenamiento y acceso seguro con Microsoft Azure</w:t>
      </w:r>
    </w:p>
    <w:p>
      <w:pPr>
        <w:spacing w:after="80" w:before="400"/>
      </w:pPr>
      <w:r>
        <w:rPr>
          <w:rFonts w:ascii="Calibri" w:cs="Calibri" w:eastAsia="Calibri" w:hAnsi="Calibri"/>
          <w:b/>
          <w:bCs/>
          <w:sz w:val="22"/>
          <w:szCs w:val="22"/>
        </w:rPr>
        <w:t xml:space="preserve">Cliente: </w:t>
      </w:r>
      <w:r>
        <w:rPr>
          <w:rFonts w:ascii="Calibri" w:cs="Calibri" w:eastAsia="Calibri" w:hAnsi="Calibri"/>
          <w:sz w:val="22"/>
          <w:szCs w:val="22"/>
        </w:rPr>
        <w:t xml:space="preserve">Cliente 100101 — Atención: Felipe Avendaño</w:t>
      </w:r>
    </w:p>
    <w:p>
      <w:pPr>
        <w:spacing w:after="80"/>
      </w:pPr>
      <w:r>
        <w:rPr>
          <w:rFonts w:ascii="Calibri" w:cs="Calibri" w:eastAsia="Calibri" w:hAnsi="Calibri"/>
          <w:b/>
          <w:bCs/>
          <w:sz w:val="22"/>
          <w:szCs w:val="22"/>
        </w:rPr>
        <w:t xml:space="preserve">Razón social / RFC: </w:t>
      </w:r>
      <w:r>
        <w:rPr>
          <w:rFonts w:ascii="Calibri" w:cs="Calibri" w:eastAsia="Calibri" w:hAnsi="Calibri"/>
          <w:sz w:val="22"/>
          <w:szCs w:val="22"/>
        </w:rPr>
        <w:t xml:space="preserve">Pendiente de confirmar por el cliente</w:t>
      </w:r>
    </w:p>
    <w:p>
      <w:pPr>
        <w:spacing w:after="80"/>
      </w:pPr>
      <w:r>
        <w:rPr>
          <w:rFonts w:ascii="Calibri" w:cs="Calibri" w:eastAsia="Calibri" w:hAnsi="Calibri"/>
          <w:b/>
          <w:bCs/>
          <w:sz w:val="22"/>
          <w:szCs w:val="22"/>
        </w:rPr>
        <w:t xml:space="preserve">Elaborado por: </w:t>
      </w:r>
      <w:r>
        <w:rPr>
          <w:rFonts w:ascii="Calibri" w:cs="Calibri" w:eastAsia="Calibri" w:hAnsi="Calibri"/>
          <w:sz w:val="22"/>
          <w:szCs w:val="22"/>
        </w:rPr>
        <w:t xml:space="preserve">César Larios</w:t>
      </w:r>
    </w:p>
    <w:p>
      <w:pPr>
        <w:spacing w:after="80"/>
      </w:pPr>
      <w:r>
        <w:rPr>
          <w:rFonts w:ascii="Calibri" w:cs="Calibri" w:eastAsia="Calibri" w:hAnsi="Calibri"/>
          <w:b/>
          <w:bCs/>
          <w:sz w:val="22"/>
          <w:szCs w:val="22"/>
        </w:rPr>
        <w:t xml:space="preserve">Fecha: </w:t>
      </w:r>
      <w:r>
        <w:rPr>
          <w:rFonts w:ascii="Calibri" w:cs="Calibri" w:eastAsia="Calibri" w:hAnsi="Calibri"/>
          <w:sz w:val="22"/>
          <w:szCs w:val="22"/>
        </w:rPr>
        <w:t xml:space="preserve">24 de septiembre de 2026</w:t>
      </w:r>
    </w:p>
    <w:p>
      <w:pPr>
        <w:spacing w:after="80"/>
      </w:pPr>
      <w:r>
        <w:rPr>
          <w:rFonts w:ascii="Calibri" w:cs="Calibri" w:eastAsia="Calibri" w:hAnsi="Calibri"/>
          <w:b/>
          <w:bCs/>
          <w:sz w:val="22"/>
          <w:szCs w:val="22"/>
        </w:rPr>
        <w:t xml:space="preserve">Versión: </w:t>
      </w:r>
      <w:r>
        <w:rPr>
          <w:rFonts w:ascii="Calibri" w:cs="Calibri" w:eastAsia="Calibri" w:hAnsi="Calibri"/>
          <w:sz w:val="22"/>
          <w:szCs w:val="22"/>
        </w:rPr>
        <w:t xml:space="preserve">1.0 — Borrador para revisión</w:t>
      </w:r>
    </w:p>
    <w:p>
      <w:pPr>
        <w:spacing w:after="80"/>
      </w:pPr>
      <w:r>
        <w:rPr>
          <w:rFonts w:ascii="Calibri" w:cs="Calibri" w:eastAsia="Calibri" w:hAnsi="Calibri"/>
          <w:b/>
          <w:bCs/>
          <w:sz w:val="22"/>
          <w:szCs w:val="22"/>
        </w:rPr>
        <w:t xml:space="preserve">Vigencia de la propuesta: </w:t>
      </w:r>
      <w:r>
        <w:rPr>
          <w:rFonts w:ascii="Calibri" w:cs="Calibri" w:eastAsia="Calibri" w:hAnsi="Calibri"/>
          <w:sz w:val="22"/>
          <w:szCs w:val="22"/>
        </w:rPr>
        <w:t xml:space="preserve">30 días naturales</w:t>
      </w:r>
    </w:p>
    <w:p>
      <w:pPr>
        <w:spacing w:before="1800"/>
      </w:pPr>
      <w:r>
        <w:rPr>
          <w:rFonts w:ascii="Calibri" w:cs="Calibri" w:eastAsia="Calibri" w:hAnsi="Calibri"/>
          <w:i/>
          <w:iCs/>
          <w:color w:val="595959"/>
          <w:sz w:val="18"/>
          <w:szCs w:val="18"/>
        </w:rPr>
        <w:t xml:space="preserve">Documento confidencial. Su contenido es para uso exclusivo del cliente y no debe distribuirse a terceros sin autorización.</w:t>
      </w:r>
    </w:p>
    <w:p>
      <w:r>
        <w:br w:type="page"/>
      </w:r>
    </w:p>
    <w:p>
      <w:r>
        <w:rPr>
          <w:rFonts w:ascii="Calibri" w:cs="Calibri" w:eastAsia="Calibri" w:hAnsi="Calibri"/>
          <w:b/>
          <w:bCs/>
          <w:color w:val="1F3864"/>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Situación actual</w:t>
      </w:r>
    </w:p>
    <w:p>
      <w:pPr>
        <w:spacing w:after="120" w:line="276"/>
        <w:jc w:val="both"/>
      </w:pPr>
      <w:r>
        <w:rPr>
          <w:rFonts w:ascii="Calibri" w:cs="Calibri" w:eastAsia="Calibri" w:hAnsi="Calibri"/>
          <w:sz w:val="22"/>
          <w:szCs w:val="22"/>
        </w:rPr>
        <w:t xml:space="preserve">A partir del levantamiento de requerimientos sostenido con Felipe Avendaño (con la participación de Ricardo e Isaías), se identificó el siguiente panorama del entorno tecnológico del cliente:</w:t>
      </w:r>
    </w:p>
    <w:p>
      <w:pPr>
        <w:pStyle w:val="ListParagraph"/>
        <w:numPr>
          <w:ilvl w:val="0"/>
          <w:numId w:val="2"/>
        </w:numPr>
        <w:spacing w:after="60"/>
      </w:pPr>
      <w:r>
        <w:rPr>
          <w:rFonts w:ascii="Calibri" w:cs="Calibri" w:eastAsia="Calibri" w:hAnsi="Calibri"/>
          <w:b/>
          <w:bCs/>
          <w:sz w:val="22"/>
          <w:szCs w:val="22"/>
        </w:rPr>
        <w:t xml:space="preserve">Infraestructura local en dos sitios. </w:t>
      </w:r>
      <w:r>
        <w:rPr>
          <w:rFonts w:ascii="Calibri" w:cs="Calibri" w:eastAsia="Calibri" w:hAnsi="Calibri"/>
          <w:sz w:val="22"/>
          <w:szCs w:val="22"/>
        </w:rPr>
        <w:t xml:space="preserve">El cliente opera un servidor en su oficina y un segundo servidor ubicado en otro sitio. Ambos equipos deben conservarse; no se busca migrarlos ni retirarlos.</w:t>
      </w:r>
    </w:p>
    <w:p>
      <w:pPr>
        <w:pStyle w:val="ListParagraph"/>
        <w:numPr>
          <w:ilvl w:val="0"/>
          <w:numId w:val="2"/>
        </w:numPr>
        <w:spacing w:after="60"/>
      </w:pPr>
      <w:r>
        <w:rPr>
          <w:rFonts w:ascii="Calibri" w:cs="Calibri" w:eastAsia="Calibri" w:hAnsi="Calibri"/>
          <w:b/>
          <w:bCs/>
          <w:sz w:val="22"/>
          <w:szCs w:val="22"/>
        </w:rPr>
        <w:t xml:space="preserve">Sin respaldo en la nube. </w:t>
      </w:r>
      <w:r>
        <w:rPr>
          <w:rFonts w:ascii="Calibri" w:cs="Calibri" w:eastAsia="Calibri" w:hAnsi="Calibri"/>
          <w:sz w:val="22"/>
          <w:szCs w:val="22"/>
        </w:rPr>
        <w:t xml:space="preserve">La información reside únicamente en los servidores locales, lo que la expone a pérdida por falla de hardware, robo, siniestro o ransomware.</w:t>
      </w:r>
    </w:p>
    <w:p>
      <w:pPr>
        <w:pStyle w:val="ListParagraph"/>
        <w:numPr>
          <w:ilvl w:val="0"/>
          <w:numId w:val="2"/>
        </w:numPr>
        <w:spacing w:after="60"/>
      </w:pPr>
      <w:r>
        <w:rPr>
          <w:rFonts w:ascii="Calibri" w:cs="Calibri" w:eastAsia="Calibri" w:hAnsi="Calibri"/>
          <w:b/>
          <w:bCs/>
          <w:sz w:val="22"/>
          <w:szCs w:val="22"/>
        </w:rPr>
        <w:t xml:space="preserve">Capacidad de almacenamiento agotada. </w:t>
      </w:r>
      <w:r>
        <w:rPr>
          <w:rFonts w:ascii="Calibri" w:cs="Calibri" w:eastAsia="Calibri" w:hAnsi="Calibri"/>
          <w:sz w:val="22"/>
          <w:szCs w:val="22"/>
        </w:rPr>
        <w:t xml:space="preserve">El cliente ya no cuenta con espacio suficiente para seguir almacenando información; este punto fue confirmado por Felipe.</w:t>
      </w:r>
    </w:p>
    <w:p>
      <w:pPr>
        <w:pStyle w:val="ListParagraph"/>
        <w:numPr>
          <w:ilvl w:val="0"/>
          <w:numId w:val="2"/>
        </w:numPr>
        <w:spacing w:after="60"/>
      </w:pPr>
      <w:r>
        <w:rPr>
          <w:rFonts w:ascii="Calibri" w:cs="Calibri" w:eastAsia="Calibri" w:hAnsi="Calibri"/>
          <w:b/>
          <w:bCs/>
          <w:sz w:val="22"/>
          <w:szCs w:val="22"/>
        </w:rPr>
        <w:t xml:space="preserve">Necesidad de acceso desde distintas ubicaciones. </w:t>
      </w:r>
      <w:r>
        <w:rPr>
          <w:rFonts w:ascii="Calibri" w:cs="Calibri" w:eastAsia="Calibri" w:hAnsi="Calibri"/>
          <w:sz w:val="22"/>
          <w:szCs w:val="22"/>
        </w:rPr>
        <w:t xml:space="preserve">Los usuarios requieren consultar la información desde diferentes sitios, lo que exige conectividad y acceso remoto seguros.</w:t>
      </w:r>
    </w:p>
    <w:p>
      <w:pPr>
        <w:pStyle w:val="ListParagraph"/>
        <w:numPr>
          <w:ilvl w:val="0"/>
          <w:numId w:val="2"/>
        </w:numPr>
        <w:spacing w:after="60"/>
      </w:pPr>
      <w:r>
        <w:rPr>
          <w:rFonts w:ascii="Calibri" w:cs="Calibri" w:eastAsia="Calibri" w:hAnsi="Calibri"/>
          <w:b/>
          <w:bCs/>
          <w:sz w:val="22"/>
          <w:szCs w:val="22"/>
        </w:rPr>
        <w:t xml:space="preserve">Control de accesos limitado. </w:t>
      </w:r>
      <w:r>
        <w:rPr>
          <w:rFonts w:ascii="Calibri" w:cs="Calibri" w:eastAsia="Calibri" w:hAnsi="Calibri"/>
          <w:sz w:val="22"/>
          <w:szCs w:val="22"/>
        </w:rPr>
        <w:t xml:space="preserve">Se requiere definir qué usuario puede acceder a qué recurso o servidor mediante roles, permisos y perfiles.</w:t>
      </w:r>
    </w:p>
    <w:p>
      <w:pPr>
        <w:pStyle w:val="ListParagraph"/>
        <w:numPr>
          <w:ilvl w:val="0"/>
          <w:numId w:val="2"/>
        </w:numPr>
        <w:spacing w:after="60"/>
      </w:pPr>
      <w:r>
        <w:rPr>
          <w:rFonts w:ascii="Calibri" w:cs="Calibri" w:eastAsia="Calibri" w:hAnsi="Calibri"/>
          <w:b/>
          <w:bCs/>
          <w:sz w:val="22"/>
          <w:szCs w:val="22"/>
        </w:rPr>
        <w:t xml:space="preserve">Tamaño del entorno. </w:t>
      </w:r>
      <w:r>
        <w:rPr>
          <w:rFonts w:ascii="Calibri" w:cs="Calibri" w:eastAsia="Calibri" w:hAnsi="Calibri"/>
          <w:sz w:val="22"/>
          <w:szCs w:val="22"/>
        </w:rPr>
        <w:t xml:space="preserve">Aproximadamente 20 usuarios.</w:t>
      </w:r>
    </w:p>
    <w:p>
      <w:pPr>
        <w:pStyle w:val="Heading2"/>
      </w:pPr>
      <w:r>
        <w:rPr>
          <w:rFonts w:ascii="Calibri" w:cs="Calibri" w:eastAsia="Calibri" w:hAnsi="Calibri"/>
        </w:rPr>
        <w:t xml:space="preserve">1.1 Información pendiente por confirmar</w:t>
      </w:r>
    </w:p>
    <w:p>
      <w:pPr>
        <w:spacing w:after="120" w:line="276"/>
        <w:jc w:val="both"/>
      </w:pPr>
      <w:r>
        <w:rPr>
          <w:rFonts w:ascii="Calibri" w:cs="Calibri" w:eastAsia="Calibri" w:hAnsi="Calibri"/>
          <w:sz w:val="22"/>
          <w:szCs w:val="22"/>
        </w:rPr>
        <w:t xml:space="preserve">Para cerrar el dimensionamiento definitivo y el alta del cliente, se requiere validar la siguiente información. Mientras tanto, la propuesta utiliza los supuestos de la sección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Dato pendiente</w:t>
            </w:r>
          </w:p>
        </w:tc>
        <w:tc>
          <w:tcPr>
            <w:tcW w:type="dxa" w:w="49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Uso en la propuesta</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Razón social y RFC</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Alta del cliente, suscripción Azure (CSP) y facturación</w:t>
            </w:r>
          </w:p>
        </w:tc>
      </w:tr>
      <w:t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Capacidad utilizada actualmente y crecimiento esperado</w:t>
            </w:r>
          </w:p>
        </w:tc>
        <w:tc>
          <w:tcPr>
            <w:tcW w:type="dxa" w:w="4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Tamaño de Azure Files y del almacén de respaldo</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Tipo de información a respaldar y servidores incluidos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Políticas de respaldo y sincronización</w:t>
            </w:r>
          </w:p>
        </w:tc>
      </w:tr>
      <w:t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Frecuencia de respaldo y tiempo máximo de recuperación (RPO/RTO)</w:t>
            </w:r>
          </w:p>
        </w:tc>
        <w:tc>
          <w:tcPr>
            <w:tcW w:type="dxa" w:w="4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Diseño de políticas y retenciones</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Existencia de respaldo local actual</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Estrategia de coexistencia / transición</w:t>
            </w:r>
          </w:p>
        </w:tc>
      </w:tr>
      <w:t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Usuarios, roles y permisos por usuario</w:t>
            </w:r>
          </w:p>
        </w:tc>
        <w:tc>
          <w:tcPr>
            <w:tcW w:type="dxa" w:w="4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Matriz de accesos (Entra ID + NTFS)</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Ubicaciones desde donde se requiere acceso</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Diseño de VPN sitio a sitio y punto a sitio</w:t>
            </w:r>
          </w:p>
        </w:tc>
      </w:tr>
      <w:t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Ancho de banda de Internet en cada sitio</w:t>
            </w:r>
          </w:p>
        </w:tc>
        <w:tc>
          <w:tcPr>
            <w:tcW w:type="dxa" w:w="4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Plan de siembra inicial y ventanas de respaldo</w:t>
            </w:r>
          </w:p>
        </w:tc>
      </w:tr>
    </w:tbl>
    <w:p>
      <w:pPr>
        <w:pStyle w:val="Heading1"/>
        <w:pageBreakBefore/>
      </w:pPr>
      <w:r>
        <w:rPr>
          <w:rFonts w:ascii="Calibri" w:cs="Calibri" w:eastAsia="Calibri" w:hAnsi="Calibri"/>
        </w:rPr>
        <w:t xml:space="preserve">2. Objetivos</w:t>
      </w:r>
    </w:p>
    <w:p>
      <w:pPr>
        <w:pStyle w:val="Heading2"/>
      </w:pPr>
      <w:r>
        <w:rPr>
          <w:rFonts w:ascii="Calibri" w:cs="Calibri" w:eastAsia="Calibri" w:hAnsi="Calibri"/>
        </w:rPr>
        <w:t xml:space="preserve">2.1 Objetivo general</w:t>
      </w:r>
    </w:p>
    <w:p>
      <w:pPr>
        <w:spacing w:after="120" w:line="276"/>
        <w:jc w:val="both"/>
      </w:pPr>
      <w:r>
        <w:rPr>
          <w:rFonts w:ascii="Calibri" w:cs="Calibri" w:eastAsia="Calibri" w:hAnsi="Calibri"/>
          <w:sz w:val="22"/>
          <w:szCs w:val="22"/>
        </w:rPr>
        <w:t xml:space="preserve">Implementar una solución híbrida sobre Microsoft Azure que complemente la infraestructura local existente, proporcionando respaldo seguro fuera de sitio, capacidad de almacenamiento elástica, acceso remoto controlado y administración centralizada de identidades y permisos, sin sustituir los servidores actuales.</w:t>
      </w:r>
    </w:p>
    <w:p>
      <w:pPr>
        <w:pStyle w:val="Heading2"/>
      </w:pPr>
      <w:r>
        <w:rPr>
          <w:rFonts w:ascii="Calibri" w:cs="Calibri" w:eastAsia="Calibri" w:hAnsi="Calibri"/>
        </w:rPr>
        <w:t xml:space="preserve">2.2 Objetivos específicos</w:t>
      </w:r>
    </w:p>
    <w:p>
      <w:pPr>
        <w:pStyle w:val="ListParagraph"/>
        <w:numPr>
          <w:ilvl w:val="0"/>
          <w:numId w:val="3"/>
        </w:numPr>
        <w:spacing w:after="60"/>
      </w:pPr>
      <w:r>
        <w:rPr>
          <w:rFonts w:ascii="Calibri" w:cs="Calibri" w:eastAsia="Calibri" w:hAnsi="Calibri"/>
          <w:sz w:val="22"/>
          <w:szCs w:val="22"/>
        </w:rPr>
        <w:t xml:space="preserve">Proteger la información de ambos servidores con respaldos automáticos, cifrados y fuera de sitio en la región Azure México Central.</w:t>
      </w:r>
    </w:p>
    <w:p>
      <w:pPr>
        <w:pStyle w:val="ListParagraph"/>
        <w:numPr>
          <w:ilvl w:val="0"/>
          <w:numId w:val="3"/>
        </w:numPr>
        <w:spacing w:after="60"/>
      </w:pPr>
      <w:r>
        <w:rPr>
          <w:rFonts w:ascii="Calibri" w:cs="Calibri" w:eastAsia="Calibri" w:hAnsi="Calibri"/>
          <w:sz w:val="22"/>
          <w:szCs w:val="22"/>
        </w:rPr>
        <w:t xml:space="preserve">Liberar espacio en los servidores locales mediante almacenamiento en la nube con niveles automáticos (cloud tiering), manteniendo la experiencia de uso actual.</w:t>
      </w:r>
    </w:p>
    <w:p>
      <w:pPr>
        <w:pStyle w:val="ListParagraph"/>
        <w:numPr>
          <w:ilvl w:val="0"/>
          <w:numId w:val="3"/>
        </w:numPr>
        <w:spacing w:after="60"/>
      </w:pPr>
      <w:r>
        <w:rPr>
          <w:rFonts w:ascii="Calibri" w:cs="Calibri" w:eastAsia="Calibri" w:hAnsi="Calibri"/>
          <w:sz w:val="22"/>
          <w:szCs w:val="22"/>
        </w:rPr>
        <w:t xml:space="preserve">Habilitar el acceso seguro de los ~20 usuarios desde la oficina, el segundo sitio y ubicaciones remotas, con autenticación multifactor.</w:t>
      </w:r>
    </w:p>
    <w:p>
      <w:pPr>
        <w:pStyle w:val="ListParagraph"/>
        <w:numPr>
          <w:ilvl w:val="0"/>
          <w:numId w:val="3"/>
        </w:numPr>
        <w:spacing w:after="60"/>
      </w:pPr>
      <w:r>
        <w:rPr>
          <w:rFonts w:ascii="Calibri" w:cs="Calibri" w:eastAsia="Calibri" w:hAnsi="Calibri"/>
          <w:sz w:val="22"/>
          <w:szCs w:val="22"/>
        </w:rPr>
        <w:t xml:space="preserve">Centralizar la administración de usuarios, grupos y permisos con Microsoft Entra ID, aplicando el principio de mínimo privilegio.</w:t>
      </w:r>
    </w:p>
    <w:p>
      <w:pPr>
        <w:pStyle w:val="ListParagraph"/>
        <w:numPr>
          <w:ilvl w:val="0"/>
          <w:numId w:val="3"/>
        </w:numPr>
        <w:spacing w:after="60"/>
      </w:pPr>
      <w:r>
        <w:rPr>
          <w:rFonts w:ascii="Calibri" w:cs="Calibri" w:eastAsia="Calibri" w:hAnsi="Calibri"/>
          <w:sz w:val="22"/>
          <w:szCs w:val="22"/>
        </w:rPr>
        <w:t xml:space="preserve">Contar con monitoreo, alertas y control de costos que permitan operar la solución con visibilidad y previsibilidad.</w:t>
      </w:r>
    </w:p>
    <w:p>
      <w:pPr>
        <w:pStyle w:val="Heading2"/>
      </w:pPr>
      <w:r>
        <w:rPr>
          <w:rFonts w:ascii="Calibri" w:cs="Calibri" w:eastAsia="Calibri" w:hAnsi="Calibri"/>
        </w:rPr>
        <w:t xml:space="preserve">2.3 Indicadores de éxito propuestos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Indicador</w:t>
            </w:r>
          </w:p>
        </w:tc>
        <w:tc>
          <w:tcPr>
            <w:tcW w:type="dxa" w:w="37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Meta</w:t>
            </w:r>
          </w:p>
        </w:tc>
      </w:tr>
      <w:t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Servidores con respaldo diario exitoso</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100 % (2 de 2)</w:t>
            </w:r>
          </w:p>
        </w:tc>
      </w:tr>
      <w:tr>
        <w:tc>
          <w:tcPr>
            <w:tcW w:type="dxa" w:w="5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Punto de recuperación objetivo (RPO) para archivos</w:t>
            </w:r>
          </w:p>
        </w:tc>
        <w:tc>
          <w:tcPr>
            <w:tcW w:type="dxa" w:w="37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24 h (snapshots adicionales cada 4 h en horario laboral)</w:t>
            </w:r>
          </w:p>
        </w:tc>
      </w:tr>
      <w:t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Prueba de restauración documentada</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Al menos 1 por servidor y 1 de Azure Files antes del cierre</w:t>
            </w:r>
          </w:p>
        </w:tc>
      </w:tr>
      <w:tr>
        <w:tc>
          <w:tcPr>
            <w:tcW w:type="dxa" w:w="5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Usuarios con MFA habilitado</w:t>
            </w:r>
          </w:p>
        </w:tc>
        <w:tc>
          <w:tcPr>
            <w:tcW w:type="dxa" w:w="37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100 %</w:t>
            </w:r>
          </w:p>
        </w:tc>
      </w:tr>
      <w:t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Espacio local liberado en volúmenes sincronizados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30 % mediante cloud tiering</w:t>
            </w:r>
          </w:p>
        </w:tc>
      </w:tr>
    </w:tbl>
    <w:p>
      <w:pPr>
        <w:pStyle w:val="Heading1"/>
        <w:pageBreakBefore/>
      </w:pPr>
      <w:r>
        <w:rPr>
          <w:rFonts w:ascii="Calibri" w:cs="Calibri" w:eastAsia="Calibri" w:hAnsi="Calibri"/>
        </w:rPr>
        <w:t xml:space="preserve">3. Arquitectura</w:t>
      </w:r>
    </w:p>
    <w:p>
      <w:pPr>
        <w:spacing w:after="120" w:line="276"/>
        <w:jc w:val="both"/>
      </w:pPr>
      <w:r>
        <w:rPr>
          <w:rFonts w:ascii="Calibri" w:cs="Calibri" w:eastAsia="Calibri" w:hAnsi="Calibri"/>
          <w:sz w:val="22"/>
          <w:szCs w:val="22"/>
        </w:rPr>
        <w:t xml:space="preserve">La siguiente figura muestra la arquitectura lógica propuesta. Los servidores locales se conservan y se conectan a una suscripción de Azure en la región México Central (Querétaro), que aloja los servicios de respaldo, almacenamiento, conectividad, identidad, seguridad y monitoreo.</w:t>
      </w:r>
    </w:p>
    <w:p>
      <w:pPr>
        <w:spacing w:after="80" w:before="120"/>
        <w:jc w:val="center"/>
      </w:pPr>
      <w:r>
        <w:drawing>
          <wp:inline distT="0" distB="0" distL="0" distR="0">
            <wp:extent cx="5943600" cy="3581400"/>
            <wp:effectExtent t="0" r="0" b="0" l="0"/>
            <wp:docPr id="1" name="arquitectura" descr="Diagrama de arquitectura híbrida con Azure" title="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81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 Arquitectura híbrida propuesta.</w:t>
      </w:r>
    </w:p>
    <w:p>
      <w:pPr>
        <w:pStyle w:val="Heading2"/>
      </w:pPr>
      <w:r>
        <w:rPr>
          <w:rFonts w:ascii="Calibri" w:cs="Calibri" w:eastAsia="Calibri" w:hAnsi="Calibri"/>
        </w:rPr>
        <w:t xml:space="preserve">3.1 Componentes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Capa</w:t>
            </w:r>
          </w:p>
        </w:tc>
        <w:tc>
          <w:tcPr>
            <w:tcW w:type="dxa" w:w="33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Servicio Microsoft</w:t>
            </w:r>
          </w:p>
        </w:tc>
        <w:tc>
          <w:tcPr>
            <w:tcW w:type="dxa" w:w="43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Función en la solución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Identidad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Microsoft Entra ID P1 + Entra Connect Sync</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Identidad única, MFA, Acceso Condicional, grupos por rol</w:t>
            </w:r>
          </w:p>
        </w:tc>
      </w:tr>
      <w:t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Conectividad</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VPN Gateway (VpnGw1AZ)</w:t>
            </w:r>
          </w:p>
        </w:tc>
        <w:tc>
          <w:tcPr>
            <w:tcW w:type="dxa" w:w="4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Túneles IPsec con ambos sitios y VPN de usuario (P2S)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Almacenamiento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Files (Standard v2, ZRS) + Private Endpoint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Recursos compartidos SMB en la nube, accesibles de forma privada</w:t>
            </w:r>
          </w:p>
        </w:tc>
      </w:tr>
      <w:t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Sincronización</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File Sync (Storage Sync Service)</w:t>
            </w:r>
          </w:p>
        </w:tc>
        <w:tc>
          <w:tcPr>
            <w:tcW w:type="dxa" w:w="4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Caché local en cada servidor y liberación de espacio (cloud tiering)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Respaldo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Backup (Recovery Services Vault, agente MARS)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Respaldo cifrado fuera de sitio de servidores y recursos compartidos</w:t>
            </w:r>
          </w:p>
        </w:tc>
      </w:tr>
      <w:t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Seguridad</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Arc + Microsoft Defender for Servers P1</w:t>
            </w:r>
          </w:p>
        </w:tc>
        <w:tc>
          <w:tcPr>
            <w:tcW w:type="dxa" w:w="4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Protección y postura de seguridad de los servidores locales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Operación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Monitor, Log Analytics, Cost Management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Alertas de respaldo/sincronización, tablero y control de costos</w:t>
            </w:r>
          </w:p>
        </w:tc>
      </w:tr>
    </w:tbl>
    <w:p>
      <w:pPr>
        <w:pStyle w:val="Heading1"/>
        <w:pageBreakBefore/>
      </w:pPr>
      <w:r>
        <w:rPr>
          <w:rFonts w:ascii="Calibri" w:cs="Calibri" w:eastAsia="Calibri" w:hAnsi="Calibri"/>
        </w:rPr>
        <w:t xml:space="preserve">4. Descripción de la arquitectura</w:t>
      </w:r>
    </w:p>
    <w:p>
      <w:pPr>
        <w:pStyle w:val="Heading2"/>
      </w:pPr>
      <w:r>
        <w:rPr>
          <w:rFonts w:ascii="Calibri" w:cs="Calibri" w:eastAsia="Calibri" w:hAnsi="Calibri"/>
        </w:rPr>
        <w:t xml:space="preserve">4.1 Identidad y control de accesos</w:t>
      </w:r>
    </w:p>
    <w:p>
      <w:pPr>
        <w:spacing w:after="120" w:line="276"/>
        <w:jc w:val="both"/>
      </w:pPr>
      <w:r>
        <w:rPr>
          <w:rFonts w:ascii="Calibri" w:cs="Calibri" w:eastAsia="Calibri" w:hAnsi="Calibri"/>
          <w:sz w:val="22"/>
          <w:szCs w:val="22"/>
        </w:rPr>
        <w:t xml:space="preserve">Se sincronizarán las cuentas del Active Directory local hacia Microsoft Entra ID mediante Entra Connect Sync, de modo que cada usuario conserve una sola identidad. Sobre esa base se configurarán:</w:t>
      </w:r>
    </w:p>
    <w:p>
      <w:pPr>
        <w:pStyle w:val="ListParagraph"/>
        <w:numPr>
          <w:ilvl w:val="0"/>
          <w:numId w:val="2"/>
        </w:numPr>
        <w:spacing w:after="60"/>
      </w:pPr>
      <w:r>
        <w:rPr>
          <w:rFonts w:ascii="Calibri" w:cs="Calibri" w:eastAsia="Calibri" w:hAnsi="Calibri"/>
          <w:sz w:val="22"/>
          <w:szCs w:val="22"/>
        </w:rPr>
        <w:t xml:space="preserve">Grupos por rol o área (por ejemplo: Dirección, Administración, Operaciones, Solo lectura) que concentran los permisos.</w:t>
      </w:r>
    </w:p>
    <w:p>
      <w:pPr>
        <w:pStyle w:val="ListParagraph"/>
        <w:numPr>
          <w:ilvl w:val="0"/>
          <w:numId w:val="2"/>
        </w:numPr>
        <w:spacing w:after="60"/>
      </w:pPr>
      <w:r>
        <w:rPr>
          <w:rFonts w:ascii="Calibri" w:cs="Calibri" w:eastAsia="Calibri" w:hAnsi="Calibri"/>
          <w:sz w:val="22"/>
          <w:szCs w:val="22"/>
        </w:rPr>
        <w:t xml:space="preserve">Permisos NTFS en los recursos compartidos, heredados en Azure Files, y roles RBAC de Azure para los administradores.</w:t>
      </w:r>
    </w:p>
    <w:p>
      <w:pPr>
        <w:pStyle w:val="ListParagraph"/>
        <w:numPr>
          <w:ilvl w:val="0"/>
          <w:numId w:val="2"/>
        </w:numPr>
        <w:spacing w:after="60"/>
      </w:pPr>
      <w:r>
        <w:rPr>
          <w:rFonts w:ascii="Calibri" w:cs="Calibri" w:eastAsia="Calibri" w:hAnsi="Calibri"/>
          <w:sz w:val="22"/>
          <w:szCs w:val="22"/>
        </w:rPr>
        <w:t xml:space="preserve">Autenticación multifactor (MFA) para todos los usuarios y políticas de Acceso Condicional (bloqueo de países no autorizados, exigencia de MFA para la VPN).</w:t>
      </w:r>
    </w:p>
    <w:p>
      <w:pPr>
        <w:pStyle w:val="ListParagraph"/>
        <w:numPr>
          <w:ilvl w:val="0"/>
          <w:numId w:val="2"/>
        </w:numPr>
        <w:spacing w:after="60"/>
      </w:pPr>
      <w:r>
        <w:rPr>
          <w:rFonts w:ascii="Calibri" w:cs="Calibri" w:eastAsia="Calibri" w:hAnsi="Calibri"/>
          <w:sz w:val="22"/>
          <w:szCs w:val="22"/>
        </w:rPr>
        <w:t xml:space="preserve">Cuentas administrativas separadas y de privilegio mínimo.</w:t>
      </w:r>
    </w:p>
    <w:p>
      <w:pPr>
        <w:pStyle w:val="Heading2"/>
      </w:pPr>
      <w:r>
        <w:rPr>
          <w:rFonts w:ascii="Calibri" w:cs="Calibri" w:eastAsia="Calibri" w:hAnsi="Calibri"/>
        </w:rPr>
        <w:t xml:space="preserve">4.2 Conectividad y acceso remoto</w:t>
      </w:r>
    </w:p>
    <w:p>
      <w:pPr>
        <w:spacing w:after="120" w:line="276"/>
        <w:jc w:val="both"/>
      </w:pPr>
      <w:r>
        <w:rPr>
          <w:rFonts w:ascii="Calibri" w:cs="Calibri" w:eastAsia="Calibri" w:hAnsi="Calibri"/>
          <w:sz w:val="22"/>
          <w:szCs w:val="22"/>
        </w:rPr>
        <w:t xml:space="preserve">En la región México Central se desplegará una red virtual (VNet) con un VPN Gateway con redundancia de zona (SKU VpnGw1AZ):</w:t>
      </w:r>
    </w:p>
    <w:p>
      <w:pPr>
        <w:pStyle w:val="ListParagraph"/>
        <w:numPr>
          <w:ilvl w:val="0"/>
          <w:numId w:val="2"/>
        </w:numPr>
        <w:spacing w:after="60"/>
      </w:pPr>
      <w:r>
        <w:rPr>
          <w:rFonts w:ascii="Calibri" w:cs="Calibri" w:eastAsia="Calibri" w:hAnsi="Calibri"/>
          <w:b/>
          <w:bCs/>
          <w:sz w:val="22"/>
          <w:szCs w:val="22"/>
        </w:rPr>
        <w:t xml:space="preserve">Sitio a sitio (S2S): </w:t>
      </w:r>
      <w:r>
        <w:rPr>
          <w:rFonts w:ascii="Calibri" w:cs="Calibri" w:eastAsia="Calibri" w:hAnsi="Calibri"/>
          <w:sz w:val="22"/>
          <w:szCs w:val="22"/>
        </w:rPr>
        <w:t xml:space="preserve">un túnel IPsec/IKEv2 desde el firewall de cada sitio, que permite a los servidores y a los usuarios en oficina alcanzar los recursos de Azure de forma privada.</w:t>
      </w:r>
    </w:p>
    <w:p>
      <w:pPr>
        <w:pStyle w:val="ListParagraph"/>
        <w:numPr>
          <w:ilvl w:val="0"/>
          <w:numId w:val="2"/>
        </w:numPr>
        <w:spacing w:after="60"/>
      </w:pPr>
      <w:r>
        <w:rPr>
          <w:rFonts w:ascii="Calibri" w:cs="Calibri" w:eastAsia="Calibri" w:hAnsi="Calibri"/>
          <w:b/>
          <w:bCs/>
          <w:sz w:val="22"/>
          <w:szCs w:val="22"/>
        </w:rPr>
        <w:t xml:space="preserve">Punto a sitio (P2S): </w:t>
      </w:r>
      <w:r>
        <w:rPr>
          <w:rFonts w:ascii="Calibri" w:cs="Calibri" w:eastAsia="Calibri" w:hAnsi="Calibri"/>
          <w:sz w:val="22"/>
          <w:szCs w:val="22"/>
        </w:rPr>
        <w:t xml:space="preserve">los usuarios fuera de oficina se conectan con Azure VPN Client (OpenVPN) autenticándose con su cuenta Entra ID y MFA. Desde la VPN acceden a Azure Files y, a través de los túneles S2S, a los servidores locales según sus permisos.</w:t>
      </w:r>
    </w:p>
    <w:p>
      <w:pPr>
        <w:spacing w:after="120" w:line="276"/>
        <w:jc w:val="both"/>
      </w:pPr>
      <w:r>
        <w:rPr>
          <w:rFonts w:ascii="Calibri" w:cs="Calibri" w:eastAsia="Calibri" w:hAnsi="Calibri"/>
          <w:sz w:val="22"/>
          <w:szCs w:val="22"/>
        </w:rPr>
        <w:t xml:space="preserve">El acceso a Azure Files se realiza a través de un Private Endpoint, por lo que el tráfico SMB (puerto 445) nunca se expone a Internet. La resolución de nombres privada se resolverá mediante una zona DNS en el controlador de dominio local (reenvío condicional para privatelink.file.core.windows.net).</w:t>
      </w:r>
    </w:p>
    <w:p>
      <w:pPr>
        <w:pStyle w:val="Heading2"/>
      </w:pPr>
      <w:r>
        <w:rPr>
          <w:rFonts w:ascii="Calibri" w:cs="Calibri" w:eastAsia="Calibri" w:hAnsi="Calibri"/>
        </w:rPr>
        <w:t xml:space="preserve">4.3 Almacenamiento híbrido con Azure File Sync</w:t>
      </w:r>
    </w:p>
    <w:p>
      <w:pPr>
        <w:spacing w:after="120" w:line="276"/>
        <w:jc w:val="both"/>
      </w:pPr>
      <w:r>
        <w:rPr>
          <w:rFonts w:ascii="Calibri" w:cs="Calibri" w:eastAsia="Calibri" w:hAnsi="Calibri"/>
          <w:sz w:val="22"/>
          <w:szCs w:val="22"/>
        </w:rPr>
        <w:t xml:space="preserve">Para resolver la falta de espacio, los recursos compartidos de archivos de cada servidor se sincronizarán con Azure Files mediante Azure File Sync. Cada servidor mantiene una caché local con los archivos de uso frecuente y, con cloud tiering, los archivos poco usados quedan en Azure como marcadores que se descargan de forma transparente cuando alguien los abre. Así:</w:t>
      </w:r>
    </w:p>
    <w:p>
      <w:pPr>
        <w:pStyle w:val="ListParagraph"/>
        <w:numPr>
          <w:ilvl w:val="0"/>
          <w:numId w:val="2"/>
        </w:numPr>
        <w:spacing w:after="60"/>
      </w:pPr>
      <w:r>
        <w:rPr>
          <w:rFonts w:ascii="Calibri" w:cs="Calibri" w:eastAsia="Calibri" w:hAnsi="Calibri"/>
          <w:sz w:val="22"/>
          <w:szCs w:val="22"/>
        </w:rPr>
        <w:t xml:space="preserve">Los usuarios siguen trabajando con las mismas rutas y unidades de red.</w:t>
      </w:r>
    </w:p>
    <w:p>
      <w:pPr>
        <w:pStyle w:val="ListParagraph"/>
        <w:numPr>
          <w:ilvl w:val="0"/>
          <w:numId w:val="2"/>
        </w:numPr>
        <w:spacing w:after="60"/>
      </w:pPr>
      <w:r>
        <w:rPr>
          <w:rFonts w:ascii="Calibri" w:cs="Calibri" w:eastAsia="Calibri" w:hAnsi="Calibri"/>
          <w:sz w:val="22"/>
          <w:szCs w:val="22"/>
        </w:rPr>
        <w:t xml:space="preserve">El servidor libera espacio automáticamente según una política de volumen libre (p. ej. mantener 30 % libre) y de antigüedad de acceso.</w:t>
      </w:r>
    </w:p>
    <w:p>
      <w:pPr>
        <w:pStyle w:val="ListParagraph"/>
        <w:numPr>
          <w:ilvl w:val="0"/>
          <w:numId w:val="2"/>
        </w:numPr>
        <w:spacing w:after="60"/>
      </w:pPr>
      <w:r>
        <w:rPr>
          <w:rFonts w:ascii="Calibri" w:cs="Calibri" w:eastAsia="Calibri" w:hAnsi="Calibri"/>
          <w:sz w:val="22"/>
          <w:szCs w:val="22"/>
        </w:rPr>
        <w:t xml:space="preserve">Opcionalmente, un mismo recurso compartido puede sincronizarse entre la oficina y el segundo sitio para colaboración multisitio.</w:t>
      </w:r>
    </w:p>
    <w:p>
      <w:pPr>
        <w:pStyle w:val="ListParagraph"/>
        <w:numPr>
          <w:ilvl w:val="0"/>
          <w:numId w:val="2"/>
        </w:numPr>
        <w:spacing w:after="60"/>
      </w:pPr>
      <w:r>
        <w:rPr>
          <w:rFonts w:ascii="Calibri" w:cs="Calibri" w:eastAsia="Calibri" w:hAnsi="Calibri"/>
          <w:sz w:val="22"/>
          <w:szCs w:val="22"/>
        </w:rPr>
        <w:t xml:space="preserve">Ante la falla de un servidor, se puede instalar uno nuevo y recuperar el espacio de nombres completo en minutos, con descarga bajo demanda del contenido.</w:t>
      </w:r>
    </w:p>
    <w:p>
      <w:pPr>
        <w:pStyle w:val="Heading2"/>
      </w:pPr>
      <w:r>
        <w:rPr>
          <w:rFonts w:ascii="Calibri" w:cs="Calibri" w:eastAsia="Calibri" w:hAnsi="Calibri"/>
        </w:rPr>
        <w:t xml:space="preserve">4.4 Respaldo en la nube</w:t>
      </w:r>
    </w:p>
    <w:p>
      <w:pPr>
        <w:spacing w:after="120" w:line="276"/>
        <w:jc w:val="both"/>
      </w:pPr>
      <w:r>
        <w:rPr>
          <w:rFonts w:ascii="Calibri" w:cs="Calibri" w:eastAsia="Calibri" w:hAnsi="Calibri"/>
          <w:sz w:val="22"/>
          <w:szCs w:val="22"/>
        </w:rPr>
        <w:t xml:space="preserve">La protección se divide en dos capas complementarias, siguiendo las recomendaciones de Microsoft para entornos con cloud tiering (los archivos en la nube no se respaldan desde el servidor para evitar descargas masivas):</w:t>
      </w:r>
    </w:p>
    <w:p>
      <w:pPr>
        <w:pStyle w:val="ListParagraph"/>
        <w:numPr>
          <w:ilvl w:val="0"/>
          <w:numId w:val="2"/>
        </w:numPr>
        <w:spacing w:after="60"/>
      </w:pPr>
      <w:r>
        <w:rPr>
          <w:rFonts w:ascii="Calibri" w:cs="Calibri" w:eastAsia="Calibri" w:hAnsi="Calibri"/>
          <w:b/>
          <w:bCs/>
          <w:sz w:val="22"/>
          <w:szCs w:val="22"/>
        </w:rPr>
        <w:t xml:space="preserve">Azure Backup para Azure Files (vaulted): </w:t>
      </w:r>
      <w:r>
        <w:rPr>
          <w:rFonts w:ascii="Calibri" w:cs="Calibri" w:eastAsia="Calibri" w:hAnsi="Calibri"/>
          <w:sz w:val="22"/>
          <w:szCs w:val="22"/>
        </w:rPr>
        <w:t xml:space="preserve">respaldo diario de los recursos compartidos hacia el Recovery Services Vault, aislado de la cuenta de almacenamiento (protección contra ransomware y borrado accidental), más snapshots operativos para restauraciones rápidas de archivos individuales.</w:t>
      </w:r>
    </w:p>
    <w:p>
      <w:pPr>
        <w:pStyle w:val="ListParagraph"/>
        <w:numPr>
          <w:ilvl w:val="0"/>
          <w:numId w:val="2"/>
        </w:numPr>
        <w:spacing w:after="60"/>
      </w:pPr>
      <w:r>
        <w:rPr>
          <w:rFonts w:ascii="Calibri" w:cs="Calibri" w:eastAsia="Calibri" w:hAnsi="Calibri"/>
          <w:b/>
          <w:bCs/>
          <w:sz w:val="22"/>
          <w:szCs w:val="22"/>
        </w:rPr>
        <w:t xml:space="preserve">Agente MARS en cada servidor: </w:t>
      </w:r>
      <w:r>
        <w:rPr>
          <w:rFonts w:ascii="Calibri" w:cs="Calibri" w:eastAsia="Calibri" w:hAnsi="Calibri"/>
          <w:sz w:val="22"/>
          <w:szCs w:val="22"/>
        </w:rPr>
        <w:t xml:space="preserve">respaldo diario del estado del sistema y de los datos no sincronizados (aplicaciones, bases de datos locales, otros volúmenes), cifrado con AES-256 con frase de contraseña resguardada por el cliente.</w:t>
      </w:r>
    </w:p>
    <w:p>
      <w:pPr>
        <w:spacing w:after="120" w:line="276"/>
        <w:jc w:val="both"/>
      </w:pPr>
      <w:r>
        <w:rPr>
          <w:rFonts w:ascii="Calibri" w:cs="Calibri" w:eastAsia="Calibri" w:hAnsi="Calibri"/>
          <w:sz w:val="22"/>
          <w:szCs w:val="22"/>
        </w:rPr>
        <w:t xml:space="preserve">El almacén se configura con redundancia de zona (ZRS), eliminación temporal (soft delete) de 14 días y autorización multiusuario opcional para operaciones críticas. Política propuesta: diaria con retención de 30 días, semanal 12 semanas y mensual 12 meses (ajustable en el diseño detallado).</w:t>
      </w:r>
    </w:p>
    <w:p>
      <w:pPr>
        <w:pStyle w:val="Heading2"/>
      </w:pPr>
      <w:r>
        <w:rPr>
          <w:rFonts w:ascii="Calibri" w:cs="Calibri" w:eastAsia="Calibri" w:hAnsi="Calibri"/>
        </w:rPr>
        <w:t xml:space="preserve">4.5 Seguridad, monitoreo y gobierno</w:t>
      </w:r>
    </w:p>
    <w:p>
      <w:pPr>
        <w:pStyle w:val="ListParagraph"/>
        <w:numPr>
          <w:ilvl w:val="0"/>
          <w:numId w:val="2"/>
        </w:numPr>
        <w:spacing w:after="60"/>
      </w:pPr>
      <w:r>
        <w:rPr>
          <w:rFonts w:ascii="Calibri" w:cs="Calibri" w:eastAsia="Calibri" w:hAnsi="Calibri"/>
          <w:sz w:val="22"/>
          <w:szCs w:val="22"/>
        </w:rPr>
        <w:t xml:space="preserve">Los servidores se integran a Azure mediante Azure Arc, lo que permite aplicar Microsoft Defender for Servers P1 (EDR), inventario y políticas desde el portal de Azure.</w:t>
      </w:r>
    </w:p>
    <w:p>
      <w:pPr>
        <w:pStyle w:val="ListParagraph"/>
        <w:numPr>
          <w:ilvl w:val="0"/>
          <w:numId w:val="2"/>
        </w:numPr>
        <w:spacing w:after="60"/>
      </w:pPr>
      <w:r>
        <w:rPr>
          <w:rFonts w:ascii="Calibri" w:cs="Calibri" w:eastAsia="Calibri" w:hAnsi="Calibri"/>
          <w:sz w:val="22"/>
          <w:szCs w:val="22"/>
        </w:rPr>
        <w:t xml:space="preserve">Azure Monitor y Log Analytics centralizan alertas de respaldos fallidos, errores de sincronización, estado de la VPN y consumo.</w:t>
      </w:r>
    </w:p>
    <w:p>
      <w:pPr>
        <w:pStyle w:val="ListParagraph"/>
        <w:numPr>
          <w:ilvl w:val="0"/>
          <w:numId w:val="2"/>
        </w:numPr>
        <w:spacing w:after="60"/>
      </w:pPr>
      <w:r>
        <w:rPr>
          <w:rFonts w:ascii="Calibri" w:cs="Calibri" w:eastAsia="Calibri" w:hAnsi="Calibri"/>
          <w:sz w:val="22"/>
          <w:szCs w:val="22"/>
        </w:rPr>
        <w:t xml:space="preserve">Azure Policy, etiquetas y presupuestos con alertas de costo al 80 % y 100 % del monto mensual estimado.</w:t>
      </w:r>
    </w:p>
    <w:p>
      <w:pPr>
        <w:pStyle w:val="Heading1"/>
        <w:pageBreakBefore/>
      </w:pPr>
      <w:r>
        <w:rPr>
          <w:rFonts w:ascii="Calibri" w:cs="Calibri" w:eastAsia="Calibri" w:hAnsi="Calibri"/>
        </w:rPr>
        <w:t xml:space="preserve">5. Requerimientos técnicos y humanos</w:t>
      </w:r>
    </w:p>
    <w:p>
      <w:pPr>
        <w:pStyle w:val="Heading2"/>
      </w:pPr>
      <w:r>
        <w:rPr>
          <w:rFonts w:ascii="Calibri" w:cs="Calibri" w:eastAsia="Calibri" w:hAnsi="Calibri"/>
        </w:rPr>
        <w:t xml:space="preserve">5.1 Requerimientos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Ámbito</w:t>
            </w:r>
          </w:p>
        </w:tc>
        <w:tc>
          <w:tcPr>
            <w:tcW w:type="dxa" w:w="74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Requerimiento</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Servidores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Windows Server 2016 o superior (compatible con Azure File Sync y MARS), volúmenes NTFS, .NET Framework 4.7.2+, PowerShell 5.1+, ≥ 2 GB de RAM libres para agentes</w:t>
            </w:r>
          </w:p>
        </w:tc>
      </w:tr>
      <w:t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Espacio local</w:t>
            </w:r>
          </w:p>
        </w:tc>
        <w:tc>
          <w:tcPr>
            <w:tcW w:type="dxa" w:w="74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Al menos 20 % libre en el volumen de caché para la operación inicial de cloud tiering y ~5–10 % para la carpeta temporal de MARS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Directorio</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Active Directory Domain Services operativo, con sufijo UPN enrutable (dominio público verificado) para la sincronización con Entra ID</w:t>
            </w:r>
          </w:p>
        </w:tc>
      </w:tr>
      <w:t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Red en cada sitio</w:t>
            </w:r>
          </w:p>
        </w:tc>
        <w:tc>
          <w:tcPr>
            <w:tcW w:type="dxa" w:w="74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IP pública fija; firewall/router compatible con IPsec IKEv2 (políticas personalizadas); segmentos de red sin traslape con 10.50.0.0/22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Ancho de banda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Recomendado ≥ 20 Mbps de subida por sitio. Con 2 TB de siembra inicial y 50 Mbps, la carga toma ~4 días; se programará fuera de horario</w:t>
            </w:r>
          </w:p>
        </w:tc>
      </w:tr>
      <w:t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Puertos de salida</w:t>
            </w:r>
          </w:p>
        </w:tc>
        <w:tc>
          <w:tcPr>
            <w:tcW w:type="dxa" w:w="74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HTTPS 443 hacia los endpoints de Azure (Backup, File Sync, Arc, Monitor); UDP 500/4500 para IPsec</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Equipos de usuario</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Windows 10/11 o macOS con Azure VPN Client; Microsoft Authenticator en el teléfono para MFA</w:t>
            </w:r>
          </w:p>
        </w:tc>
      </w:tr>
      <w:t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Nube</w:t>
            </w:r>
          </w:p>
        </w:tc>
        <w:tc>
          <w:tcPr>
            <w:tcW w:type="dxa" w:w="74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Suscripción Azure a nombre del cliente (modelo CSP o pago por uso) y una cuenta con rol Administrador Global para la configuración inicial</w:t>
            </w:r>
          </w:p>
        </w:tc>
      </w:tr>
    </w:tbl>
    <w:p>
      <w:pPr>
        <w:pStyle w:val="Heading2"/>
      </w:pPr>
      <w:r>
        <w:rPr>
          <w:rFonts w:ascii="Calibri" w:cs="Calibri" w:eastAsia="Calibri" w:hAnsi="Calibri"/>
        </w:rPr>
        <w:t xml:space="preserve">5.2 Requerimientos humanos</w:t>
      </w:r>
    </w:p>
    <w:p>
      <w:pPr>
        <w:spacing w:after="120" w:line="276"/>
        <w:jc w:val="both"/>
      </w:pPr>
      <w:r>
        <w:rPr>
          <w:rFonts w:ascii="Calibri" w:cs="Calibri" w:eastAsia="Calibri" w:hAnsi="Calibri"/>
          <w:b/>
          <w:bCs/>
          <w:sz w:val="22"/>
          <w:szCs w:val="22"/>
        </w:rPr>
        <w:t xml:space="preserve">Por parte del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rPr>
          <w:tblHeader/>
        </w:trPr>
        <w:tc>
          <w:tcPr>
            <w:tcW w:type="dxa" w:w="28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w:t>
            </w:r>
          </w:p>
        </w:tc>
        <w:tc>
          <w:tcPr>
            <w:tcW w:type="dxa" w:w="49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Responsabilidad</w:t>
            </w:r>
          </w:p>
        </w:tc>
        <w:tc>
          <w:tcPr>
            <w:tcW w:type="dxa" w:w="16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Dedicación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Líder de proyecto</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Planeación, seguimiento semanal, control de cambios y riesgos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Parcial</w:t>
            </w:r>
          </w:p>
        </w:tc>
      </w:tr>
      <w:t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Arquitecto de soluciones Azure</w:t>
            </w:r>
          </w:p>
        </w:tc>
        <w:tc>
          <w:tcPr>
            <w:tcW w:type="dxa" w:w="4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Diseño detallado, conectividad, gobierno y aseguramiento de calidad</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Parcial</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Ingeniero de infraestructura Azure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Implementación de VPN, Azure Files, File Sync, Backup y monitoreo</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Principal</w:t>
            </w:r>
          </w:p>
        </w:tc>
      </w:tr>
      <w:t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Especialista en identidad y seguridad</w:t>
            </w:r>
          </w:p>
        </w:tc>
        <w:tc>
          <w:tcPr>
            <w:tcW w:type="dxa" w:w="4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Entra Connect, MFA, Acceso Condicional, Defender y matriz de accesos</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Parcial</w:t>
            </w:r>
          </w:p>
        </w:tc>
      </w:tr>
    </w:tbl>
    <w:p>
      <w:pPr>
        <w:spacing w:after="80"/>
      </w:pPr>
    </w:p>
    <w:p>
      <w:pPr>
        <w:spacing w:after="120" w:line="276"/>
        <w:jc w:val="both"/>
      </w:pPr>
      <w:r>
        <w:rPr>
          <w:rFonts w:ascii="Calibri" w:cs="Calibri" w:eastAsia="Calibri" w:hAnsi="Calibri"/>
          <w:b/>
          <w:bCs/>
          <w:sz w:val="22"/>
          <w:szCs w:val="22"/>
        </w:rPr>
        <w:t xml:space="preserve">Por parte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w:t>
            </w:r>
          </w:p>
        </w:tc>
        <w:tc>
          <w:tcPr>
            <w:tcW w:type="dxa" w:w="59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Responsabilidad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Patrocinador (Felipe Avendaño)</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Toma de decisiones, aprobación de entregables y cambios</w:t>
            </w:r>
          </w:p>
        </w:tc>
      </w:tr>
      <w:tr>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Responsable de TI / contacto técnico</w:t>
            </w:r>
          </w:p>
        </w:tc>
        <w:tc>
          <w:tcPr>
            <w:tcW w:type="dxa" w:w="5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Accesos administrativos a servidores, AD y firewall; ventanas de mantenimiento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Responsable de información por área</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Validar la matriz de usuarios, roles y permisos; pruebas de aceptación</w:t>
            </w:r>
          </w:p>
        </w:tc>
      </w:tr>
      <w:tr>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Proveedor de Internet / red (si aplica)</w:t>
            </w:r>
          </w:p>
        </w:tc>
        <w:tc>
          <w:tcPr>
            <w:tcW w:type="dxa" w:w="5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Configuración del lado local de los túneles IPsec y apertura de puertos</w:t>
            </w:r>
          </w:p>
        </w:tc>
      </w:tr>
    </w:tbl>
    <w:p>
      <w:pPr>
        <w:pStyle w:val="Heading1"/>
        <w:pageBreakBefore/>
      </w:pPr>
      <w:r>
        <w:rPr>
          <w:rFonts w:ascii="Calibri" w:cs="Calibri" w:eastAsia="Calibri" w:hAnsi="Calibri"/>
        </w:rPr>
        <w:t xml:space="preserve">6. Alcances</w:t>
      </w:r>
    </w:p>
    <w:p>
      <w:pPr>
        <w:spacing w:after="120" w:line="276"/>
        <w:jc w:val="both"/>
      </w:pPr>
      <w:r>
        <w:rPr>
          <w:rFonts w:ascii="Calibri" w:cs="Calibri" w:eastAsia="Calibri" w:hAnsi="Calibri"/>
          <w:sz w:val="22"/>
          <w:szCs w:val="22"/>
        </w:rPr>
        <w:t xml:space="preserve">Los servicios profesionales incluidos en esta propuesta son:</w:t>
      </w:r>
    </w:p>
    <w:p>
      <w:pPr>
        <w:pStyle w:val="ListParagraph"/>
        <w:numPr>
          <w:ilvl w:val="0"/>
          <w:numId w:val="4"/>
        </w:numPr>
        <w:spacing w:after="60"/>
      </w:pPr>
      <w:r>
        <w:rPr>
          <w:rFonts w:ascii="Calibri" w:cs="Calibri" w:eastAsia="Calibri" w:hAnsi="Calibri"/>
          <w:sz w:val="22"/>
          <w:szCs w:val="22"/>
        </w:rPr>
        <w:t xml:space="preserve">Levantamiento complementario y diseño detallado (LLD) de la solución, incluyendo direccionamiento, nomenclatura, políticas de respaldo y matriz de accesos.</w:t>
      </w:r>
    </w:p>
    <w:p>
      <w:pPr>
        <w:pStyle w:val="ListParagraph"/>
        <w:numPr>
          <w:ilvl w:val="0"/>
          <w:numId w:val="4"/>
        </w:numPr>
        <w:spacing w:after="60"/>
      </w:pPr>
      <w:r>
        <w:rPr>
          <w:rFonts w:ascii="Calibri" w:cs="Calibri" w:eastAsia="Calibri" w:hAnsi="Calibri"/>
          <w:sz w:val="22"/>
          <w:szCs w:val="22"/>
        </w:rPr>
        <w:t xml:space="preserve">Aprovisionamiento de la fundación Azure: grupos de recursos, red virtual, RBAC, Azure Policy, etiquetas y presupuestos con alertas.</w:t>
      </w:r>
    </w:p>
    <w:p>
      <w:pPr>
        <w:pStyle w:val="ListParagraph"/>
        <w:numPr>
          <w:ilvl w:val="0"/>
          <w:numId w:val="4"/>
        </w:numPr>
        <w:spacing w:after="60"/>
      </w:pPr>
      <w:r>
        <w:rPr>
          <w:rFonts w:ascii="Calibri" w:cs="Calibri" w:eastAsia="Calibri" w:hAnsi="Calibri"/>
          <w:sz w:val="22"/>
          <w:szCs w:val="22"/>
        </w:rPr>
        <w:t xml:space="preserve">Instalación y configuración de Entra Connect Sync para hasta 20 usuarios; creación de grupos por rol, MFA y hasta 3 políticas de Acceso Condicional.</w:t>
      </w:r>
    </w:p>
    <w:p>
      <w:pPr>
        <w:pStyle w:val="ListParagraph"/>
        <w:numPr>
          <w:ilvl w:val="0"/>
          <w:numId w:val="4"/>
        </w:numPr>
        <w:spacing w:after="60"/>
      </w:pPr>
      <w:r>
        <w:rPr>
          <w:rFonts w:ascii="Calibri" w:cs="Calibri" w:eastAsia="Calibri" w:hAnsi="Calibri"/>
          <w:sz w:val="22"/>
          <w:szCs w:val="22"/>
        </w:rPr>
        <w:t xml:space="preserve">Despliegue del VPN Gateway, configuración de 2 túneles sitio a sitio y de la VPN punto a sitio con autenticación Entra ID; configuración del cliente VPN en hasta 20 equipos (guiada / remota).</w:t>
      </w:r>
    </w:p>
    <w:p>
      <w:pPr>
        <w:pStyle w:val="ListParagraph"/>
        <w:numPr>
          <w:ilvl w:val="0"/>
          <w:numId w:val="4"/>
        </w:numPr>
        <w:spacing w:after="60"/>
      </w:pPr>
      <w:r>
        <w:rPr>
          <w:rFonts w:ascii="Calibri" w:cs="Calibri" w:eastAsia="Calibri" w:hAnsi="Calibri"/>
          <w:sz w:val="22"/>
          <w:szCs w:val="22"/>
        </w:rPr>
        <w:t xml:space="preserve">Creación de la cuenta de almacenamiento, recursos compartidos de Azure Files (hasta 4), Private Endpoint y resolución DNS privada.</w:t>
      </w:r>
    </w:p>
    <w:p>
      <w:pPr>
        <w:pStyle w:val="ListParagraph"/>
        <w:numPr>
          <w:ilvl w:val="0"/>
          <w:numId w:val="4"/>
        </w:numPr>
        <w:spacing w:after="60"/>
      </w:pPr>
      <w:r>
        <w:rPr>
          <w:rFonts w:ascii="Calibri" w:cs="Calibri" w:eastAsia="Calibri" w:hAnsi="Calibri"/>
          <w:sz w:val="22"/>
          <w:szCs w:val="22"/>
        </w:rPr>
        <w:t xml:space="preserve">Implementación de Azure File Sync en los 2 servidores, políticas de cloud tiering y siembra inicial de hasta 2 TB.</w:t>
      </w:r>
    </w:p>
    <w:p>
      <w:pPr>
        <w:pStyle w:val="ListParagraph"/>
        <w:numPr>
          <w:ilvl w:val="0"/>
          <w:numId w:val="4"/>
        </w:numPr>
        <w:spacing w:after="60"/>
      </w:pPr>
      <w:r>
        <w:rPr>
          <w:rFonts w:ascii="Calibri" w:cs="Calibri" w:eastAsia="Calibri" w:hAnsi="Calibri"/>
          <w:sz w:val="22"/>
          <w:szCs w:val="22"/>
        </w:rPr>
        <w:t xml:space="preserve">Configuración del Recovery Services Vault, instalación del agente MARS en los 2 servidores, respaldo de Azure Files y políticas de retención.</w:t>
      </w:r>
    </w:p>
    <w:p>
      <w:pPr>
        <w:pStyle w:val="ListParagraph"/>
        <w:numPr>
          <w:ilvl w:val="0"/>
          <w:numId w:val="4"/>
        </w:numPr>
        <w:spacing w:after="60"/>
      </w:pPr>
      <w:r>
        <w:rPr>
          <w:rFonts w:ascii="Calibri" w:cs="Calibri" w:eastAsia="Calibri" w:hAnsi="Calibri"/>
          <w:sz w:val="22"/>
          <w:szCs w:val="22"/>
        </w:rPr>
        <w:t xml:space="preserve">Integración de los 2 servidores con Azure Arc, activación de Defender for Servers P1, alertas y un tablero de operación.</w:t>
      </w:r>
    </w:p>
    <w:p>
      <w:pPr>
        <w:pStyle w:val="ListParagraph"/>
        <w:numPr>
          <w:ilvl w:val="0"/>
          <w:numId w:val="4"/>
        </w:numPr>
        <w:spacing w:after="60"/>
      </w:pPr>
      <w:r>
        <w:rPr>
          <w:rFonts w:ascii="Calibri" w:cs="Calibri" w:eastAsia="Calibri" w:hAnsi="Calibri"/>
          <w:sz w:val="22"/>
          <w:szCs w:val="22"/>
        </w:rPr>
        <w:t xml:space="preserve">Pruebas de restauración (archivo, carpeta, estado del sistema) y pruebas de acceso por perfil.</w:t>
      </w:r>
    </w:p>
    <w:p>
      <w:pPr>
        <w:pStyle w:val="ListParagraph"/>
        <w:numPr>
          <w:ilvl w:val="0"/>
          <w:numId w:val="4"/>
        </w:numPr>
        <w:spacing w:after="60"/>
      </w:pPr>
      <w:r>
        <w:rPr>
          <w:rFonts w:ascii="Calibri" w:cs="Calibri" w:eastAsia="Calibri" w:hAnsi="Calibri"/>
          <w:sz w:val="22"/>
          <w:szCs w:val="22"/>
        </w:rPr>
        <w:t xml:space="preserve">Entregables: memoria técnica, diagrama final, matriz de accesos, runbooks de operación y recuperación, y 2 sesiones de capacitación (administradores y usuarios, 2 h c/u).</w:t>
      </w:r>
    </w:p>
    <w:p>
      <w:pPr>
        <w:pStyle w:val="ListParagraph"/>
        <w:numPr>
          <w:ilvl w:val="0"/>
          <w:numId w:val="4"/>
        </w:numPr>
        <w:spacing w:after="60"/>
      </w:pPr>
      <w:r>
        <w:rPr>
          <w:rFonts w:ascii="Calibri" w:cs="Calibri" w:eastAsia="Calibri" w:hAnsi="Calibri"/>
          <w:sz w:val="22"/>
          <w:szCs w:val="22"/>
        </w:rPr>
        <w:t xml:space="preserve">Soporte post-implementación (hypercare) de 2 semanas para incidentes relacionados con lo implementado.</w:t>
      </w:r>
    </w:p>
    <w:p>
      <w:pPr>
        <w:pStyle w:val="Heading1"/>
        <w:pageBreakBefore/>
      </w:pPr>
      <w:r>
        <w:rPr>
          <w:rFonts w:ascii="Calibri" w:cs="Calibri" w:eastAsia="Calibri" w:hAnsi="Calibri"/>
        </w:rPr>
        <w:t xml:space="preserve">7. Fuera de alcance</w:t>
      </w:r>
    </w:p>
    <w:p>
      <w:pPr>
        <w:pStyle w:val="ListParagraph"/>
        <w:numPr>
          <w:ilvl w:val="0"/>
          <w:numId w:val="2"/>
        </w:numPr>
        <w:spacing w:after="60"/>
      </w:pPr>
      <w:r>
        <w:rPr>
          <w:rFonts w:ascii="Calibri" w:cs="Calibri" w:eastAsia="Calibri" w:hAnsi="Calibri"/>
          <w:sz w:val="22"/>
          <w:szCs w:val="22"/>
        </w:rPr>
        <w:t xml:space="preserve">Migración, retiro o reemplazo de los servidores locales o de sus aplicaciones.</w:t>
      </w:r>
    </w:p>
    <w:p>
      <w:pPr>
        <w:pStyle w:val="ListParagraph"/>
        <w:numPr>
          <w:ilvl w:val="0"/>
          <w:numId w:val="2"/>
        </w:numPr>
        <w:spacing w:after="60"/>
      </w:pPr>
      <w:r>
        <w:rPr>
          <w:rFonts w:ascii="Calibri" w:cs="Calibri" w:eastAsia="Calibri" w:hAnsi="Calibri"/>
          <w:sz w:val="22"/>
          <w:szCs w:val="22"/>
        </w:rPr>
        <w:t xml:space="preserve">Adquisición, configuración o reemplazo de hardware (servidores, discos, firewalls, routers) y contratación de enlaces de Internet.</w:t>
      </w:r>
    </w:p>
    <w:p>
      <w:pPr>
        <w:pStyle w:val="ListParagraph"/>
        <w:numPr>
          <w:ilvl w:val="0"/>
          <w:numId w:val="2"/>
        </w:numPr>
        <w:spacing w:after="60"/>
      </w:pPr>
      <w:r>
        <w:rPr>
          <w:rFonts w:ascii="Calibri" w:cs="Calibri" w:eastAsia="Calibri" w:hAnsi="Calibri"/>
          <w:sz w:val="22"/>
          <w:szCs w:val="22"/>
        </w:rPr>
        <w:t xml:space="preserve">Corrección de problemas preexistentes en Active Directory, DNS, sistema operativo o permisos que requieran rediseño mayor.</w:t>
      </w:r>
    </w:p>
    <w:p>
      <w:pPr>
        <w:pStyle w:val="ListParagraph"/>
        <w:numPr>
          <w:ilvl w:val="0"/>
          <w:numId w:val="2"/>
        </w:numPr>
        <w:spacing w:after="60"/>
      </w:pPr>
      <w:r>
        <w:rPr>
          <w:rFonts w:ascii="Calibri" w:cs="Calibri" w:eastAsia="Calibri" w:hAnsi="Calibri"/>
          <w:sz w:val="22"/>
          <w:szCs w:val="22"/>
        </w:rPr>
        <w:t xml:space="preserve">Actualización de versiones de Windows Server o de aplicaciones de terceros.</w:t>
      </w:r>
    </w:p>
    <w:p>
      <w:pPr>
        <w:pStyle w:val="ListParagraph"/>
        <w:numPr>
          <w:ilvl w:val="0"/>
          <w:numId w:val="2"/>
        </w:numPr>
        <w:spacing w:after="60"/>
      </w:pPr>
      <w:r>
        <w:rPr>
          <w:rFonts w:ascii="Calibri" w:cs="Calibri" w:eastAsia="Calibri" w:hAnsi="Calibri"/>
          <w:sz w:val="22"/>
          <w:szCs w:val="22"/>
        </w:rPr>
        <w:t xml:space="preserve">Respaldo de aplicaciones especializadas (p. ej. SQL Server con consistencia de aplicación, ERP) más allá de su respaldo a nivel archivo/estado del sistema.</w:t>
      </w:r>
    </w:p>
    <w:p>
      <w:pPr>
        <w:pStyle w:val="ListParagraph"/>
        <w:numPr>
          <w:ilvl w:val="0"/>
          <w:numId w:val="2"/>
        </w:numPr>
        <w:spacing w:after="60"/>
      </w:pPr>
      <w:r>
        <w:rPr>
          <w:rFonts w:ascii="Calibri" w:cs="Calibri" w:eastAsia="Calibri" w:hAnsi="Calibri"/>
          <w:sz w:val="22"/>
          <w:szCs w:val="22"/>
        </w:rPr>
        <w:t xml:space="preserve">Migración de correo, Microsoft 365, Teams o SharePoint.</w:t>
      </w:r>
    </w:p>
    <w:p>
      <w:pPr>
        <w:pStyle w:val="ListParagraph"/>
        <w:numPr>
          <w:ilvl w:val="0"/>
          <w:numId w:val="2"/>
        </w:numPr>
        <w:spacing w:after="60"/>
      </w:pPr>
      <w:r>
        <w:rPr>
          <w:rFonts w:ascii="Calibri" w:cs="Calibri" w:eastAsia="Calibri" w:hAnsi="Calibri"/>
          <w:sz w:val="22"/>
          <w:szCs w:val="22"/>
        </w:rPr>
        <w:t xml:space="preserve">Plan de recuperación ante desastres con réplica de máquinas virtuales (Azure Site Recovery) y ejecución de simulacros de DR completos.</w:t>
      </w:r>
    </w:p>
    <w:p>
      <w:pPr>
        <w:pStyle w:val="ListParagraph"/>
        <w:numPr>
          <w:ilvl w:val="0"/>
          <w:numId w:val="2"/>
        </w:numPr>
        <w:spacing w:after="60"/>
      </w:pPr>
      <w:r>
        <w:rPr>
          <w:rFonts w:ascii="Calibri" w:cs="Calibri" w:eastAsia="Calibri" w:hAnsi="Calibri"/>
          <w:sz w:val="22"/>
          <w:szCs w:val="22"/>
        </w:rPr>
        <w:t xml:space="preserve">Configuración de equipos personales más allá del cliente VPN y MFA; soporte a usuario final posterior al hypercare.</w:t>
      </w:r>
    </w:p>
    <w:p>
      <w:pPr>
        <w:pStyle w:val="ListParagraph"/>
        <w:numPr>
          <w:ilvl w:val="0"/>
          <w:numId w:val="2"/>
        </w:numPr>
        <w:spacing w:after="60"/>
      </w:pPr>
      <w:r>
        <w:rPr>
          <w:rFonts w:ascii="Calibri" w:cs="Calibri" w:eastAsia="Calibri" w:hAnsi="Calibri"/>
          <w:sz w:val="22"/>
          <w:szCs w:val="22"/>
        </w:rPr>
        <w:t xml:space="preserve">Costo de consumo de Azure y de licencias Microsoft (se cotizan por separado en las secciones 8, 10 y 12).</w:t>
      </w:r>
    </w:p>
    <w:p>
      <w:pPr>
        <w:pStyle w:val="ListParagraph"/>
        <w:numPr>
          <w:ilvl w:val="0"/>
          <w:numId w:val="2"/>
        </w:numPr>
        <w:spacing w:after="60"/>
      </w:pPr>
      <w:r>
        <w:rPr>
          <w:rFonts w:ascii="Calibri" w:cs="Calibri" w:eastAsia="Calibri" w:hAnsi="Calibri"/>
          <w:sz w:val="22"/>
          <w:szCs w:val="22"/>
        </w:rPr>
        <w:t xml:space="preserve">Administración, monitoreo u operación continua posterior a la entrega (disponible como servicio administrado opcional).</w:t>
      </w:r>
    </w:p>
    <w:p>
      <w:pPr>
        <w:pStyle w:val="Heading1"/>
        <w:pageBreakBefore/>
      </w:pPr>
      <w:r>
        <w:rPr>
          <w:rFonts w:ascii="Calibri" w:cs="Calibri" w:eastAsia="Calibri" w:hAnsi="Calibri"/>
        </w:rPr>
        <w:t xml:space="preserve">8. Licencias</w:t>
      </w:r>
    </w:p>
    <w:p>
      <w:pPr>
        <w:spacing w:after="120" w:line="276"/>
        <w:jc w:val="both"/>
      </w:pPr>
      <w:r>
        <w:rPr>
          <w:rFonts w:ascii="Calibri" w:cs="Calibri" w:eastAsia="Calibri" w:hAnsi="Calibri"/>
          <w:sz w:val="22"/>
          <w:szCs w:val="22"/>
        </w:rPr>
        <w:t xml:space="preserve">La solución se apoya principalmente en servicios de Azure de pago por consumo, por lo que el requerimiento de licenciamiento es reducido: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2160"/>
        <w:gridCol w:w="1700"/>
        <w:gridCol w:w="1600"/>
      </w:tblGrid>
      <w:tr>
        <w:trPr>
          <w:tblHeader/>
        </w:trPr>
        <w:tc>
          <w:tcPr>
            <w:tcW w:type="dxa" w:w="27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Licencia / servicio</w:t>
            </w:r>
          </w:p>
        </w:tc>
        <w:tc>
          <w:tcPr>
            <w:tcW w:type="dxa" w:w="12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Cantidad</w:t>
            </w:r>
          </w:p>
        </w:tc>
        <w:tc>
          <w:tcPr>
            <w:tcW w:type="dxa" w:w="21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Modelo</w:t>
            </w:r>
          </w:p>
        </w:tc>
        <w:tc>
          <w:tcPr>
            <w:tcW w:type="dxa" w:w="17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Precio de lista (USD)</w:t>
            </w:r>
          </w:p>
        </w:tc>
        <w:tc>
          <w:tcPr>
            <w:tcW w:type="dxa" w:w="16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Mensual (USD)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Microsoft Entra ID P1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20 usuarios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Suscripción anual, pago mensual (CSP)</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$7.00 usuario/mes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US$ 140.00</w:t>
            </w:r>
          </w:p>
        </w:tc>
      </w:tr>
      <w:t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Suscripción Microsoft Azure</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w:t>
            </w:r>
          </w:p>
        </w:tc>
        <w:tc>
          <w:tcPr>
            <w:tcW w:type="dxa" w:w="21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Pago por consumo (CSP o PAYG)</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Según consumo</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Ver sección 10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Windows Server y CALs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Existentes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Propiedad del cliente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Sin costo adicional</w:t>
            </w:r>
          </w:p>
        </w:tc>
      </w:tr>
      <w:t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File Sync, agente MARS, Azure Arc, Azure VPN Client</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21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Incluidos en el consumo de Azure</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Sin costo de licencia</w:t>
            </w:r>
          </w:p>
        </w:tc>
      </w:tr>
    </w:tbl>
    <w:p>
      <w:pPr>
        <w:spacing w:after="80"/>
      </w:pPr>
    </w:p>
    <w:p>
      <w:pPr>
        <w:pStyle w:val="Heading2"/>
      </w:pPr>
      <w:r>
        <w:rPr>
          <w:rFonts w:ascii="Calibri" w:cs="Calibri" w:eastAsia="Calibri" w:hAnsi="Calibri"/>
        </w:rPr>
        <w:t xml:space="preserve">8.1 Alternativa recomendada a evaluar</w:t>
      </w:r>
    </w:p>
    <w:p>
      <w:pPr>
        <w:spacing w:after="120" w:line="276"/>
        <w:jc w:val="both"/>
      </w:pPr>
      <w:r>
        <w:rPr>
          <w:rFonts w:ascii="Calibri" w:cs="Calibri" w:eastAsia="Calibri" w:hAnsi="Calibri"/>
          <w:sz w:val="22"/>
          <w:szCs w:val="22"/>
        </w:rPr>
        <w:t xml:space="preserve">Si el cliente además requiere correo, Office, administración de equipos (Intune) y protección de endpoints, se recomienda Microsoft 365 Business Premium (US$ 22.00 usuario/mes; US$ 440.00 mensuales para 20 usuarios), que ya incluye Entra ID P1. En ese escenario, la licencia Entra ID P1 independiente no sería necesaria.</w:t>
      </w:r>
    </w:p>
    <w:p>
      <w:pPr>
        <w:spacing w:after="120" w:line="276"/>
        <w:jc w:val="both"/>
      </w:pPr>
      <w:r>
        <w:rPr>
          <w:rFonts w:ascii="Calibri" w:cs="Calibri" w:eastAsia="Calibri" w:hAnsi="Calibri"/>
          <w:i/>
          <w:iCs/>
          <w:color w:val="595959"/>
          <w:sz w:val="19"/>
          <w:szCs w:val="19"/>
        </w:rPr>
        <w:t xml:space="preserve">Precios de lista Microsoft en USD vigentes a partir del 1 de julio de 2026, antes de IVA. El precio final depende del programa (CSP/NCE), del plazo de compromiso y del tipo de cambio aplicable.</w:t>
      </w:r>
    </w:p>
    <w:p>
      <w:pPr>
        <w:pStyle w:val="Heading1"/>
        <w:pageBreakBefore/>
      </w:pPr>
      <w:r>
        <w:rPr>
          <w:rFonts w:ascii="Calibri" w:cs="Calibri" w:eastAsia="Calibri" w:hAnsi="Calibri"/>
        </w:rPr>
        <w:t xml:space="preserve">9. Supuestos</w:t>
      </w:r>
    </w:p>
    <w:p>
      <w:pPr>
        <w:spacing w:after="120" w:line="276"/>
        <w:jc w:val="both"/>
      </w:pPr>
      <w:r>
        <w:rPr>
          <w:rFonts w:ascii="Calibri" w:cs="Calibri" w:eastAsia="Calibri" w:hAnsi="Calibri"/>
          <w:sz w:val="22"/>
          <w:szCs w:val="22"/>
        </w:rPr>
        <w:t xml:space="preserve">La propuesta se elaboró con los siguientes supuestos. Cualquier variación relevante se gestionará mediante control de cambios y podrá modificar alcance, tiempos o costos:</w:t>
      </w:r>
    </w:p>
    <w:p>
      <w:pPr>
        <w:pStyle w:val="ListParagraph"/>
        <w:numPr>
          <w:ilvl w:val="0"/>
          <w:numId w:val="5"/>
        </w:numPr>
        <w:spacing w:after="60"/>
      </w:pPr>
      <w:r>
        <w:rPr>
          <w:rFonts w:ascii="Calibri" w:cs="Calibri" w:eastAsia="Calibri" w:hAnsi="Calibri"/>
          <w:sz w:val="22"/>
          <w:szCs w:val="22"/>
        </w:rPr>
        <w:t xml:space="preserve">Existen 2 servidores Windows Server 2016 o superior (oficina y segundo sitio) con Active Directory en funcionamiento.</w:t>
      </w:r>
    </w:p>
    <w:p>
      <w:pPr>
        <w:pStyle w:val="ListParagraph"/>
        <w:numPr>
          <w:ilvl w:val="0"/>
          <w:numId w:val="5"/>
        </w:numPr>
        <w:spacing w:after="60"/>
      </w:pPr>
      <w:r>
        <w:rPr>
          <w:rFonts w:ascii="Calibri" w:cs="Calibri" w:eastAsia="Calibri" w:hAnsi="Calibri"/>
          <w:sz w:val="22"/>
          <w:szCs w:val="22"/>
        </w:rPr>
        <w:t xml:space="preserve">El volumen total de información es de ~2 TB: ~1.6 TB en recursos compartidos de archivos (sincronizados con Azure Files) y ~200 GB por servidor de estado del sistema y datos no sincronizados (respaldados con MARS).</w:t>
      </w:r>
    </w:p>
    <w:p>
      <w:pPr>
        <w:pStyle w:val="ListParagraph"/>
        <w:numPr>
          <w:ilvl w:val="0"/>
          <w:numId w:val="5"/>
        </w:numPr>
        <w:spacing w:after="60"/>
      </w:pPr>
      <w:r>
        <w:rPr>
          <w:rFonts w:ascii="Calibri" w:cs="Calibri" w:eastAsia="Calibri" w:hAnsi="Calibri"/>
          <w:sz w:val="22"/>
          <w:szCs w:val="22"/>
        </w:rPr>
        <w:t xml:space="preserve">Crecimiento anual estimado de la información del 20 %; el almacenamiento de Azure se factura por uso real.</w:t>
      </w:r>
    </w:p>
    <w:p>
      <w:pPr>
        <w:pStyle w:val="ListParagraph"/>
        <w:numPr>
          <w:ilvl w:val="0"/>
          <w:numId w:val="5"/>
        </w:numPr>
        <w:spacing w:after="60"/>
      </w:pPr>
      <w:r>
        <w:rPr>
          <w:rFonts w:ascii="Calibri" w:cs="Calibri" w:eastAsia="Calibri" w:hAnsi="Calibri"/>
          <w:sz w:val="22"/>
          <w:szCs w:val="22"/>
        </w:rPr>
        <w:t xml:space="preserve">Aproximadamente 20 usuarios; hasta 20 requieren acceso remoto por VPN.</w:t>
      </w:r>
    </w:p>
    <w:p>
      <w:pPr>
        <w:pStyle w:val="ListParagraph"/>
        <w:numPr>
          <w:ilvl w:val="0"/>
          <w:numId w:val="5"/>
        </w:numPr>
        <w:spacing w:after="60"/>
      </w:pPr>
      <w:r>
        <w:rPr>
          <w:rFonts w:ascii="Calibri" w:cs="Calibri" w:eastAsia="Calibri" w:hAnsi="Calibri"/>
          <w:sz w:val="22"/>
          <w:szCs w:val="22"/>
        </w:rPr>
        <w:t xml:space="preserve">Cada sitio cuenta con IP pública fija y un firewall compatible con IPsec IKEv2, así como ≥ 20 Mbps de subida.</w:t>
      </w:r>
    </w:p>
    <w:p>
      <w:pPr>
        <w:pStyle w:val="ListParagraph"/>
        <w:numPr>
          <w:ilvl w:val="0"/>
          <w:numId w:val="5"/>
        </w:numPr>
        <w:spacing w:after="60"/>
      </w:pPr>
      <w:r>
        <w:rPr>
          <w:rFonts w:ascii="Calibri" w:cs="Calibri" w:eastAsia="Calibri" w:hAnsi="Calibri"/>
          <w:sz w:val="22"/>
          <w:szCs w:val="22"/>
        </w:rPr>
        <w:t xml:space="preserve">Política de respaldo diaria con retención de 30 días, 12 semanas y 12 meses; RPO de 24 h y RTO objetivo de 4 h para archivos individuales.</w:t>
      </w:r>
    </w:p>
    <w:p>
      <w:pPr>
        <w:pStyle w:val="ListParagraph"/>
        <w:numPr>
          <w:ilvl w:val="0"/>
          <w:numId w:val="5"/>
        </w:numPr>
        <w:spacing w:after="60"/>
      </w:pPr>
      <w:r>
        <w:rPr>
          <w:rFonts w:ascii="Calibri" w:cs="Calibri" w:eastAsia="Calibri" w:hAnsi="Calibri"/>
          <w:sz w:val="22"/>
          <w:szCs w:val="22"/>
        </w:rPr>
        <w:t xml:space="preserve">Los servicios se despliegan en la región Azure México Central para mantener los datos en territorio nacional; esta región no tiene región pareada, por lo que se utiliza redundancia de zona (ZRS).</w:t>
      </w:r>
    </w:p>
    <w:p>
      <w:pPr>
        <w:pStyle w:val="ListParagraph"/>
        <w:numPr>
          <w:ilvl w:val="0"/>
          <w:numId w:val="5"/>
        </w:numPr>
        <w:spacing w:after="60"/>
      </w:pPr>
      <w:r>
        <w:rPr>
          <w:rFonts w:ascii="Calibri" w:cs="Calibri" w:eastAsia="Calibri" w:hAnsi="Calibri"/>
          <w:sz w:val="22"/>
          <w:szCs w:val="22"/>
        </w:rPr>
        <w:t xml:space="preserve">El cliente proporcionará accesos administrativos, ventanas de mantenimiento y respuestas a las solicitudes en un máximo de 2 días hábiles.</w:t>
      </w:r>
    </w:p>
    <w:p>
      <w:pPr>
        <w:pStyle w:val="ListParagraph"/>
        <w:numPr>
          <w:ilvl w:val="0"/>
          <w:numId w:val="5"/>
        </w:numPr>
        <w:spacing w:after="60"/>
      </w:pPr>
      <w:r>
        <w:rPr>
          <w:rFonts w:ascii="Calibri" w:cs="Calibri" w:eastAsia="Calibri" w:hAnsi="Calibri"/>
          <w:sz w:val="22"/>
          <w:szCs w:val="22"/>
        </w:rPr>
        <w:t xml:space="preserve">Los trabajos se realizan de forma remota, en horario hábil (lunes a viernes, 9:00 a 18:00 h, hora del centro de México); la siembra inicial y cambios de red se programan fuera de horario.</w:t>
      </w:r>
    </w:p>
    <w:p>
      <w:pPr>
        <w:pStyle w:val="ListParagraph"/>
        <w:numPr>
          <w:ilvl w:val="0"/>
          <w:numId w:val="5"/>
        </w:numPr>
        <w:spacing w:after="60"/>
      </w:pPr>
      <w:r>
        <w:rPr>
          <w:rFonts w:ascii="Calibri" w:cs="Calibri" w:eastAsia="Calibri" w:hAnsi="Calibri"/>
          <w:sz w:val="22"/>
          <w:szCs w:val="22"/>
        </w:rPr>
        <w:t xml:space="preserve">Los precios de Azure son de lista en USD para México Central consultados el 24/09/2026 y pueden variar; la facturación real es por consumo.</w:t>
      </w:r>
    </w:p>
    <w:p>
      <w:pPr>
        <w:pStyle w:val="ListParagraph"/>
        <w:numPr>
          <w:ilvl w:val="0"/>
          <w:numId w:val="5"/>
        </w:numPr>
        <w:spacing w:after="60"/>
      </w:pPr>
      <w:r>
        <w:rPr>
          <w:rFonts w:ascii="Calibri" w:cs="Calibri" w:eastAsia="Calibri" w:hAnsi="Calibri"/>
          <w:sz w:val="22"/>
          <w:szCs w:val="22"/>
        </w:rPr>
        <w:t xml:space="preserve">La razón social y el RFC del cliente se confirmarán antes de la firma para el alta de la suscripción y la facturación.</w:t>
      </w:r>
    </w:p>
    <w:p>
      <w:pPr>
        <w:pStyle w:val="Heading1"/>
        <w:pageBreakBefore/>
      </w:pPr>
      <w:r>
        <w:rPr>
          <w:rFonts w:ascii="Calibri" w:cs="Calibri" w:eastAsia="Calibri" w:hAnsi="Calibri"/>
        </w:rPr>
        <w:t xml:space="preserve">10. Calculadora de Azure</w:t>
      </w:r>
    </w:p>
    <w:p>
      <w:pPr>
        <w:spacing w:after="120" w:line="276"/>
        <w:jc w:val="both"/>
      </w:pPr>
      <w:r>
        <w:rPr>
          <w:rFonts w:ascii="Calibri" w:cs="Calibri" w:eastAsia="Calibri" w:hAnsi="Calibri"/>
          <w:sz w:val="22"/>
          <w:szCs w:val="22"/>
        </w:rPr>
        <w:t xml:space="preserve">La siguiente estimación replica la configuración que debe capturarse en la Calculadora de precios de Azure (azure.microsoft.com/pricing/calculator) para la región México Central, en USD, modelo de pago por uso y 730 horas por mes. Los precios unitarios de Azure Backup y Azure Files provienen de la API de precios minoristas de Azure; los de VPN Gateway, IP pública, Private Endpoint, File Sync, Defender y Log Analytics son precios de referencia a validar al generar el enlace de la calculadora.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890"/>
        <w:gridCol w:w="700"/>
        <w:gridCol w:w="1100"/>
        <w:gridCol w:w="900"/>
        <w:gridCol w:w="1520"/>
      </w:tblGrid>
      <w:tr>
        <w:trPr>
          <w:tblHeader/>
        </w:trPr>
        <w:tc>
          <w:tcPr>
            <w:tcW w:type="dxa" w:w="225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Servicio</w:t>
            </w:r>
          </w:p>
        </w:tc>
        <w:tc>
          <w:tcPr>
            <w:tcW w:type="dxa" w:w="289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Configuración</w:t>
            </w:r>
          </w:p>
        </w:tc>
        <w:tc>
          <w:tcPr>
            <w:tcW w:type="dxa" w:w="7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Cant.</w:t>
            </w:r>
          </w:p>
        </w:tc>
        <w:tc>
          <w:tcPr>
            <w:tcW w:type="dxa" w:w="11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Unidad</w:t>
            </w:r>
          </w:p>
        </w:tc>
        <w:tc>
          <w:tcPr>
            <w:tcW w:type="dxa" w:w="9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P. unit.</w:t>
            </w:r>
          </w:p>
        </w:tc>
        <w:tc>
          <w:tcPr>
            <w:tcW w:type="dxa" w:w="152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Mensual</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Backup (MARS) – instancias protegidas</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2 servidores locales, 50–500 GB c/u (estado del sistema, apps, datos no sincronizados)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instancia/mes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US$ 22.00</w:t>
            </w:r>
          </w:p>
        </w:tc>
      </w:tr>
      <w:tr>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Backup (MARS) – almacenamiento</w:t>
            </w:r>
          </w:p>
        </w:tc>
        <w:tc>
          <w:tcPr>
            <w:tcW w:type="dxa" w:w="289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Almacén de respaldo ZRS, ~800 GB (400 GB × retención)</w:t>
            </w:r>
          </w:p>
        </w:tc>
        <w:tc>
          <w:tcPr>
            <w:tcW w:type="dxa" w:w="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800</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GB/mes</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$0.0308</w:t>
            </w:r>
          </w:p>
        </w:tc>
        <w:tc>
          <w:tcPr>
            <w:tcW w:type="dxa" w:w="152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US$ 24.64</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Files – almacenamiento</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Standard v2, nivel Hot, ZRS, 2 TB</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2,048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GB/mes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$0.0395</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US$ 80.82</w:t>
            </w:r>
          </w:p>
        </w:tc>
      </w:tr>
      <w:tr>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Files – transacciones y metadatos</w:t>
            </w:r>
          </w:p>
        </w:tc>
        <w:tc>
          <w:tcPr>
            <w:tcW w:type="dxa" w:w="289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Estimado para ~20 usuarios + sincronización</w:t>
            </w:r>
          </w:p>
        </w:tc>
        <w:tc>
          <w:tcPr>
            <w:tcW w:type="dxa" w:w="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global/mes</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$20</w:t>
            </w:r>
          </w:p>
        </w:tc>
        <w:tc>
          <w:tcPr>
            <w:tcW w:type="dxa" w:w="152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US$ 20.00</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Backup para Azure Files (Vaulted) – instancias</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~1.6 TB protegidos (4 bloques de 500 GB)</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bloque/mes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US$ 44.00</w:t>
            </w:r>
          </w:p>
        </w:tc>
      </w:tr>
      <w:tr>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Backup para Azure Files (Vaulted) – almacenamiento</w:t>
            </w:r>
          </w:p>
        </w:tc>
        <w:tc>
          <w:tcPr>
            <w:tcW w:type="dxa" w:w="289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ZRS, ~2.1 TB con retención</w:t>
            </w:r>
          </w:p>
        </w:tc>
        <w:tc>
          <w:tcPr>
            <w:tcW w:type="dxa" w:w="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2,150</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GB/mes</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$0.0528</w:t>
            </w:r>
          </w:p>
        </w:tc>
        <w:tc>
          <w:tcPr>
            <w:tcW w:type="dxa" w:w="152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US$ 113.52</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Files – snapshots operativos</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~10 % del volumen, restauración rápida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164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GB/mes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$0.0395</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US$ 6.47</w:t>
            </w:r>
          </w:p>
        </w:tc>
      </w:tr>
      <w:tr>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File Sync</w:t>
            </w:r>
          </w:p>
        </w:tc>
        <w:tc>
          <w:tcPr>
            <w:tcW w:type="dxa" w:w="289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2 servidores registrados (el primero sin costo)</w:t>
            </w:r>
          </w:p>
        </w:tc>
        <w:tc>
          <w:tcPr>
            <w:tcW w:type="dxa" w:w="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servidor/mes</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$5.5</w:t>
            </w:r>
          </w:p>
        </w:tc>
        <w:tc>
          <w:tcPr>
            <w:tcW w:type="dxa" w:w="152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US$ 5.50</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VPN Gateway VpnGw1AZ</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S2S (2 sitios) + P2S (hasta 128 conexiones incluidas)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730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hora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$0.209</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US$ 152.57</w:t>
            </w:r>
          </w:p>
        </w:tc>
      </w:tr>
      <w:tr>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IP pública estándar</w:t>
            </w:r>
          </w:p>
        </w:tc>
        <w:tc>
          <w:tcPr>
            <w:tcW w:type="dxa" w:w="289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 IP para el VPN Gateway</w:t>
            </w:r>
          </w:p>
        </w:tc>
        <w:tc>
          <w:tcPr>
            <w:tcW w:type="dxa" w:w="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730</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hora</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$0.0055</w:t>
            </w:r>
          </w:p>
        </w:tc>
        <w:tc>
          <w:tcPr>
            <w:tcW w:type="dxa" w:w="152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US$ 4.02</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Private Endpoint</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 endpoint para la cuenta de almacenamiento</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730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hora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$0.011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US$ 8.03</w:t>
            </w:r>
          </w:p>
        </w:tc>
      </w:tr>
      <w:tr>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Defender for Servers Plan 1</w:t>
            </w:r>
          </w:p>
        </w:tc>
        <w:tc>
          <w:tcPr>
            <w:tcW w:type="dxa" w:w="289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2 servidores vía Azure Arc</w:t>
            </w:r>
          </w:p>
        </w:tc>
        <w:tc>
          <w:tcPr>
            <w:tcW w:type="dxa" w:w="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servidor/mes</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$4.8</w:t>
            </w:r>
          </w:p>
        </w:tc>
        <w:tc>
          <w:tcPr>
            <w:tcW w:type="dxa" w:w="152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US$ 9.60</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Monitor / Log Analytics</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~5 GB/mes de ingesta adicional + alertas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global/mes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$15</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US$ 15.00</w:t>
            </w:r>
          </w:p>
        </w:tc>
      </w:tr>
      <w:tr>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Transferencia de datos (salida)</w:t>
            </w:r>
          </w:p>
        </w:tc>
        <w:tc>
          <w:tcPr>
            <w:tcW w:type="dxa" w:w="289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~200 GB/mes (primeros 100 GB sin costo)</w:t>
            </w:r>
          </w:p>
        </w:tc>
        <w:tc>
          <w:tcPr>
            <w:tcW w:type="dxa" w:w="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global/mes</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$9</w:t>
            </w:r>
          </w:p>
        </w:tc>
        <w:tc>
          <w:tcPr>
            <w:tcW w:type="dxa" w:w="152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US$ 9.00</w:t>
            </w:r>
          </w:p>
        </w:tc>
      </w:tr>
      <w:tr>
        <w:tc>
          <w:tcPr>
            <w:tcW w:type="dxa" w:w="225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Total consumo Azure estimado</w:t>
            </w:r>
          </w:p>
        </w:tc>
        <w:tc>
          <w:tcPr>
            <w:tcW w:type="dxa" w:w="289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
            </w:r>
          </w:p>
        </w:tc>
        <w:tc>
          <w:tcPr>
            <w:tcW w:type="dxa" w:w="70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
            </w:r>
          </w:p>
        </w:tc>
        <w:tc>
          <w:tcPr>
            <w:tcW w:type="dxa" w:w="110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
            </w:r>
          </w:p>
        </w:tc>
        <w:tc>
          <w:tcPr>
            <w:tcW w:type="dxa" w:w="90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
            </w:r>
          </w:p>
        </w:tc>
        <w:tc>
          <w:tcPr>
            <w:tcW w:type="dxa" w:w="152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US$ 515.17</w:t>
            </w:r>
          </w:p>
        </w:tc>
      </w:tr>
    </w:tbl>
    <w:p>
      <w:pPr>
        <w:spacing w:after="80"/>
      </w:pPr>
    </w:p>
    <w:p>
      <w:pPr>
        <w:pStyle w:val="Heading2"/>
      </w:pPr>
      <w:r>
        <w:rPr>
          <w:rFonts w:ascii="Calibri" w:cs="Calibri" w:eastAsia="Calibri" w:hAnsi="Calibri"/>
        </w:rPr>
        <w:t xml:space="preserve">10.1 Resumen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Categoría</w:t>
            </w:r>
          </w:p>
        </w:tc>
        <w:tc>
          <w:tcPr>
            <w:tcW w:type="dxa" w:w="22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Mensual (USD)</w:t>
            </w:r>
          </w:p>
        </w:tc>
        <w:tc>
          <w:tcPr>
            <w:tcW w:type="dxa" w:w="18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 del total</w:t>
            </w:r>
          </w:p>
        </w:tc>
      </w:tr>
      <w:tr>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Respaldo (MARS + Azure Files vaulted)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US$ 204.16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39.6 %</w:t>
            </w:r>
          </w:p>
        </w:tc>
      </w:tr>
      <w:tr>
        <w:tc>
          <w:tcPr>
            <w:tcW w:type="dxa" w:w="5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Almacenamiento y sincronización</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US$ 112.79</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21.9 %</w:t>
            </w:r>
          </w:p>
        </w:tc>
      </w:tr>
      <w:tr>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Conectividad (VPN, IP, Private Endpoint, salida)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US$ 173.61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33.7 %</w:t>
            </w:r>
          </w:p>
        </w:tc>
      </w:tr>
      <w:tr>
        <w:tc>
          <w:tcPr>
            <w:tcW w:type="dxa" w:w="5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Seguridad y monitoreo</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US$ 24.60</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4.8 %</w:t>
            </w:r>
          </w:p>
        </w:tc>
      </w:tr>
      <w:tr>
        <w:tc>
          <w:tcPr>
            <w:tcW w:type="dxa" w:w="536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Total</w:t>
            </w:r>
          </w:p>
        </w:tc>
        <w:tc>
          <w:tcPr>
            <w:tcW w:type="dxa" w:w="220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US$ 515.17</w:t>
            </w:r>
          </w:p>
        </w:tc>
        <w:tc>
          <w:tcPr>
            <w:tcW w:type="dxa" w:w="180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100 %</w:t>
            </w:r>
          </w:p>
        </w:tc>
      </w:tr>
    </w:tbl>
    <w:p>
      <w:pPr>
        <w:spacing w:after="80"/>
      </w:pPr>
    </w:p>
    <w:p>
      <w:pPr>
        <w:pStyle w:val="Heading2"/>
      </w:pPr>
      <w:r>
        <w:rPr>
          <w:rFonts w:ascii="Calibri" w:cs="Calibri" w:eastAsia="Calibri" w:hAnsi="Calibri"/>
        </w:rPr>
        <w:t xml:space="preserve">10.2 Oportunidades de optimización</w:t>
      </w:r>
    </w:p>
    <w:p>
      <w:pPr>
        <w:pStyle w:val="ListParagraph"/>
        <w:numPr>
          <w:ilvl w:val="0"/>
          <w:numId w:val="2"/>
        </w:numPr>
        <w:spacing w:after="60"/>
      </w:pPr>
      <w:r>
        <w:rPr>
          <w:rFonts w:ascii="Calibri" w:cs="Calibri" w:eastAsia="Calibri" w:hAnsi="Calibri"/>
          <w:sz w:val="22"/>
          <w:szCs w:val="22"/>
        </w:rPr>
        <w:t xml:space="preserve">Reservas de capacidad de Azure Files o de Backup (1 o 3 años) cuando el volumen supere ~10 TB.</w:t>
      </w:r>
    </w:p>
    <w:p>
      <w:pPr>
        <w:pStyle w:val="ListParagraph"/>
        <w:numPr>
          <w:ilvl w:val="0"/>
          <w:numId w:val="2"/>
        </w:numPr>
        <w:spacing w:after="60"/>
      </w:pPr>
      <w:r>
        <w:rPr>
          <w:rFonts w:ascii="Calibri" w:cs="Calibri" w:eastAsia="Calibri" w:hAnsi="Calibri"/>
          <w:sz w:val="22"/>
          <w:szCs w:val="22"/>
        </w:rPr>
        <w:t xml:space="preserve">Cambiar recursos compartidos poco usados al nivel Cool (US$ 0.03135/GB ZRS) una vez medido el patrón de acceso.</w:t>
      </w:r>
    </w:p>
    <w:p>
      <w:pPr>
        <w:pStyle w:val="ListParagraph"/>
        <w:numPr>
          <w:ilvl w:val="0"/>
          <w:numId w:val="2"/>
        </w:numPr>
        <w:spacing w:after="60"/>
      </w:pPr>
      <w:r>
        <w:rPr>
          <w:rFonts w:ascii="Calibri" w:cs="Calibri" w:eastAsia="Calibri" w:hAnsi="Calibri"/>
          <w:sz w:val="22"/>
          <w:szCs w:val="22"/>
        </w:rPr>
        <w:t xml:space="preserve">Si el acceso remoto se limita a pocos usuarios, evaluar la continuidad del VPN Gateway frente a alternativas (p. ej. publicación mediante Azure Virtual Desktop) en una fase posterior.</w:t>
      </w:r>
    </w:p>
    <w:p>
      <w:pPr>
        <w:spacing w:after="120" w:line="276"/>
        <w:jc w:val="both"/>
      </w:pPr>
      <w:r>
        <w:rPr>
          <w:rFonts w:ascii="Calibri" w:cs="Calibri" w:eastAsia="Calibri" w:hAnsi="Calibri"/>
          <w:i/>
          <w:iCs/>
          <w:color w:val="595959"/>
          <w:sz w:val="19"/>
          <w:szCs w:val="19"/>
        </w:rPr>
        <w:t xml:space="preserve">El enlace de la calculadora con esta configuración se compartirá junto con la versión final de la propuesta, una vez confirmados los volúmenes reales.</w:t>
      </w:r>
    </w:p>
    <w:p>
      <w:pPr>
        <w:pStyle w:val="Heading1"/>
        <w:pageBreakBefore/>
      </w:pPr>
      <w:r>
        <w:rPr>
          <w:rFonts w:ascii="Calibri" w:cs="Calibri" w:eastAsia="Calibri" w:hAnsi="Calibri"/>
        </w:rPr>
        <w:t xml:space="preserve">11. Tiempos de implementación</w:t>
      </w:r>
    </w:p>
    <w:p>
      <w:pPr>
        <w:spacing w:after="120" w:line="276"/>
        <w:jc w:val="both"/>
      </w:pPr>
      <w:r>
        <w:rPr>
          <w:rFonts w:ascii="Calibri" w:cs="Calibri" w:eastAsia="Calibri" w:hAnsi="Calibri"/>
          <w:sz w:val="22"/>
          <w:szCs w:val="22"/>
        </w:rPr>
        <w:t xml:space="preserve">Duración estimada: 7 semanas a partir de la firma y la recepción de accesos, más 2 semanas de hypercare. La siembra inicial de datos puede extender la semana 4 dependiendo del ancho de banda.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650"/>
        <w:gridCol w:w="650"/>
        <w:gridCol w:w="650"/>
        <w:gridCol w:w="650"/>
        <w:gridCol w:w="650"/>
        <w:gridCol w:w="650"/>
        <w:gridCol w:w="650"/>
        <w:gridCol w:w="650"/>
        <w:gridCol w:w="650"/>
      </w:tblGrid>
      <w:tr>
        <w:trPr>
          <w:tblHeader/>
        </w:trPr>
        <w:tc>
          <w:tcPr>
            <w:tcW w:type="dxa" w:w="3510"/>
            <w:tcBorders>
              <w:top w:val="single" w:color="BFBFBF" w:sz="4"/>
              <w:left w:val="single" w:color="BFBFBF" w:sz="4"/>
              <w:bottom w:val="single" w:color="BFBFBF" w:sz="4"/>
              <w:right w:val="single" w:color="BFBFBF" w:sz="4"/>
            </w:tcBorders>
            <w:shd w:fill="0078D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Fase</w:t>
            </w:r>
          </w:p>
        </w:tc>
        <w:tc>
          <w:tcPr>
            <w:tcW w:type="dxa" w:w="650"/>
            <w:tcBorders>
              <w:top w:val="single" w:color="BFBFBF" w:sz="4"/>
              <w:left w:val="single" w:color="BFBFBF" w:sz="4"/>
              <w:bottom w:val="single" w:color="BFBFBF" w:sz="4"/>
              <w:right w:val="single" w:color="BFBFBF" w:sz="4"/>
            </w:tcBorders>
            <w:shd w:fill="0078D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S1</w:t>
            </w:r>
          </w:p>
        </w:tc>
        <w:tc>
          <w:tcPr>
            <w:tcW w:type="dxa" w:w="650"/>
            <w:tcBorders>
              <w:top w:val="single" w:color="BFBFBF" w:sz="4"/>
              <w:left w:val="single" w:color="BFBFBF" w:sz="4"/>
              <w:bottom w:val="single" w:color="BFBFBF" w:sz="4"/>
              <w:right w:val="single" w:color="BFBFBF" w:sz="4"/>
            </w:tcBorders>
            <w:shd w:fill="0078D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S2</w:t>
            </w:r>
          </w:p>
        </w:tc>
        <w:tc>
          <w:tcPr>
            <w:tcW w:type="dxa" w:w="650"/>
            <w:tcBorders>
              <w:top w:val="single" w:color="BFBFBF" w:sz="4"/>
              <w:left w:val="single" w:color="BFBFBF" w:sz="4"/>
              <w:bottom w:val="single" w:color="BFBFBF" w:sz="4"/>
              <w:right w:val="single" w:color="BFBFBF" w:sz="4"/>
            </w:tcBorders>
            <w:shd w:fill="0078D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S3</w:t>
            </w:r>
          </w:p>
        </w:tc>
        <w:tc>
          <w:tcPr>
            <w:tcW w:type="dxa" w:w="650"/>
            <w:tcBorders>
              <w:top w:val="single" w:color="BFBFBF" w:sz="4"/>
              <w:left w:val="single" w:color="BFBFBF" w:sz="4"/>
              <w:bottom w:val="single" w:color="BFBFBF" w:sz="4"/>
              <w:right w:val="single" w:color="BFBFBF" w:sz="4"/>
            </w:tcBorders>
            <w:shd w:fill="0078D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S4</w:t>
            </w:r>
          </w:p>
        </w:tc>
        <w:tc>
          <w:tcPr>
            <w:tcW w:type="dxa" w:w="650"/>
            <w:tcBorders>
              <w:top w:val="single" w:color="BFBFBF" w:sz="4"/>
              <w:left w:val="single" w:color="BFBFBF" w:sz="4"/>
              <w:bottom w:val="single" w:color="BFBFBF" w:sz="4"/>
              <w:right w:val="single" w:color="BFBFBF" w:sz="4"/>
            </w:tcBorders>
            <w:shd w:fill="0078D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S5</w:t>
            </w:r>
          </w:p>
        </w:tc>
        <w:tc>
          <w:tcPr>
            <w:tcW w:type="dxa" w:w="650"/>
            <w:tcBorders>
              <w:top w:val="single" w:color="BFBFBF" w:sz="4"/>
              <w:left w:val="single" w:color="BFBFBF" w:sz="4"/>
              <w:bottom w:val="single" w:color="BFBFBF" w:sz="4"/>
              <w:right w:val="single" w:color="BFBFBF" w:sz="4"/>
            </w:tcBorders>
            <w:shd w:fill="0078D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S6</w:t>
            </w:r>
          </w:p>
        </w:tc>
        <w:tc>
          <w:tcPr>
            <w:tcW w:type="dxa" w:w="650"/>
            <w:tcBorders>
              <w:top w:val="single" w:color="BFBFBF" w:sz="4"/>
              <w:left w:val="single" w:color="BFBFBF" w:sz="4"/>
              <w:bottom w:val="single" w:color="BFBFBF" w:sz="4"/>
              <w:right w:val="single" w:color="BFBFBF" w:sz="4"/>
            </w:tcBorders>
            <w:shd w:fill="0078D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S7</w:t>
            </w:r>
          </w:p>
        </w:tc>
        <w:tc>
          <w:tcPr>
            <w:tcW w:type="dxa" w:w="650"/>
            <w:tcBorders>
              <w:top w:val="single" w:color="BFBFBF" w:sz="4"/>
              <w:left w:val="single" w:color="BFBFBF" w:sz="4"/>
              <w:bottom w:val="single" w:color="BFBFBF" w:sz="4"/>
              <w:right w:val="single" w:color="BFBFBF" w:sz="4"/>
            </w:tcBorders>
            <w:shd w:fill="0078D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S8</w:t>
            </w:r>
          </w:p>
        </w:tc>
        <w:tc>
          <w:tcPr>
            <w:tcW w:type="dxa" w:w="650"/>
            <w:tcBorders>
              <w:top w:val="single" w:color="BFBFBF" w:sz="4"/>
              <w:left w:val="single" w:color="BFBFBF" w:sz="4"/>
              <w:bottom w:val="single" w:color="BFBFBF" w:sz="4"/>
              <w:right w:val="single" w:color="BFBFBF" w:sz="4"/>
            </w:tcBorders>
            <w:shd w:fill="0078D4" w:color="auto" w:val="clear"/>
            <w:tcMar>
              <w:top w:type="dxa" w:w="50"/>
              <w:left w:type="dxa" w:w="80"/>
              <w:bottom w:type="dxa" w:w="50"/>
              <w:right w:type="dxa" w:w="80"/>
            </w:tcMar>
          </w:tcPr>
          <w:p>
            <w:pPr>
              <w:jc w:val="center"/>
            </w:pPr>
            <w:r>
              <w:rPr>
                <w:rFonts w:ascii="Calibri" w:cs="Calibri" w:eastAsia="Calibri" w:hAnsi="Calibri"/>
                <w:b/>
                <w:bCs/>
                <w:color w:val="FFFFFF"/>
                <w:sz w:val="18"/>
                <w:szCs w:val="18"/>
              </w:rPr>
              <w:t xml:space="preserve">S9</w:t>
            </w:r>
          </w:p>
        </w:tc>
      </w:tr>
      <w:tr>
        <w:tc>
          <w:tcPr>
            <w:tcW w:type="dxa" w:w="3510"/>
            <w:tcBorders>
              <w:top w:val="single" w:color="BFBFBF" w:sz="4"/>
              <w:left w:val="single" w:color="BFBFBF" w:sz="4"/>
              <w:bottom w:val="single" w:color="BFBFBF" w:sz="4"/>
              <w:right w:val="single" w:color="BFBFBF" w:sz="4"/>
            </w:tcBorders>
            <w:tcMar>
              <w:top w:type="dxa" w:w="50"/>
              <w:left w:type="dxa" w:w="100"/>
              <w:bottom w:type="dxa" w:w="50"/>
              <w:right w:type="dxa" w:w="80"/>
            </w:tcMar>
          </w:tcPr>
          <w:p>
            <w:r>
              <w:rPr>
                <w:rFonts w:ascii="Calibri" w:cs="Calibri" w:eastAsia="Calibri" w:hAnsi="Calibri"/>
                <w:sz w:val="18"/>
                <w:szCs w:val="18"/>
              </w:rPr>
              <w:t xml:space="preserve">0. Arranque y levantamiento</w:t>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r>
      <w:tr>
        <w:tc>
          <w:tcPr>
            <w:tcW w:type="dxa" w:w="3510"/>
            <w:tcBorders>
              <w:top w:val="single" w:color="BFBFBF" w:sz="4"/>
              <w:left w:val="single" w:color="BFBFBF" w:sz="4"/>
              <w:bottom w:val="single" w:color="BFBFBF" w:sz="4"/>
              <w:right w:val="single" w:color="BFBFBF" w:sz="4"/>
            </w:tcBorders>
            <w:tcMar>
              <w:top w:type="dxa" w:w="50"/>
              <w:left w:type="dxa" w:w="100"/>
              <w:bottom w:type="dxa" w:w="50"/>
              <w:right w:type="dxa" w:w="80"/>
            </w:tcMar>
          </w:tcPr>
          <w:p>
            <w:r>
              <w:rPr>
                <w:rFonts w:ascii="Calibri" w:cs="Calibri" w:eastAsia="Calibri" w:hAnsi="Calibri"/>
                <w:sz w:val="18"/>
                <w:szCs w:val="18"/>
              </w:rPr>
              <w:t xml:space="preserve">1. Diseño detallado (LLD)</w:t>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r>
      <w:tr>
        <w:tc>
          <w:tcPr>
            <w:tcW w:type="dxa" w:w="3510"/>
            <w:tcBorders>
              <w:top w:val="single" w:color="BFBFBF" w:sz="4"/>
              <w:left w:val="single" w:color="BFBFBF" w:sz="4"/>
              <w:bottom w:val="single" w:color="BFBFBF" w:sz="4"/>
              <w:right w:val="single" w:color="BFBFBF" w:sz="4"/>
            </w:tcBorders>
            <w:tcMar>
              <w:top w:type="dxa" w:w="50"/>
              <w:left w:type="dxa" w:w="100"/>
              <w:bottom w:type="dxa" w:w="50"/>
              <w:right w:type="dxa" w:w="80"/>
            </w:tcMar>
          </w:tcPr>
          <w:p>
            <w:r>
              <w:rPr>
                <w:rFonts w:ascii="Calibri" w:cs="Calibri" w:eastAsia="Calibri" w:hAnsi="Calibri"/>
                <w:sz w:val="18"/>
                <w:szCs w:val="18"/>
              </w:rPr>
              <w:t xml:space="preserve">2. Fundación Azure</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r>
      <w:tr>
        <w:tc>
          <w:tcPr>
            <w:tcW w:type="dxa" w:w="3510"/>
            <w:tcBorders>
              <w:top w:val="single" w:color="BFBFBF" w:sz="4"/>
              <w:left w:val="single" w:color="BFBFBF" w:sz="4"/>
              <w:bottom w:val="single" w:color="BFBFBF" w:sz="4"/>
              <w:right w:val="single" w:color="BFBFBF" w:sz="4"/>
            </w:tcBorders>
            <w:tcMar>
              <w:top w:type="dxa" w:w="50"/>
              <w:left w:type="dxa" w:w="100"/>
              <w:bottom w:type="dxa" w:w="50"/>
              <w:right w:type="dxa" w:w="80"/>
            </w:tcMar>
          </w:tcPr>
          <w:p>
            <w:r>
              <w:rPr>
                <w:rFonts w:ascii="Calibri" w:cs="Calibri" w:eastAsia="Calibri" w:hAnsi="Calibri"/>
                <w:sz w:val="18"/>
                <w:szCs w:val="18"/>
              </w:rPr>
              <w:t xml:space="preserve">3. Identidad y control de acceso</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r>
      <w:tr>
        <w:tc>
          <w:tcPr>
            <w:tcW w:type="dxa" w:w="3510"/>
            <w:tcBorders>
              <w:top w:val="single" w:color="BFBFBF" w:sz="4"/>
              <w:left w:val="single" w:color="BFBFBF" w:sz="4"/>
              <w:bottom w:val="single" w:color="BFBFBF" w:sz="4"/>
              <w:right w:val="single" w:color="BFBFBF" w:sz="4"/>
            </w:tcBorders>
            <w:tcMar>
              <w:top w:type="dxa" w:w="50"/>
              <w:left w:type="dxa" w:w="100"/>
              <w:bottom w:type="dxa" w:w="50"/>
              <w:right w:type="dxa" w:w="80"/>
            </w:tcMar>
          </w:tcPr>
          <w:p>
            <w:r>
              <w:rPr>
                <w:rFonts w:ascii="Calibri" w:cs="Calibri" w:eastAsia="Calibri" w:hAnsi="Calibri"/>
                <w:sz w:val="18"/>
                <w:szCs w:val="18"/>
              </w:rPr>
              <w:t xml:space="preserve">4. Conectividad (S2S y P2S)</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r>
      <w:tr>
        <w:tc>
          <w:tcPr>
            <w:tcW w:type="dxa" w:w="3510"/>
            <w:tcBorders>
              <w:top w:val="single" w:color="BFBFBF" w:sz="4"/>
              <w:left w:val="single" w:color="BFBFBF" w:sz="4"/>
              <w:bottom w:val="single" w:color="BFBFBF" w:sz="4"/>
              <w:right w:val="single" w:color="BFBFBF" w:sz="4"/>
            </w:tcBorders>
            <w:tcMar>
              <w:top w:type="dxa" w:w="50"/>
              <w:left w:type="dxa" w:w="100"/>
              <w:bottom w:type="dxa" w:w="50"/>
              <w:right w:type="dxa" w:w="80"/>
            </w:tcMar>
          </w:tcPr>
          <w:p>
            <w:r>
              <w:rPr>
                <w:rFonts w:ascii="Calibri" w:cs="Calibri" w:eastAsia="Calibri" w:hAnsi="Calibri"/>
                <w:sz w:val="18"/>
                <w:szCs w:val="18"/>
              </w:rPr>
              <w:t xml:space="preserve">5. Almacenamiento híbrido y siembra</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r>
      <w:tr>
        <w:tc>
          <w:tcPr>
            <w:tcW w:type="dxa" w:w="3510"/>
            <w:tcBorders>
              <w:top w:val="single" w:color="BFBFBF" w:sz="4"/>
              <w:left w:val="single" w:color="BFBFBF" w:sz="4"/>
              <w:bottom w:val="single" w:color="BFBFBF" w:sz="4"/>
              <w:right w:val="single" w:color="BFBFBF" w:sz="4"/>
            </w:tcBorders>
            <w:tcMar>
              <w:top w:type="dxa" w:w="50"/>
              <w:left w:type="dxa" w:w="100"/>
              <w:bottom w:type="dxa" w:w="50"/>
              <w:right w:type="dxa" w:w="80"/>
            </w:tcMar>
          </w:tcPr>
          <w:p>
            <w:r>
              <w:rPr>
                <w:rFonts w:ascii="Calibri" w:cs="Calibri" w:eastAsia="Calibri" w:hAnsi="Calibri"/>
                <w:sz w:val="18"/>
                <w:szCs w:val="18"/>
              </w:rPr>
              <w:t xml:space="preserve">6. Respaldo y pruebas de restauración</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r>
      <w:tr>
        <w:tc>
          <w:tcPr>
            <w:tcW w:type="dxa" w:w="3510"/>
            <w:tcBorders>
              <w:top w:val="single" w:color="BFBFBF" w:sz="4"/>
              <w:left w:val="single" w:color="BFBFBF" w:sz="4"/>
              <w:bottom w:val="single" w:color="BFBFBF" w:sz="4"/>
              <w:right w:val="single" w:color="BFBFBF" w:sz="4"/>
            </w:tcBorders>
            <w:tcMar>
              <w:top w:type="dxa" w:w="50"/>
              <w:left w:type="dxa" w:w="100"/>
              <w:bottom w:type="dxa" w:w="50"/>
              <w:right w:type="dxa" w:w="80"/>
            </w:tcMar>
          </w:tcPr>
          <w:p>
            <w:r>
              <w:rPr>
                <w:rFonts w:ascii="Calibri" w:cs="Calibri" w:eastAsia="Calibri" w:hAnsi="Calibri"/>
                <w:sz w:val="18"/>
                <w:szCs w:val="18"/>
              </w:rPr>
              <w:t xml:space="preserve">7. Seguridad y monitoreo</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r>
      <w:tr>
        <w:tc>
          <w:tcPr>
            <w:tcW w:type="dxa" w:w="3510"/>
            <w:tcBorders>
              <w:top w:val="single" w:color="BFBFBF" w:sz="4"/>
              <w:left w:val="single" w:color="BFBFBF" w:sz="4"/>
              <w:bottom w:val="single" w:color="BFBFBF" w:sz="4"/>
              <w:right w:val="single" w:color="BFBFBF" w:sz="4"/>
            </w:tcBorders>
            <w:tcMar>
              <w:top w:type="dxa" w:w="50"/>
              <w:left w:type="dxa" w:w="100"/>
              <w:bottom w:type="dxa" w:w="50"/>
              <w:right w:type="dxa" w:w="80"/>
            </w:tcMar>
          </w:tcPr>
          <w:p>
            <w:r>
              <w:rPr>
                <w:rFonts w:ascii="Calibri" w:cs="Calibri" w:eastAsia="Calibri" w:hAnsi="Calibri"/>
                <w:sz w:val="18"/>
                <w:szCs w:val="18"/>
              </w:rPr>
              <w:t xml:space="preserve">8. Pruebas, documentación y capacitación</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5AA9E6"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r>
      <w:tr>
        <w:tc>
          <w:tcPr>
            <w:tcW w:type="dxa" w:w="3510"/>
            <w:tcBorders>
              <w:top w:val="single" w:color="BFBFBF" w:sz="4"/>
              <w:left w:val="single" w:color="BFBFBF" w:sz="4"/>
              <w:bottom w:val="single" w:color="BFBFBF" w:sz="4"/>
              <w:right w:val="single" w:color="BFBFBF" w:sz="4"/>
            </w:tcBorders>
            <w:tcMar>
              <w:top w:type="dxa" w:w="50"/>
              <w:left w:type="dxa" w:w="100"/>
              <w:bottom w:type="dxa" w:w="50"/>
              <w:right w:type="dxa" w:w="80"/>
            </w:tcMar>
          </w:tcPr>
          <w:p>
            <w:r>
              <w:rPr>
                <w:rFonts w:ascii="Calibri" w:cs="Calibri" w:eastAsia="Calibri" w:hAnsi="Calibri"/>
                <w:sz w:val="18"/>
                <w:szCs w:val="18"/>
              </w:rPr>
              <w:t xml:space="preserve">Hypercare</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8FD18F"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c>
          <w:tcPr>
            <w:tcW w:type="dxa" w:w="650"/>
            <w:tcBorders>
              <w:top w:val="single" w:color="BFBFBF" w:sz="4"/>
              <w:left w:val="single" w:color="BFBFBF" w:sz="4"/>
              <w:bottom w:val="single" w:color="BFBFBF" w:sz="4"/>
              <w:right w:val="single" w:color="BFBFBF" w:sz="4"/>
            </w:tcBorders>
            <w:shd w:fill="8FD18F" w:color="auto" w:val="clear"/>
            <w:tcMar>
              <w:top w:type="dxa" w:w="50"/>
              <w:left w:type="dxa" w:w="80"/>
              <w:bottom w:type="dxa" w:w="50"/>
              <w:right w:type="dxa" w:w="80"/>
            </w:tcMar>
          </w:tcPr>
          <w:p>
            <w:pPr>
              <w:jc w:val="center"/>
            </w:pPr>
            <w:r>
              <w:rPr>
                <w:rFonts w:ascii="Calibri" w:cs="Calibri" w:eastAsia="Calibri" w:hAnsi="Calibri"/>
                <w:sz w:val="18"/>
                <w:szCs w:val="18"/>
              </w:rPr>
              <w:t xml:space="preserve"/>
            </w:r>
          </w:p>
        </w:tc>
      </w:tr>
    </w:tbl>
    <w:p>
      <w:pPr>
        <w:spacing w:after="80"/>
      </w:pPr>
    </w:p>
    <w:p>
      <w:pPr>
        <w:pStyle w:val="Heading2"/>
      </w:pPr>
      <w:r>
        <w:rPr>
          <w:rFonts w:ascii="Calibri" w:cs="Calibri" w:eastAsia="Calibri" w:hAnsi="Calibri"/>
        </w:rPr>
        <w:t xml:space="preserve">11.1 Hitos y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Hito</w:t>
            </w:r>
          </w:p>
        </w:tc>
        <w:tc>
          <w:tcPr>
            <w:tcW w:type="dxa" w:w="10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Semana</w:t>
            </w:r>
          </w:p>
        </w:tc>
        <w:tc>
          <w:tcPr>
            <w:tcW w:type="dxa" w:w="51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Entregable / criterio de aceptación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H1 – Diseño aprobado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Documento LLD y matriz de accesos firmados</w:t>
            </w:r>
          </w:p>
        </w:tc>
      </w:tr>
      <w:tr>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H2 – Conectividad e identidad operativas</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S3</w:t>
            </w:r>
          </w:p>
        </w:tc>
        <w:tc>
          <w:tcPr>
            <w:tcW w:type="dxa" w:w="51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Túneles S2S activos, VPN P2S con MFA probada</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H3 – Datos en la nube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Siembra completada y sincronización sin errores</w:t>
            </w:r>
          </w:p>
        </w:tc>
      </w:tr>
      <w:tr>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H4 – Respaldo validado</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S6</w:t>
            </w:r>
          </w:p>
        </w:tc>
        <w:tc>
          <w:tcPr>
            <w:tcW w:type="dxa" w:w="51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Respaldos exitosos y pruebas de restauración documentadas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H5 – Cierre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Memoria técnica, runbooks, capacitación y acta de entrega</w:t>
            </w:r>
          </w:p>
        </w:tc>
      </w:tr>
    </w:tbl>
    <w:p>
      <w:pPr>
        <w:pStyle w:val="Heading1"/>
        <w:pageBreakBefore/>
      </w:pPr>
      <w:r>
        <w:rPr>
          <w:rFonts w:ascii="Calibri" w:cs="Calibri" w:eastAsia="Calibri" w:hAnsi="Calibri"/>
        </w:rPr>
        <w:t xml:space="preserve">12. Costos</w:t>
      </w:r>
    </w:p>
    <w:p>
      <w:pPr>
        <w:pStyle w:val="Heading2"/>
      </w:pPr>
      <w:r>
        <w:rPr>
          <w:rFonts w:ascii="Calibri" w:cs="Calibri" w:eastAsia="Calibri" w:hAnsi="Calibri"/>
        </w:rPr>
        <w:t xml:space="preserve">12.1 Servicios profesionales de implementación (pago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gridCol w:w="1000"/>
      </w:tblGrid>
      <w:tr>
        <w:trPr>
          <w:tblHeader/>
        </w:trPr>
        <w:tc>
          <w:tcPr>
            <w:tcW w:type="dxa" w:w="30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Fase</w:t>
            </w:r>
          </w:p>
        </w:tc>
        <w:tc>
          <w:tcPr>
            <w:tcW w:type="dxa" w:w="53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Actividades principales</w:t>
            </w:r>
          </w:p>
        </w:tc>
        <w:tc>
          <w:tcPr>
            <w:tcW w:type="dxa" w:w="10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Horas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0. Arranque y levantamiento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Kick-off, validación de inventario, capacidades, RPO/RTO, usuarios y permisos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12</w:t>
            </w:r>
          </w:p>
        </w:tc>
      </w:tr>
      <w:t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 Diseño detallado (LLD)</w:t>
            </w:r>
          </w:p>
        </w:tc>
        <w:tc>
          <w:tcPr>
            <w:tcW w:type="dxa" w:w="5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Direccionamiento, nomenclatura, políticas de respaldo, matriz de roles</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16</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2. Fundación Azure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Suscripción, grupos de recursos, VNet, RBAC, Azure Policy, presupuestos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16</w:t>
            </w:r>
          </w:p>
        </w:tc>
      </w:tr>
      <w:t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3. Identidad y control de acceso</w:t>
            </w:r>
          </w:p>
        </w:tc>
        <w:tc>
          <w:tcPr>
            <w:tcW w:type="dxa" w:w="5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Entra Connect, grupos, MFA, Acceso Condicional, permisos NTFS/RBAC</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4. Conectividad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VPN Gateway, túneles S2S (2 sitios), P2S con autenticación Entra 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20</w:t>
            </w:r>
          </w:p>
        </w:tc>
      </w:tr>
      <w:t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5. Almacenamiento híbrido</w:t>
            </w:r>
          </w:p>
        </w:tc>
        <w:tc>
          <w:tcPr>
            <w:tcW w:type="dxa" w:w="5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Files, Private Endpoint, Azure File Sync, cloud tiering, siembra inicial</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24</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6. Respaldo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Recovery Services Vault, agentes MARS, políticas, pruebas de restauración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20</w:t>
            </w:r>
          </w:p>
        </w:tc>
      </w:tr>
      <w:t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7. Seguridad y monitoreo</w:t>
            </w:r>
          </w:p>
        </w:tc>
        <w:tc>
          <w:tcPr>
            <w:tcW w:type="dxa" w:w="5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Azure Arc, Defender for Servers, alertas, tablero de operación</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8. Pruebas, documentación y cierre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Pruebas integrales, memoria técnica, runbooks, capacitación (2 sesiones)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16</w:t>
            </w:r>
          </w:p>
        </w:tc>
      </w:tr>
      <w:t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Gestión del proyecto</w:t>
            </w:r>
          </w:p>
        </w:tc>
        <w:tc>
          <w:tcPr>
            <w:tcW w:type="dxa" w:w="5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Seguimiento semanal, control de riesgos y cambios (~10 %)</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16</w:t>
            </w:r>
          </w:p>
        </w:tc>
      </w:tr>
      <w:tr>
        <w:tc>
          <w:tcPr>
            <w:tcW w:type="dxa" w:w="300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Total horas</w:t>
            </w:r>
          </w:p>
        </w:tc>
        <w:tc>
          <w:tcPr>
            <w:tcW w:type="dxa" w:w="536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
            </w:r>
          </w:p>
        </w:tc>
        <w:tc>
          <w:tcPr>
            <w:tcW w:type="dxa" w:w="100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172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Concepto</w:t>
            </w:r>
          </w:p>
        </w:tc>
        <w:tc>
          <w:tcPr>
            <w:tcW w:type="dxa" w:w="30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Importe (USD)</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Servicios profesionales (172 h × US$ 55.00/h)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US$ 9,460.00</w:t>
            </w:r>
          </w:p>
        </w:tc>
      </w:tr>
      <w:tr>
        <w:tc>
          <w:tcPr>
            <w:tcW w:type="dxa" w:w="6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IVA 16 %</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US$ 1,513.60</w:t>
            </w:r>
          </w:p>
        </w:tc>
      </w:tr>
      <w:tr>
        <w:tc>
          <w:tcPr>
            <w:tcW w:type="dxa" w:w="636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Total servicios de implementación</w:t>
            </w:r>
          </w:p>
        </w:tc>
        <w:tc>
          <w:tcPr>
            <w:tcW w:type="dxa" w:w="300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US$ 10,973.60</w:t>
            </w:r>
          </w:p>
        </w:tc>
      </w:tr>
    </w:tbl>
    <w:p>
      <w:pPr>
        <w:spacing w:after="80"/>
      </w:pPr>
    </w:p>
    <w:p>
      <w:pPr>
        <w:pStyle w:val="Heading2"/>
      </w:pPr>
      <w:r>
        <w:rPr>
          <w:rFonts w:ascii="Calibri" w:cs="Calibri" w:eastAsia="Calibri" w:hAnsi="Calibri"/>
        </w:rPr>
        <w:t xml:space="preserve">12.2 Costos recurrentes estimados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tblHeader/>
        </w:trPr>
        <w:tc>
          <w:tcPr>
            <w:tcW w:type="dxa" w:w="49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Concepto</w:t>
            </w:r>
          </w:p>
        </w:tc>
        <w:tc>
          <w:tcPr>
            <w:tcW w:type="dxa" w:w="22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Mensual (USD)</w:t>
            </w:r>
          </w:p>
        </w:tc>
        <w:tc>
          <w:tcPr>
            <w:tcW w:type="dxa" w:w="22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Anual (USD)</w:t>
            </w:r>
          </w:p>
        </w:tc>
      </w:tr>
      <w:t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Consumo Microsoft Azure (sección 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US$ 515.17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US$ 6,182.01</w:t>
            </w:r>
          </w:p>
        </w:tc>
      </w:tr>
      <w:tr>
        <w:tc>
          <w:tcPr>
            <w:tcW w:type="dxa" w:w="4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Licencias Microsoft Entra ID P1 (20 usuarios)</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US$ 140.00</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US$ 1,680.00</w:t>
            </w:r>
          </w:p>
        </w:tc>
      </w:tr>
      <w:t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Subtotal recurrente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US$ 655.17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US$ 7,862.01</w:t>
            </w:r>
          </w:p>
        </w:tc>
      </w:tr>
      <w:tr>
        <w:tc>
          <w:tcPr>
            <w:tcW w:type="dxa" w:w="4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IVA 16 %</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US$ 104.83</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US$ 1,257.92</w:t>
            </w:r>
          </w:p>
        </w:tc>
      </w:tr>
      <w:tr>
        <w:tc>
          <w:tcPr>
            <w:tcW w:type="dxa" w:w="496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Total recurrente</w:t>
            </w:r>
          </w:p>
        </w:tc>
        <w:tc>
          <w:tcPr>
            <w:tcW w:type="dxa" w:w="220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US$ 759.99</w:t>
            </w:r>
          </w:p>
        </w:tc>
        <w:tc>
          <w:tcPr>
            <w:tcW w:type="dxa" w:w="220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US$ 9,119.93</w:t>
            </w:r>
          </w:p>
        </w:tc>
      </w:tr>
    </w:tbl>
    <w:p>
      <w:pPr>
        <w:spacing w:after="80"/>
      </w:pPr>
    </w:p>
    <w:p>
      <w:pPr>
        <w:pStyle w:val="Heading2"/>
      </w:pPr>
      <w:r>
        <w:rPr>
          <w:rFonts w:ascii="Calibri" w:cs="Calibri" w:eastAsia="Calibri" w:hAnsi="Calibri"/>
        </w:rPr>
        <w:t xml:space="preserve">12.3 Resumen de inversión — primer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Concepto</w:t>
            </w:r>
          </w:p>
        </w:tc>
        <w:tc>
          <w:tcPr>
            <w:tcW w:type="dxa" w:w="300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Importe (USD, antes de IVA)</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Implementación (pago único)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US$ 9,460.00</w:t>
            </w:r>
          </w:p>
        </w:tc>
      </w:tr>
      <w:tr>
        <w:tc>
          <w:tcPr>
            <w:tcW w:type="dxa" w:w="6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Recurrente 12 meses (Azure + licencias)</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US$ 7,862.01</w:t>
            </w:r>
          </w:p>
        </w:tc>
      </w:tr>
      <w:tr>
        <w:tc>
          <w:tcPr>
            <w:tcW w:type="dxa" w:w="636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Inversión total primer año</w:t>
            </w:r>
          </w:p>
        </w:tc>
        <w:tc>
          <w:tcPr>
            <w:tcW w:type="dxa" w:w="3000"/>
            <w:tcBorders>
              <w:top w:val="single" w:color="BFBFBF" w:sz="4"/>
              <w:left w:val="single" w:color="BFBFBF" w:sz="4"/>
              <w:bottom w:val="single" w:color="BFBFBF" w:sz="4"/>
              <w:right w:val="single" w:color="BFBFBF" w:sz="4"/>
            </w:tcBorders>
            <w:shd w:fill="EAF3FB" w:color="auto"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US$ 17,322.01</w:t>
            </w:r>
          </w:p>
        </w:tc>
      </w:tr>
    </w:tbl>
    <w:p>
      <w:pPr>
        <w:spacing w:after="80"/>
      </w:pPr>
    </w:p>
    <w:p>
      <w:pPr>
        <w:pStyle w:val="Heading2"/>
      </w:pPr>
      <w:r>
        <w:rPr>
          <w:rFonts w:ascii="Calibri" w:cs="Calibri" w:eastAsia="Calibri" w:hAnsi="Calibri"/>
        </w:rPr>
        <w:t xml:space="preserve">12.4 Servicio opcional: operación administrada</w:t>
      </w:r>
    </w:p>
    <w:p>
      <w:pPr>
        <w:spacing w:after="120" w:line="276"/>
        <w:jc w:val="both"/>
      </w:pPr>
      <w:r>
        <w:rPr>
          <w:rFonts w:ascii="Calibri" w:cs="Calibri" w:eastAsia="Calibri" w:hAnsi="Calibri"/>
          <w:sz w:val="22"/>
          <w:szCs w:val="22"/>
        </w:rPr>
        <w:t xml:space="preserve">Monitoreo de respaldos y sincronización, atención de alertas, revisión mensual de costos, altas/bajas de usuarios y una prueba de restauración trimestral: 8 horas al mes por US$ 440.00 mensuales más IVA (contrato mínimo de 6 meses).</w:t>
      </w:r>
    </w:p>
    <w:p>
      <w:pPr>
        <w:pStyle w:val="Heading2"/>
      </w:pPr>
      <w:r>
        <w:rPr>
          <w:rFonts w:ascii="Calibri" w:cs="Calibri" w:eastAsia="Calibri" w:hAnsi="Calibri"/>
        </w:rPr>
        <w:t xml:space="preserve">12.5 Condiciones comerciales</w:t>
      </w:r>
    </w:p>
    <w:p>
      <w:pPr>
        <w:pStyle w:val="ListParagraph"/>
        <w:numPr>
          <w:ilvl w:val="0"/>
          <w:numId w:val="2"/>
        </w:numPr>
        <w:spacing w:after="60"/>
      </w:pPr>
      <w:r>
        <w:rPr>
          <w:rFonts w:ascii="Calibri" w:cs="Calibri" w:eastAsia="Calibri" w:hAnsi="Calibri"/>
          <w:sz w:val="22"/>
          <w:szCs w:val="22"/>
        </w:rPr>
        <w:t xml:space="preserve">Precios en dólares estadounidenses (USD), más IVA; pagaderos en moneda nacional al tipo de cambio publicado por el DOF en la fecha de pago.</w:t>
      </w:r>
    </w:p>
    <w:p>
      <w:pPr>
        <w:pStyle w:val="ListParagraph"/>
        <w:numPr>
          <w:ilvl w:val="0"/>
          <w:numId w:val="2"/>
        </w:numPr>
        <w:spacing w:after="60"/>
      </w:pPr>
      <w:r>
        <w:rPr>
          <w:rFonts w:ascii="Calibri" w:cs="Calibri" w:eastAsia="Calibri" w:hAnsi="Calibri"/>
          <w:sz w:val="22"/>
          <w:szCs w:val="22"/>
        </w:rPr>
        <w:t xml:space="preserve">Servicios profesionales: 50 % de anticipo a la firma y 50 % contra acta de entrega (hito H5).</w:t>
      </w:r>
    </w:p>
    <w:p>
      <w:pPr>
        <w:pStyle w:val="ListParagraph"/>
        <w:numPr>
          <w:ilvl w:val="0"/>
          <w:numId w:val="2"/>
        </w:numPr>
        <w:spacing w:after="60"/>
      </w:pPr>
      <w:r>
        <w:rPr>
          <w:rFonts w:ascii="Calibri" w:cs="Calibri" w:eastAsia="Calibri" w:hAnsi="Calibri"/>
          <w:sz w:val="22"/>
          <w:szCs w:val="22"/>
        </w:rPr>
        <w:t xml:space="preserve">El consumo de Azure y las licencias se facturan mensualmente según uso real; los montos de esta propuesta son estimaciones.</w:t>
      </w:r>
    </w:p>
    <w:p>
      <w:pPr>
        <w:pStyle w:val="ListParagraph"/>
        <w:numPr>
          <w:ilvl w:val="0"/>
          <w:numId w:val="2"/>
        </w:numPr>
        <w:spacing w:after="60"/>
      </w:pPr>
      <w:r>
        <w:rPr>
          <w:rFonts w:ascii="Calibri" w:cs="Calibri" w:eastAsia="Calibri" w:hAnsi="Calibri"/>
          <w:sz w:val="22"/>
          <w:szCs w:val="22"/>
        </w:rPr>
        <w:t xml:space="preserve">Las horas adicionales fuera de alcance se cotizarán mediante control de cambios a la misma tarifa.</w:t>
      </w:r>
    </w:p>
    <w:p>
      <w:pPr>
        <w:pStyle w:val="ListParagraph"/>
        <w:numPr>
          <w:ilvl w:val="0"/>
          <w:numId w:val="2"/>
        </w:numPr>
        <w:spacing w:after="60"/>
      </w:pPr>
      <w:r>
        <w:rPr>
          <w:rFonts w:ascii="Calibri" w:cs="Calibri" w:eastAsia="Calibri" w:hAnsi="Calibri"/>
          <w:sz w:val="22"/>
          <w:szCs w:val="22"/>
        </w:rPr>
        <w:t xml:space="preserve">Vigencia de la propuesta: 30 días naturales.</w:t>
      </w:r>
    </w:p>
    <w:p>
      <w:pPr>
        <w:spacing w:after="80"/>
      </w:pPr>
    </w:p>
    <w:p>
      <w:pPr>
        <w:spacing w:after="120" w:line="276"/>
        <w:jc w:val="both"/>
      </w:pPr>
      <w:r>
        <w:rPr>
          <w:rFonts w:ascii="Calibri" w:cs="Calibri" w:eastAsia="Calibri" w:hAnsi="Calibri"/>
          <w:b/>
          <w:bCs/>
          <w:color w:val="1F3864"/>
          <w:sz w:val="24"/>
          <w:szCs w:val="24"/>
        </w:rPr>
        <w:t xml:space="preserve">Aceptación de la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Por el cliente</w:t>
            </w:r>
          </w:p>
        </w:tc>
        <w:tc>
          <w:tcPr>
            <w:tcW w:type="dxa" w:w="4680"/>
            <w:tcBorders>
              <w:top w:val="single" w:color="BFBFBF" w:sz="4"/>
              <w:left w:val="single" w:color="BFBFBF" w:sz="4"/>
              <w:bottom w:val="single" w:color="BFBFBF" w:sz="4"/>
              <w:right w:val="single" w:color="BFBFBF" w:sz="4"/>
            </w:tcBorders>
            <w:shd w:fill="0078D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Por el proveedor</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Nombre: Felipe Avendaño</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Nombre: César Larios</w:t>
            </w:r>
          </w:p>
        </w:tc>
      </w:tr>
      <w:tr>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Firma:</w:t>
            </w:r>
          </w:p>
        </w:tc>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Firma:</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Fecha:</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Fecha:</w:t>
            </w:r>
          </w:p>
        </w:tc>
      </w:tr>
    </w:tbl>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Propuesta de servicios Microsoft Azure · Cliente 100101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D4" w:sz="8" w:space="4"/>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82cc3d8771741899f73a5bc7bb03d9f928cf9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Microsoft Azure – Cliente 100101</dc:title>
  <dc:creator>César Larios</dc:creator>
  <cp:lastModifiedBy>Un-named</cp:lastModifiedBy>
  <cp:revision>1</cp:revision>
  <dcterms:created xsi:type="dcterms:W3CDTF">2026-09-24T06:23:03.403Z</dcterms:created>
  <dcterms:modified xsi:type="dcterms:W3CDTF">2026-09-24T06:23:03.404Z</dcterms:modified>
</cp:coreProperties>
</file>

<file path=docProps/custom.xml><?xml version="1.0" encoding="utf-8"?>
<Properties xmlns="http://schemas.openxmlformats.org/officeDocument/2006/custom-properties" xmlns:vt="http://schemas.openxmlformats.org/officeDocument/2006/docPropsVTypes"/>
</file>