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spacing w:after="200"/>
        <w:jc w:val="center"/>
      </w:pPr>
      <w:r>
        <w:rPr>
          <w:b/>
          <w:bCs/>
          <w:color w:val="2E75B6"/>
          <w:sz w:val="28"/>
          <w:szCs w:val="28"/>
        </w:rPr>
        <w:t xml:space="preserve">GUÍA TÉCNICA DE MIGRACIÓN</w:t>
      </w:r>
    </w:p>
    <w:p>
      <w:pPr>
        <w:spacing w:after="120"/>
        <w:jc w:val="center"/>
      </w:pPr>
      <w:r>
        <w:rPr>
          <w:b/>
          <w:bCs/>
          <w:color w:val="1F4E79"/>
          <w:sz w:val="52"/>
          <w:szCs w:val="52"/>
        </w:rPr>
        <w:t xml:space="preserve">Repositorio On-Premises</w:t>
      </w:r>
    </w:p>
    <w:p>
      <w:pPr>
        <w:spacing w:after="120"/>
        <w:jc w:val="center"/>
      </w:pPr>
      <w:r>
        <w:rPr>
          <w:b/>
          <w:bCs/>
          <w:color w:val="2E75B6"/>
          <w:sz w:val="56"/>
          <w:szCs w:val="56"/>
        </w:rPr>
        <w:t xml:space="preserve">→</w:t>
      </w:r>
    </w:p>
    <w:p>
      <w:pPr>
        <w:spacing w:after="400"/>
        <w:jc w:val="center"/>
      </w:pPr>
      <w:r>
        <w:rPr>
          <w:b/>
          <w:bCs/>
          <w:color w:val="1F4E79"/>
          <w:sz w:val="52"/>
          <w:szCs w:val="52"/>
        </w:rPr>
        <w:t xml:space="preserve">SharePoint Online (M365)</w:t>
      </w:r>
    </w:p>
    <w:p>
      <w:pPr>
        <w:spacing w:after="200"/>
        <w:jc w:val="center"/>
      </w:pPr>
      <w:r>
        <w:rPr>
          <w:i/>
          <w:iCs/>
          <w:color w:val="595959"/>
          <w:sz w:val="24"/>
          <w:szCs w:val="24"/>
        </w:rPr>
        <w:t xml:space="preserve">Migración de 2 TB de información con descubrimiento previo, rediseño de arquitectura de información, modelo de permisos, y ejecución por lotes usando herramientas nativas de Microsoft (Migration Manager y SPMT).</w:t>
      </w:r>
    </w:p>
    <w:p>
      <w:pPr>
        <w:spacing w:before="1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6"/>
              <w:left w:val="single" w:color="BFBFBF" w:sz="6"/>
              <w:bottom w:val="single" w:color="BFBFBF" w:sz="6"/>
              <w:right w:val="single" w:color="BFBFBF" w:sz="6"/>
            </w:tcBorders>
            <w:shd w:fill="D9E2F3" w:val="clear"/>
            <w:tcMar>
              <w:top w:type="dxa" w:w="90"/>
              <w:left w:type="dxa" w:w="140"/>
              <w:bottom w:type="dxa" w:w="90"/>
              <w:right w:type="dxa" w:w="140"/>
            </w:tcMar>
          </w:tcPr>
          <w:p>
            <w:r>
              <w:rPr>
                <w:b/>
                <w:bCs/>
                <w:color w:val="1F4E79"/>
                <w:sz w:val="22"/>
                <w:szCs w:val="22"/>
              </w:rPr>
              <w:t xml:space="preserve">Documento</w:t>
            </w:r>
          </w:p>
        </w:tc>
        <w:tc>
          <w:tcPr>
            <w:tcW w:type="dxa" w:w="6240"/>
            <w:tcBorders>
              <w:top w:val="single" w:color="BFBFBF" w:sz="6"/>
              <w:left w:val="single" w:color="BFBFBF" w:sz="6"/>
              <w:bottom w:val="single" w:color="BFBFBF" w:sz="6"/>
              <w:right w:val="single" w:color="BFBFBF" w:sz="6"/>
            </w:tcBorders>
            <w:tcMar>
              <w:top w:type="dxa" w:w="90"/>
              <w:left w:type="dxa" w:w="140"/>
              <w:bottom w:type="dxa" w:w="90"/>
              <w:right w:type="dxa" w:w="140"/>
            </w:tcMar>
          </w:tcPr>
          <w:p>
            <w:r>
              <w:rPr>
                <w:sz w:val="22"/>
                <w:szCs w:val="22"/>
              </w:rPr>
              <w:t xml:space="preserve">Plan de migración de repositorio on-premises → SharePoint Online</w:t>
            </w:r>
          </w:p>
        </w:tc>
      </w:tr>
      <w:tr>
        <w:tc>
          <w:tcPr>
            <w:tcW w:type="dxa" w:w="3120"/>
            <w:tcBorders>
              <w:top w:val="single" w:color="BFBFBF" w:sz="6"/>
              <w:left w:val="single" w:color="BFBFBF" w:sz="6"/>
              <w:bottom w:val="single" w:color="BFBFBF" w:sz="6"/>
              <w:right w:val="single" w:color="BFBFBF" w:sz="6"/>
            </w:tcBorders>
            <w:shd w:fill="D9E2F3" w:val="clear"/>
            <w:tcMar>
              <w:top w:type="dxa" w:w="90"/>
              <w:left w:type="dxa" w:w="140"/>
              <w:bottom w:type="dxa" w:w="90"/>
              <w:right w:type="dxa" w:w="140"/>
            </w:tcMar>
          </w:tcPr>
          <w:p>
            <w:r>
              <w:rPr>
                <w:b/>
                <w:bCs/>
                <w:color w:val="1F4E79"/>
                <w:sz w:val="22"/>
                <w:szCs w:val="22"/>
              </w:rPr>
              <w:t xml:space="preserve">Versión</w:t>
            </w:r>
          </w:p>
        </w:tc>
        <w:tc>
          <w:tcPr>
            <w:tcW w:type="dxa" w:w="6240"/>
            <w:tcBorders>
              <w:top w:val="single" w:color="BFBFBF" w:sz="6"/>
              <w:left w:val="single" w:color="BFBFBF" w:sz="6"/>
              <w:bottom w:val="single" w:color="BFBFBF" w:sz="6"/>
              <w:right w:val="single" w:color="BFBFBF" w:sz="6"/>
            </w:tcBorders>
            <w:tcMar>
              <w:top w:type="dxa" w:w="90"/>
              <w:left w:type="dxa" w:w="140"/>
              <w:bottom w:type="dxa" w:w="90"/>
              <w:right w:type="dxa" w:w="140"/>
            </w:tcMar>
          </w:tcPr>
          <w:p>
            <w:r>
              <w:rPr>
                <w:sz w:val="22"/>
                <w:szCs w:val="22"/>
              </w:rPr>
              <w:t xml:space="preserve">1.0</w:t>
            </w:r>
          </w:p>
        </w:tc>
      </w:tr>
      <w:tr>
        <w:tc>
          <w:tcPr>
            <w:tcW w:type="dxa" w:w="3120"/>
            <w:tcBorders>
              <w:top w:val="single" w:color="BFBFBF" w:sz="6"/>
              <w:left w:val="single" w:color="BFBFBF" w:sz="6"/>
              <w:bottom w:val="single" w:color="BFBFBF" w:sz="6"/>
              <w:right w:val="single" w:color="BFBFBF" w:sz="6"/>
            </w:tcBorders>
            <w:shd w:fill="D9E2F3" w:val="clear"/>
            <w:tcMar>
              <w:top w:type="dxa" w:w="90"/>
              <w:left w:type="dxa" w:w="140"/>
              <w:bottom w:type="dxa" w:w="90"/>
              <w:right w:type="dxa" w:w="140"/>
            </w:tcMar>
          </w:tcPr>
          <w:p>
            <w:r>
              <w:rPr>
                <w:b/>
                <w:bCs/>
                <w:color w:val="1F4E79"/>
                <w:sz w:val="22"/>
                <w:szCs w:val="22"/>
              </w:rPr>
              <w:t xml:space="preserve">Fecha de emisión</w:t>
            </w:r>
          </w:p>
        </w:tc>
        <w:tc>
          <w:tcPr>
            <w:tcW w:type="dxa" w:w="6240"/>
            <w:tcBorders>
              <w:top w:val="single" w:color="BFBFBF" w:sz="6"/>
              <w:left w:val="single" w:color="BFBFBF" w:sz="6"/>
              <w:bottom w:val="single" w:color="BFBFBF" w:sz="6"/>
              <w:right w:val="single" w:color="BFBFBF" w:sz="6"/>
            </w:tcBorders>
            <w:tcMar>
              <w:top w:type="dxa" w:w="90"/>
              <w:left w:type="dxa" w:w="140"/>
              <w:bottom w:type="dxa" w:w="90"/>
              <w:right w:type="dxa" w:w="140"/>
            </w:tcMar>
          </w:tcPr>
          <w:p>
            <w:r>
              <w:rPr>
                <w:sz w:val="22"/>
                <w:szCs w:val="22"/>
              </w:rPr>
              <w:t xml:space="preserve">Junio 2026</w:t>
            </w:r>
          </w:p>
        </w:tc>
      </w:tr>
      <w:tr>
        <w:tc>
          <w:tcPr>
            <w:tcW w:type="dxa" w:w="3120"/>
            <w:tcBorders>
              <w:top w:val="single" w:color="BFBFBF" w:sz="6"/>
              <w:left w:val="single" w:color="BFBFBF" w:sz="6"/>
              <w:bottom w:val="single" w:color="BFBFBF" w:sz="6"/>
              <w:right w:val="single" w:color="BFBFBF" w:sz="6"/>
            </w:tcBorders>
            <w:shd w:fill="D9E2F3" w:val="clear"/>
            <w:tcMar>
              <w:top w:type="dxa" w:w="90"/>
              <w:left w:type="dxa" w:w="140"/>
              <w:bottom w:type="dxa" w:w="90"/>
              <w:right w:type="dxa" w:w="140"/>
            </w:tcMar>
          </w:tcPr>
          <w:p>
            <w:r>
              <w:rPr>
                <w:b/>
                <w:bCs/>
                <w:color w:val="1F4E79"/>
                <w:sz w:val="22"/>
                <w:szCs w:val="22"/>
              </w:rPr>
              <w:t xml:space="preserve">Volumen estimado</w:t>
            </w:r>
          </w:p>
        </w:tc>
        <w:tc>
          <w:tcPr>
            <w:tcW w:type="dxa" w:w="6240"/>
            <w:tcBorders>
              <w:top w:val="single" w:color="BFBFBF" w:sz="6"/>
              <w:left w:val="single" w:color="BFBFBF" w:sz="6"/>
              <w:bottom w:val="single" w:color="BFBFBF" w:sz="6"/>
              <w:right w:val="single" w:color="BFBFBF" w:sz="6"/>
            </w:tcBorders>
            <w:tcMar>
              <w:top w:type="dxa" w:w="90"/>
              <w:left w:type="dxa" w:w="140"/>
              <w:bottom w:type="dxa" w:w="90"/>
              <w:right w:type="dxa" w:w="140"/>
            </w:tcMar>
          </w:tcPr>
          <w:p>
            <w:r>
              <w:rPr>
                <w:sz w:val="22"/>
                <w:szCs w:val="22"/>
              </w:rPr>
              <w:t xml:space="preserve">~2 TB</w:t>
            </w:r>
          </w:p>
        </w:tc>
      </w:tr>
      <w:tr>
        <w:tc>
          <w:tcPr>
            <w:tcW w:type="dxa" w:w="3120"/>
            <w:tcBorders>
              <w:top w:val="single" w:color="BFBFBF" w:sz="6"/>
              <w:left w:val="single" w:color="BFBFBF" w:sz="6"/>
              <w:bottom w:val="single" w:color="BFBFBF" w:sz="6"/>
              <w:right w:val="single" w:color="BFBFBF" w:sz="6"/>
            </w:tcBorders>
            <w:shd w:fill="D9E2F3" w:val="clear"/>
            <w:tcMar>
              <w:top w:type="dxa" w:w="90"/>
              <w:left w:type="dxa" w:w="140"/>
              <w:bottom w:type="dxa" w:w="90"/>
              <w:right w:type="dxa" w:w="140"/>
            </w:tcMar>
          </w:tcPr>
          <w:p>
            <w:r>
              <w:rPr>
                <w:b/>
                <w:bCs/>
                <w:color w:val="1F4E79"/>
                <w:sz w:val="22"/>
                <w:szCs w:val="22"/>
              </w:rPr>
              <w:t xml:space="preserve">Plataforma destino</w:t>
            </w:r>
          </w:p>
        </w:tc>
        <w:tc>
          <w:tcPr>
            <w:tcW w:type="dxa" w:w="6240"/>
            <w:tcBorders>
              <w:top w:val="single" w:color="BFBFBF" w:sz="6"/>
              <w:left w:val="single" w:color="BFBFBF" w:sz="6"/>
              <w:bottom w:val="single" w:color="BFBFBF" w:sz="6"/>
              <w:right w:val="single" w:color="BFBFBF" w:sz="6"/>
            </w:tcBorders>
            <w:tcMar>
              <w:top w:type="dxa" w:w="90"/>
              <w:left w:type="dxa" w:w="140"/>
              <w:bottom w:type="dxa" w:w="90"/>
              <w:right w:type="dxa" w:w="140"/>
            </w:tcMar>
          </w:tcPr>
          <w:p>
            <w:r>
              <w:rPr>
                <w:sz w:val="22"/>
                <w:szCs w:val="22"/>
              </w:rPr>
              <w:t xml:space="preserve">Microsoft 365 — SharePoint Online (Plan E3)</w:t>
            </w:r>
          </w:p>
        </w:tc>
      </w:tr>
      <w:tr>
        <w:tc>
          <w:tcPr>
            <w:tcW w:type="dxa" w:w="3120"/>
            <w:tcBorders>
              <w:top w:val="single" w:color="BFBFBF" w:sz="6"/>
              <w:left w:val="single" w:color="BFBFBF" w:sz="6"/>
              <w:bottom w:val="single" w:color="BFBFBF" w:sz="6"/>
              <w:right w:val="single" w:color="BFBFBF" w:sz="6"/>
            </w:tcBorders>
            <w:shd w:fill="D9E2F3" w:val="clear"/>
            <w:tcMar>
              <w:top w:type="dxa" w:w="90"/>
              <w:left w:type="dxa" w:w="140"/>
              <w:bottom w:type="dxa" w:w="90"/>
              <w:right w:type="dxa" w:w="140"/>
            </w:tcMar>
          </w:tcPr>
          <w:p>
            <w:r>
              <w:rPr>
                <w:b/>
                <w:bCs/>
                <w:color w:val="1F4E79"/>
                <w:sz w:val="22"/>
                <w:szCs w:val="22"/>
              </w:rPr>
              <w:t xml:space="preserve">Herramientas propuestas</w:t>
            </w:r>
          </w:p>
        </w:tc>
        <w:tc>
          <w:tcPr>
            <w:tcW w:type="dxa" w:w="6240"/>
            <w:tcBorders>
              <w:top w:val="single" w:color="BFBFBF" w:sz="6"/>
              <w:left w:val="single" w:color="BFBFBF" w:sz="6"/>
              <w:bottom w:val="single" w:color="BFBFBF" w:sz="6"/>
              <w:right w:val="single" w:color="BFBFBF" w:sz="6"/>
            </w:tcBorders>
            <w:tcMar>
              <w:top w:type="dxa" w:w="90"/>
              <w:left w:type="dxa" w:w="140"/>
              <w:bottom w:type="dxa" w:w="90"/>
              <w:right w:type="dxa" w:w="140"/>
            </w:tcMar>
          </w:tcPr>
          <w:p>
            <w:r>
              <w:rPr>
                <w:sz w:val="22"/>
                <w:szCs w:val="22"/>
              </w:rPr>
              <w:t xml:space="preserve">Migration Manager (principal) + SPMT (complemento)</w:t>
            </w:r>
          </w:p>
        </w:tc>
      </w:tr>
      <w:tr>
        <w:tc>
          <w:tcPr>
            <w:tcW w:type="dxa" w:w="3120"/>
            <w:tcBorders>
              <w:top w:val="single" w:color="BFBFBF" w:sz="6"/>
              <w:left w:val="single" w:color="BFBFBF" w:sz="6"/>
              <w:bottom w:val="single" w:color="BFBFBF" w:sz="6"/>
              <w:right w:val="single" w:color="BFBFBF" w:sz="6"/>
            </w:tcBorders>
            <w:shd w:fill="D9E2F3" w:val="clear"/>
            <w:tcMar>
              <w:top w:type="dxa" w:w="90"/>
              <w:left w:type="dxa" w:w="140"/>
              <w:bottom w:type="dxa" w:w="90"/>
              <w:right w:type="dxa" w:w="140"/>
            </w:tcMar>
          </w:tcPr>
          <w:p>
            <w:r>
              <w:rPr>
                <w:b/>
                <w:bCs/>
                <w:color w:val="1F4E79"/>
                <w:sz w:val="22"/>
                <w:szCs w:val="22"/>
              </w:rPr>
              <w:t xml:space="preserve">Audiencia</w:t>
            </w:r>
          </w:p>
        </w:tc>
        <w:tc>
          <w:tcPr>
            <w:tcW w:type="dxa" w:w="6240"/>
            <w:tcBorders>
              <w:top w:val="single" w:color="BFBFBF" w:sz="6"/>
              <w:left w:val="single" w:color="BFBFBF" w:sz="6"/>
              <w:bottom w:val="single" w:color="BFBFBF" w:sz="6"/>
              <w:right w:val="single" w:color="BFBFBF" w:sz="6"/>
            </w:tcBorders>
            <w:tcMar>
              <w:top w:type="dxa" w:w="90"/>
              <w:left w:type="dxa" w:w="140"/>
              <w:bottom w:type="dxa" w:w="90"/>
              <w:right w:type="dxa" w:w="140"/>
            </w:tcMar>
          </w:tcPr>
          <w:p>
            <w:r>
              <w:rPr>
                <w:sz w:val="22"/>
                <w:szCs w:val="22"/>
              </w:rPr>
              <w:t xml:space="preserve">Administradores TI / Equipo de migración / Área de gobierno</w:t>
            </w:r>
          </w:p>
        </w:tc>
      </w:tr>
    </w:tbl>
    <w:p>
      <w:r>
        <w:br w:type="page"/>
      </w:r>
    </w:p>
    <w:p>
      <w:pPr>
        <w:pStyle w:val="Heading1"/>
        <w:spacing w:after="200" w:before="360"/>
      </w:pPr>
      <w:r>
        <w:t xml:space="preserve">1. Resumen ejecutivo</w:t>
      </w:r>
    </w:p>
    <w:p>
      <w:pPr>
        <w:spacing w:after="120" w:before="0" w:line="300"/>
      </w:pPr>
      <w:r>
        <w:t xml:space="preserve">El cliente cuenta con aproximadamente 2 TB de información almacenada en un repositorio local (típicamente un servidor de archivos Windows o NAS con protocolo SMB) y ha decidido migrar dicha información a Microsoft 365, específicamente a SharePoint Online, para modernizar la colaboración, reducir la dependencia de infraestructura on-premises y aprovechar las capacidades de gobierno, búsqueda y trabajo remoto que ofrece la plataforma.</w:t>
      </w:r>
    </w:p>
    <w:p>
      <w:pPr>
        <w:spacing w:after="120" w:before="0" w:line="300"/>
      </w:pPr>
      <w:r>
        <w:t xml:space="preserve">Sin embargo, antes de mover un solo archivo, es imprescindible entender qué se tiene, cómo está organizado, quién tiene acceso y qué se debe conservar, transformar o eliminar. Por esta razón, la presente guía propone un enfoque estructurado en siete fases:</w:t>
      </w:r>
    </w:p>
    <w:p>
      <w:pPr>
        <w:pStyle w:val="ListParagraph"/>
        <w:numPr>
          <w:ilvl w:val="0"/>
          <w:numId w:val="2"/>
        </w:numPr>
        <w:spacing w:after="80" w:line="280"/>
      </w:pPr>
      <w:r>
        <w:rPr>
          <w:b/>
          <w:bCs/>
          <w:color w:val="1F4E79"/>
        </w:rPr>
        <w:t xml:space="preserve">Fase 0 — Descubrimiento y evaluación: </w:t>
      </w:r>
      <w:r>
        <w:t xml:space="preserve">levantamiento exhaustivo del entorno actual (estructura, tamaño, permisos, uso).</w:t>
      </w:r>
    </w:p>
    <w:p>
      <w:pPr>
        <w:pStyle w:val="ListParagraph"/>
        <w:numPr>
          <w:ilvl w:val="0"/>
          <w:numId w:val="2"/>
        </w:numPr>
        <w:spacing w:after="80" w:line="280"/>
      </w:pPr>
      <w:r>
        <w:rPr>
          <w:b/>
          <w:bCs/>
          <w:color w:val="1F4E79"/>
        </w:rPr>
        <w:t xml:space="preserve">Fase 1 — Diseño de la arquitectura destino: </w:t>
      </w:r>
      <w:r>
        <w:t xml:space="preserve">modelo de sitios, hubs, bibliotecas, y estrategia de permisos en SharePoint.</w:t>
      </w:r>
    </w:p>
    <w:p>
      <w:pPr>
        <w:pStyle w:val="ListParagraph"/>
        <w:numPr>
          <w:ilvl w:val="0"/>
          <w:numId w:val="2"/>
        </w:numPr>
        <w:spacing w:after="80" w:line="280"/>
      </w:pPr>
      <w:r>
        <w:rPr>
          <w:b/>
          <w:bCs/>
          <w:color w:val="1F4E79"/>
        </w:rPr>
        <w:t xml:space="preserve">Fase 2 — Preparación del entorno: </w:t>
      </w:r>
      <w:r>
        <w:t xml:space="preserve">provisión de sitios, grupos de acceso, políticas de gobierno y limpieza previa del origen.</w:t>
      </w:r>
    </w:p>
    <w:p>
      <w:pPr>
        <w:pStyle w:val="ListParagraph"/>
        <w:numPr>
          <w:ilvl w:val="0"/>
          <w:numId w:val="2"/>
        </w:numPr>
        <w:spacing w:after="80" w:line="280"/>
      </w:pPr>
      <w:r>
        <w:rPr>
          <w:b/>
          <w:bCs/>
          <w:color w:val="1F4E79"/>
        </w:rPr>
        <w:t xml:space="preserve">Fase 3 — Selección y configuración de herramientas: </w:t>
      </w:r>
      <w:r>
        <w:t xml:space="preserve">instalación de agentes de Migration Manager y validación.</w:t>
      </w:r>
    </w:p>
    <w:p>
      <w:pPr>
        <w:pStyle w:val="ListParagraph"/>
        <w:numPr>
          <w:ilvl w:val="0"/>
          <w:numId w:val="2"/>
        </w:numPr>
        <w:spacing w:after="80" w:line="280"/>
      </w:pPr>
      <w:r>
        <w:rPr>
          <w:b/>
          <w:bCs/>
          <w:color w:val="1F4E79"/>
        </w:rPr>
        <w:t xml:space="preserve">Fase 4 — Piloto: </w:t>
      </w:r>
      <w:r>
        <w:t xml:space="preserve">prueba controlada con un departamento o volumen pequeño (~50–100 GB).</w:t>
      </w:r>
    </w:p>
    <w:p>
      <w:pPr>
        <w:pStyle w:val="ListParagraph"/>
        <w:numPr>
          <w:ilvl w:val="0"/>
          <w:numId w:val="2"/>
        </w:numPr>
        <w:spacing w:after="80" w:line="280"/>
      </w:pPr>
      <w:r>
        <w:rPr>
          <w:b/>
          <w:bCs/>
          <w:color w:val="1F4E79"/>
        </w:rPr>
        <w:t xml:space="preserve">Fase 5 — Migración por olas: </w:t>
      </w:r>
      <w:r>
        <w:t xml:space="preserve">ejecución del grueso de los 2 TB en lotes departamentales o por prioridad.</w:t>
      </w:r>
    </w:p>
    <w:p>
      <w:pPr>
        <w:pStyle w:val="ListParagraph"/>
        <w:numPr>
          <w:ilvl w:val="0"/>
          <w:numId w:val="2"/>
        </w:numPr>
        <w:spacing w:after="80" w:line="280"/>
      </w:pPr>
      <w:r>
        <w:rPr>
          <w:b/>
          <w:bCs/>
          <w:color w:val="1F4E79"/>
        </w:rPr>
        <w:t xml:space="preserve">Fase 6 — Cutover y post-migración: </w:t>
      </w:r>
      <w:r>
        <w:t xml:space="preserve">sincronización delta, cambio a modo solo lectura del origen, validación y adopción.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FFF2CC" w:val="clear"/>
            <w:tcMar>
              <w:top w:type="dxa" w:w="160"/>
              <w:left w:type="dxa" w:w="200"/>
              <w:bottom w:type="dxa" w:w="160"/>
              <w:right w:type="dxa" w:w="200"/>
            </w:tcMar>
          </w:tcPr>
          <w:p>
            <w:pPr>
              <w:spacing w:after="80"/>
            </w:pPr>
            <w:r>
              <w:rPr>
                <w:b/>
                <w:bCs/>
                <w:color w:val="1F4E79"/>
                <w:sz w:val="22"/>
                <w:szCs w:val="22"/>
              </w:rPr>
              <w:t xml:space="preserve">Principio rector: descubrimiento antes que ejecución</w:t>
            </w:r>
          </w:p>
          <w:p>
            <w:pPr>
              <w:spacing w:after="0" w:before="0" w:line="300"/>
            </w:pPr>
            <w:r>
              <w:t xml:space="preserve">La causa número uno de fracaso en migraciones a SharePoint no es la herramienta, sino haber comenzado a mover archivos sin entender qué hay en el origen. Se pierden permisos, se rompen dependencias, se replican estructuras obsoletas en la nube. Este documento dedica una fase completa (Fase 0) a resolver esa incertidumbre antes de tocar cualquier archivo.</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E2EFDA" w:val="clear"/>
            <w:tcMar>
              <w:top w:type="dxa" w:w="160"/>
              <w:left w:type="dxa" w:w="200"/>
              <w:bottom w:type="dxa" w:w="160"/>
              <w:right w:type="dxa" w:w="200"/>
            </w:tcMar>
          </w:tcPr>
          <w:p>
            <w:pPr>
              <w:spacing w:after="80"/>
            </w:pPr>
            <w:r>
              <w:rPr>
                <w:b/>
                <w:bCs/>
                <w:color w:val="1F4E79"/>
                <w:sz w:val="22"/>
                <w:szCs w:val="22"/>
              </w:rPr>
              <w:t xml:space="preserve">Herramientas recomendadas</w:t>
            </w:r>
          </w:p>
          <w:p>
            <w:pPr>
              <w:spacing w:after="60" w:before="0" w:line="300"/>
            </w:pPr>
            <w:r>
              <w:rPr>
                <w:b/>
                <w:bCs/>
              </w:rPr>
              <w:t xml:space="preserve">Migration Manager </w:t>
            </w:r>
            <w:r>
              <w:t xml:space="preserve">(nativo de Microsoft, incluido con M365, sin costo adicional) — herramienta principal para el grueso de la migración de 2 TB. Basado en agentes, con dashboard centralizado y sincronización incremental.</w:t>
            </w:r>
          </w:p>
          <w:p>
            <w:pPr>
              <w:spacing w:after="60" w:before="0" w:line="300"/>
            </w:pPr>
            <w:r>
              <w:rPr>
                <w:b/>
                <w:bCs/>
              </w:rPr>
              <w:t xml:space="preserve">SharePoint Migration Tool (SPMT) </w:t>
            </w:r>
            <w:r>
              <w:t xml:space="preserve">(nativo, gratuito) — complementario, útil para lotes pequeños específicos o migraciones puntuales.</w:t>
            </w:r>
          </w:p>
          <w:p>
            <w:pPr>
              <w:spacing w:after="0" w:before="0" w:line="300"/>
            </w:pPr>
            <w:r>
              <w:rPr>
                <w:b/>
                <w:bCs/>
              </w:rPr>
              <w:t xml:space="preserve">PnP PowerShell </w:t>
            </w:r>
            <w:r>
              <w:t xml:space="preserve">(opcional, comunidad Microsoft) — para provisión automatizada de sitios y validación.</w:t>
            </w:r>
          </w:p>
        </w:tc>
      </w:tr>
    </w:tbl>
    <w:p>
      <w:r>
        <w:br w:type="page"/>
      </w:r>
    </w:p>
    <w:p>
      <w:pPr>
        <w:pStyle w:val="Heading1"/>
        <w:spacing w:after="200" w:before="360"/>
      </w:pPr>
      <w:r>
        <w:t xml:space="preserve">2. Tabla de contenido</w:t>
      </w:r>
    </w:p>
    <w:p>
      <w:pPr>
        <w:spacing w:after="120" w:before="0" w:line="300"/>
      </w:pPr>
      <w:r>
        <w:t xml:space="preserve">1.   Resumen ejecutivo</w:t>
      </w:r>
    </w:p>
    <w:p>
      <w:pPr>
        <w:spacing w:after="120" w:before="0" w:line="300"/>
      </w:pPr>
      <w:r>
        <w:t xml:space="preserve">2.   Tabla de contenido</w:t>
      </w:r>
    </w:p>
    <w:p>
      <w:pPr>
        <w:spacing w:after="120" w:before="0" w:line="300"/>
      </w:pPr>
      <w:r>
        <w:t xml:space="preserve">3.   Fase 0 — Descubrimiento y evaluación del entorno actual</w:t>
      </w:r>
    </w:p>
    <w:p>
      <w:pPr>
        <w:spacing w:after="120" w:before="0" w:line="300"/>
      </w:pPr>
      <w:r>
        <w:t xml:space="preserve">4.   Fase 1 — Diseño de la arquitectura destino en SharePoint</w:t>
      </w:r>
    </w:p>
    <w:p>
      <w:pPr>
        <w:spacing w:after="120" w:before="0" w:line="300"/>
      </w:pPr>
      <w:r>
        <w:t xml:space="preserve">5.   Fase 2 — Preparación del entorno destino y limpieza del origen</w:t>
      </w:r>
    </w:p>
    <w:p>
      <w:pPr>
        <w:spacing w:after="120" w:before="0" w:line="300"/>
      </w:pPr>
      <w:r>
        <w:t xml:space="preserve">6.   Fase 3 — Selección y configuración de herramientas de migración</w:t>
      </w:r>
    </w:p>
    <w:p>
      <w:pPr>
        <w:spacing w:after="120" w:before="0" w:line="300"/>
      </w:pPr>
      <w:r>
        <w:t xml:space="preserve">7.   Fase 4 — Migración piloto</w:t>
      </w:r>
    </w:p>
    <w:p>
      <w:pPr>
        <w:spacing w:after="120" w:before="0" w:line="300"/>
      </w:pPr>
      <w:r>
        <w:t xml:space="preserve">8.   Fase 5 — Migración por olas (waves)</w:t>
      </w:r>
    </w:p>
    <w:p>
      <w:pPr>
        <w:spacing w:after="120" w:before="0" w:line="300"/>
      </w:pPr>
      <w:r>
        <w:t xml:space="preserve">9.   Fase 6 — Cutover, validación y post-migración</w:t>
      </w:r>
    </w:p>
    <w:p>
      <w:pPr>
        <w:spacing w:after="120" w:before="0" w:line="300"/>
      </w:pPr>
      <w:r>
        <w:t xml:space="preserve">10. Apéndice A — Cuestionario de descubrimiento (para el cliente)</w:t>
      </w:r>
    </w:p>
    <w:p>
      <w:pPr>
        <w:spacing w:after="120" w:before="0" w:line="300"/>
      </w:pPr>
      <w:r>
        <w:t xml:space="preserve">11. Apéndice B — Plantilla de mapeo origen → destino</w:t>
      </w:r>
    </w:p>
    <w:p>
      <w:pPr>
        <w:spacing w:after="120" w:before="0" w:line="300"/>
      </w:pPr>
      <w:r>
        <w:t xml:space="preserve">12. Apéndice C — Matriz de permisos y modelo de grupos</w:t>
      </w:r>
    </w:p>
    <w:p>
      <w:pPr>
        <w:spacing w:after="120" w:before="0" w:line="300"/>
      </w:pPr>
      <w:r>
        <w:t xml:space="preserve">13. Apéndice D — Comparativo detallado de herramientas de migración</w:t>
      </w:r>
    </w:p>
    <w:p>
      <w:pPr>
        <w:spacing w:after="120" w:before="0" w:line="300"/>
      </w:pPr>
      <w:r>
        <w:t xml:space="preserve">14. Apéndice E — Lista de verificación (checklist)</w:t>
      </w:r>
    </w:p>
    <w:p>
      <w:pPr>
        <w:spacing w:after="120" w:before="0" w:line="300"/>
      </w:pPr>
      <w:r>
        <w:t xml:space="preserve">15. Apéndice F — Solución de problemas comunes</w:t>
      </w:r>
    </w:p>
    <w:p>
      <w:r>
        <w:br w:type="page"/>
      </w:r>
    </w:p>
    <w:p>
      <w:pPr>
        <w:pStyle w:val="Heading1"/>
        <w:spacing w:after="200" w:before="360"/>
      </w:pPr>
      <w:r>
        <w:t xml:space="preserve">3. Fase 0 — Descubrimiento y evaluación del entorno actual</w:t>
      </w:r>
    </w:p>
    <w:p>
      <w:pPr>
        <w:spacing w:after="120" w:before="0" w:line="300"/>
      </w:pPr>
      <w:r>
        <w:t xml:space="preserve">Esta fase es la más importante del proyecto. Sin un descubrimiento riguroso, cualquier plan de migración es especulativo. El objetivo es responder con precisión: ¿qué se va a mover, cómo está organizado, quién tiene acceso, qué es valioso, qué se debe transformar, y qué NO se debe migrar?</w:t>
      </w:r>
    </w:p>
    <w:p>
      <w:pPr>
        <w:spacing w:after="100"/>
      </w:pPr>
      <w:r>
        <w:t xml:space="preserve"/>
      </w:r>
    </w:p>
    <w:p>
      <w:pPr>
        <w:pStyle w:val="Heading2"/>
        <w:spacing w:after="160" w:before="280"/>
      </w:pPr>
      <w:r>
        <w:t xml:space="preserve">3.1 Objetivos de la fase</w:t>
      </w:r>
    </w:p>
    <w:p>
      <w:pPr>
        <w:pStyle w:val="ListParagraph"/>
        <w:numPr>
          <w:ilvl w:val="0"/>
          <w:numId w:val="2"/>
        </w:numPr>
        <w:spacing w:after="80" w:line="280"/>
      </w:pPr>
      <w:r>
        <w:t xml:space="preserve">Entender la estructura física y lógica del repositorio actual.</w:t>
      </w:r>
    </w:p>
    <w:p>
      <w:pPr>
        <w:pStyle w:val="ListParagraph"/>
        <w:numPr>
          <w:ilvl w:val="0"/>
          <w:numId w:val="2"/>
        </w:numPr>
        <w:spacing w:after="80" w:line="280"/>
      </w:pPr>
      <w:r>
        <w:t xml:space="preserve">Identificar el modelo de permisos existente (NTFS, ACLs, grupos de AD, RBAC).</w:t>
      </w:r>
    </w:p>
    <w:p>
      <w:pPr>
        <w:pStyle w:val="ListParagraph"/>
        <w:numPr>
          <w:ilvl w:val="0"/>
          <w:numId w:val="2"/>
        </w:numPr>
        <w:spacing w:after="80" w:line="280"/>
      </w:pPr>
      <w:r>
        <w:t xml:space="preserve">Cuantificar el volumen: número de archivos, carpetas, tamaños, tipos, versiones.</w:t>
      </w:r>
    </w:p>
    <w:p>
      <w:pPr>
        <w:pStyle w:val="ListParagraph"/>
        <w:numPr>
          <w:ilvl w:val="0"/>
          <w:numId w:val="2"/>
        </w:numPr>
        <w:spacing w:after="80" w:line="280"/>
      </w:pPr>
      <w:r>
        <w:t xml:space="preserve">Detectar contenido ROT (Redundant, Obsolete, Trivial) — típicamente 30–50% del volumen.</w:t>
      </w:r>
    </w:p>
    <w:p>
      <w:pPr>
        <w:pStyle w:val="ListParagraph"/>
        <w:numPr>
          <w:ilvl w:val="0"/>
          <w:numId w:val="2"/>
        </w:numPr>
        <w:spacing w:after="80" w:line="280"/>
      </w:pPr>
      <w:r>
        <w:t xml:space="preserve">Identificar riesgos técnicos: rutas largas, caracteres especiales, dependencias de aplicaciones LOB.</w:t>
      </w:r>
    </w:p>
    <w:p>
      <w:pPr>
        <w:pStyle w:val="ListParagraph"/>
        <w:numPr>
          <w:ilvl w:val="0"/>
          <w:numId w:val="2"/>
        </w:numPr>
        <w:spacing w:after="80" w:line="280"/>
      </w:pPr>
      <w:r>
        <w:t xml:space="preserve">Definir criterios de éxito y aceptación con el cliente.</w:t>
      </w:r>
    </w:p>
    <w:p>
      <w:pPr>
        <w:spacing w:after="100"/>
      </w:pPr>
      <w:r>
        <w:t xml:space="preserve"/>
      </w:r>
    </w:p>
    <w:p>
      <w:pPr>
        <w:pStyle w:val="Heading2"/>
        <w:spacing w:after="160" w:before="280"/>
      </w:pPr>
      <w:r>
        <w:t xml:space="preserve">3.2 Preguntas clave para el cliente (entrevista de negocio)</w:t>
      </w:r>
    </w:p>
    <w:p>
      <w:pPr>
        <w:spacing w:after="120" w:before="0" w:line="300"/>
      </w:pPr>
      <w:r>
        <w:t xml:space="preserve">Estas preguntas deben plantearse al cliente en sesiones de entrevista con las áreas involucradas (TI, dueños de datos, seguridad, compliance). El Apéndice A contiene el cuestionario completo. Los grandes bloques son:</w:t>
      </w:r>
    </w:p>
    <w:p>
      <w:pPr>
        <w:pStyle w:val="Heading3"/>
        <w:spacing w:after="120" w:before="220"/>
      </w:pPr>
      <w:r>
        <w:t xml:space="preserve">3.2.1 Organización actual del contenido</w:t>
      </w:r>
    </w:p>
    <w:p>
      <w:pPr>
        <w:pStyle w:val="ListParagraph"/>
        <w:numPr>
          <w:ilvl w:val="0"/>
          <w:numId w:val="2"/>
        </w:numPr>
        <w:spacing w:after="80" w:line="280"/>
      </w:pPr>
      <w:r>
        <w:t xml:space="preserve">¿Cómo está estructurada la información? ¿Por departamento, área funcional, proyecto, cliente, fecha?</w:t>
      </w:r>
    </w:p>
    <w:p>
      <w:pPr>
        <w:pStyle w:val="ListParagraph"/>
        <w:numPr>
          <w:ilvl w:val="0"/>
          <w:numId w:val="2"/>
        </w:numPr>
        <w:spacing w:after="80" w:line="280"/>
      </w:pPr>
      <w:r>
        <w:t xml:space="preserve">¿Existe un mapa de la estructura de carpetas? ¿Cuántos niveles de profundidad promedio y máximo?</w:t>
      </w:r>
    </w:p>
    <w:p>
      <w:pPr>
        <w:pStyle w:val="ListParagraph"/>
        <w:numPr>
          <w:ilvl w:val="0"/>
          <w:numId w:val="2"/>
        </w:numPr>
        <w:spacing w:after="80" w:line="280"/>
      </w:pPr>
      <w:r>
        <w:t xml:space="preserve">¿Hay convenciones de nomenclatura documentadas o cada área nombra sus archivos como quiere?</w:t>
      </w:r>
    </w:p>
    <w:p>
      <w:pPr>
        <w:pStyle w:val="ListParagraph"/>
        <w:numPr>
          <w:ilvl w:val="0"/>
          <w:numId w:val="2"/>
        </w:numPr>
        <w:spacing w:after="80" w:line="280"/>
      </w:pPr>
      <w:r>
        <w:t xml:space="preserve">¿Existen archivos duplicados intencionalmente (respaldos manuales, versiones históricas)?</w:t>
      </w:r>
    </w:p>
    <w:p>
      <w:pPr>
        <w:pStyle w:val="ListParagraph"/>
        <w:numPr>
          <w:ilvl w:val="0"/>
          <w:numId w:val="2"/>
        </w:numPr>
        <w:spacing w:after="80" w:line="280"/>
      </w:pPr>
      <w:r>
        <w:t xml:space="preserve">¿Qué % del contenido considera el cliente como "activo" (usado en el último año) vs "histórico" (referencia) vs "obsoleto"?</w:t>
      </w:r>
    </w:p>
    <w:p>
      <w:pPr>
        <w:spacing w:after="100"/>
      </w:pPr>
      <w:r>
        <w:t xml:space="preserve"/>
      </w:r>
    </w:p>
    <w:p>
      <w:pPr>
        <w:pStyle w:val="Heading3"/>
        <w:spacing w:after="120" w:before="220"/>
      </w:pPr>
      <w:r>
        <w:t xml:space="preserve">3.2.2 Modelo de permisos y RBAC</w:t>
      </w:r>
    </w:p>
    <w:p>
      <w:pPr>
        <w:pStyle w:val="ListParagraph"/>
        <w:numPr>
          <w:ilvl w:val="0"/>
          <w:numId w:val="2"/>
        </w:numPr>
        <w:spacing w:after="80" w:line="280"/>
      </w:pPr>
      <w:r>
        <w:t xml:space="preserve">¿Cómo se controlan hoy los accesos? ¿NTFS, ACLs por carpeta, roles de Active Directory, grupos de seguridad?</w:t>
      </w:r>
    </w:p>
    <w:p>
      <w:pPr>
        <w:pStyle w:val="ListParagraph"/>
        <w:numPr>
          <w:ilvl w:val="0"/>
          <w:numId w:val="2"/>
        </w:numPr>
        <w:spacing w:after="80" w:line="280"/>
      </w:pPr>
      <w:r>
        <w:t xml:space="preserve">¿Existe un modelo RBAC documentado o los permisos han crecido "orgánicamente"?</w:t>
      </w:r>
    </w:p>
    <w:p>
      <w:pPr>
        <w:pStyle w:val="ListParagraph"/>
        <w:numPr>
          <w:ilvl w:val="0"/>
          <w:numId w:val="2"/>
        </w:numPr>
        <w:spacing w:after="80" w:line="280"/>
      </w:pPr>
      <w:r>
        <w:t xml:space="preserve">¿Cuántos grupos de seguridad de AD están involucrados?</w:t>
      </w:r>
    </w:p>
    <w:p>
      <w:pPr>
        <w:pStyle w:val="ListParagraph"/>
        <w:numPr>
          <w:ilvl w:val="0"/>
          <w:numId w:val="2"/>
        </w:numPr>
        <w:spacing w:after="80" w:line="280"/>
      </w:pPr>
      <w:r>
        <w:t xml:space="preserve">¿Hay carpetas con permisos únicos que rompen herencia (breaking inheritance)?</w:t>
      </w:r>
    </w:p>
    <w:p>
      <w:pPr>
        <w:pStyle w:val="ListParagraph"/>
        <w:numPr>
          <w:ilvl w:val="0"/>
          <w:numId w:val="2"/>
        </w:numPr>
        <w:spacing w:after="80" w:line="280"/>
      </w:pPr>
      <w:r>
        <w:t xml:space="preserve">¿Los permisos se dan por grupo, por usuario individual, o mezclado?</w:t>
      </w:r>
    </w:p>
    <w:p>
      <w:pPr>
        <w:pStyle w:val="ListParagraph"/>
        <w:numPr>
          <w:ilvl w:val="0"/>
          <w:numId w:val="2"/>
        </w:numPr>
        <w:spacing w:after="80" w:line="280"/>
      </w:pPr>
      <w:r>
        <w:t xml:space="preserve">¿Active Directory está sincronizado con Entra ID (Azure AD)? Si no, ¿se planea hacerlo antes?</w:t>
      </w:r>
    </w:p>
    <w:p>
      <w:pPr>
        <w:pStyle w:val="ListParagraph"/>
        <w:numPr>
          <w:ilvl w:val="0"/>
          <w:numId w:val="2"/>
        </w:numPr>
        <w:spacing w:after="80" w:line="280"/>
      </w:pPr>
      <w:r>
        <w:t xml:space="preserve">¿Existen usuarios externos, contratistas o proveedores con acceso hoy?</w:t>
      </w:r>
    </w:p>
    <w:p>
      <w:pPr>
        <w:spacing w:after="100"/>
      </w:pPr>
      <w:r>
        <w:t xml:space="preserve"/>
      </w:r>
    </w:p>
    <w:p>
      <w:pPr>
        <w:pStyle w:val="Heading3"/>
        <w:spacing w:after="120" w:before="220"/>
      </w:pPr>
      <w:r>
        <w:t xml:space="preserve">3.2.3 Gobierno, riesgos y continuidad</w:t>
      </w:r>
    </w:p>
    <w:p>
      <w:pPr>
        <w:pStyle w:val="ListParagraph"/>
        <w:numPr>
          <w:ilvl w:val="0"/>
          <w:numId w:val="2"/>
        </w:numPr>
        <w:spacing w:after="80" w:line="280"/>
      </w:pPr>
      <w:r>
        <w:t xml:space="preserve">¿Qué pasa si alguien altera o borra información por error? ¿Hay respaldos? ¿RPO/RTO definidos?</w:t>
      </w:r>
    </w:p>
    <w:p>
      <w:pPr>
        <w:pStyle w:val="ListParagraph"/>
        <w:numPr>
          <w:ilvl w:val="0"/>
          <w:numId w:val="2"/>
        </w:numPr>
        <w:spacing w:after="80" w:line="280"/>
      </w:pPr>
      <w:r>
        <w:t xml:space="preserve">¿Hay políticas de retención (contable, legal, regulatoria) que apliquen al contenido?</w:t>
      </w:r>
    </w:p>
    <w:p>
      <w:pPr>
        <w:pStyle w:val="ListParagraph"/>
        <w:numPr>
          <w:ilvl w:val="0"/>
          <w:numId w:val="2"/>
        </w:numPr>
        <w:spacing w:after="80" w:line="280"/>
      </w:pPr>
      <w:r>
        <w:t xml:space="preserve">¿Se audita hoy el acceso a los archivos? ¿Existe registro de quién accede a qué?</w:t>
      </w:r>
    </w:p>
    <w:p>
      <w:pPr>
        <w:pStyle w:val="ListParagraph"/>
        <w:numPr>
          <w:ilvl w:val="0"/>
          <w:numId w:val="2"/>
        </w:numPr>
        <w:spacing w:after="80" w:line="280"/>
      </w:pPr>
      <w:r>
        <w:t xml:space="preserve">¿Hay contenido sensible (datos personales, financiero, propiedad intelectual) que requiera etiquetado o cifrado?</w:t>
      </w:r>
    </w:p>
    <w:p>
      <w:pPr>
        <w:pStyle w:val="ListParagraph"/>
        <w:numPr>
          <w:ilvl w:val="0"/>
          <w:numId w:val="2"/>
        </w:numPr>
        <w:spacing w:after="80" w:line="280"/>
      </w:pPr>
      <w:r>
        <w:t xml:space="preserve">¿Existe una clasificación previa de la información (público, interno, confidencial, restringido)?</w:t>
      </w:r>
    </w:p>
    <w:p>
      <w:pPr>
        <w:spacing w:after="100"/>
      </w:pPr>
      <w:r>
        <w:t xml:space="preserve"/>
      </w:r>
    </w:p>
    <w:p>
      <w:pPr>
        <w:pStyle w:val="Heading3"/>
        <w:spacing w:after="120" w:before="220"/>
      </w:pPr>
      <w:r>
        <w:t xml:space="preserve">3.2.4 Uso y dependencias operativas</w:t>
      </w:r>
    </w:p>
    <w:p>
      <w:pPr>
        <w:pStyle w:val="ListParagraph"/>
        <w:numPr>
          <w:ilvl w:val="0"/>
          <w:numId w:val="2"/>
        </w:numPr>
        <w:spacing w:after="80" w:line="280"/>
      </w:pPr>
      <w:r>
        <w:t xml:space="preserve">¿Hay aplicaciones de negocio (ERP, CRM, sistemas legacy) que lean o escriban directamente en el repositorio?</w:t>
      </w:r>
    </w:p>
    <w:p>
      <w:pPr>
        <w:pStyle w:val="ListParagraph"/>
        <w:numPr>
          <w:ilvl w:val="0"/>
          <w:numId w:val="2"/>
        </w:numPr>
        <w:spacing w:after="80" w:line="280"/>
      </w:pPr>
      <w:r>
        <w:t xml:space="preserve">¿Existen scripts, tareas programadas o robots que consuman archivos?</w:t>
      </w:r>
    </w:p>
    <w:p>
      <w:pPr>
        <w:pStyle w:val="ListParagraph"/>
        <w:numPr>
          <w:ilvl w:val="0"/>
          <w:numId w:val="2"/>
        </w:numPr>
        <w:spacing w:after="80" w:line="280"/>
      </w:pPr>
      <w:r>
        <w:t xml:space="preserve">¿Hay macros, hojas de Excel con vínculos a otras rutas, o plantillas con paths hardcodeados?</w:t>
      </w:r>
    </w:p>
    <w:p>
      <w:pPr>
        <w:pStyle w:val="ListParagraph"/>
        <w:numPr>
          <w:ilvl w:val="0"/>
          <w:numId w:val="2"/>
        </w:numPr>
        <w:spacing w:after="80" w:line="280"/>
      </w:pPr>
      <w:r>
        <w:t xml:space="preserve">¿Cuál es la ventana de mantenimiento aceptable para el cutover?</w:t>
      </w:r>
    </w:p>
    <w:p>
      <w:pPr>
        <w:pStyle w:val="ListParagraph"/>
        <w:numPr>
          <w:ilvl w:val="0"/>
          <w:numId w:val="2"/>
        </w:numPr>
        <w:spacing w:after="80" w:line="280"/>
      </w:pPr>
      <w:r>
        <w:t xml:space="preserve">¿Cuántos usuarios utilizan el repositorio activamente? ¿En qué horarios?</w:t>
      </w:r>
    </w:p>
    <w:p>
      <w:pPr>
        <w:spacing w:after="100"/>
      </w:pPr>
      <w:r>
        <w:t xml:space="preserve"/>
      </w:r>
    </w:p>
    <w:p>
      <w:pPr>
        <w:pStyle w:val="Heading3"/>
        <w:spacing w:after="120" w:before="220"/>
      </w:pPr>
      <w:r>
        <w:t xml:space="preserve">3.2.5 Expectativas post-migración</w:t>
      </w:r>
    </w:p>
    <w:p>
      <w:pPr>
        <w:pStyle w:val="ListParagraph"/>
        <w:numPr>
          <w:ilvl w:val="0"/>
          <w:numId w:val="2"/>
        </w:numPr>
        <w:spacing w:after="80" w:line="280"/>
      </w:pPr>
      <w:r>
        <w:t xml:space="preserve">¿Quiere el cliente conservar la estructura actual tal cual, o aprovechar para reorganizar?</w:t>
      </w:r>
    </w:p>
    <w:p>
      <w:pPr>
        <w:pStyle w:val="ListParagraph"/>
        <w:numPr>
          <w:ilvl w:val="0"/>
          <w:numId w:val="2"/>
        </w:numPr>
        <w:spacing w:after="80" w:line="280"/>
      </w:pPr>
      <w:r>
        <w:t xml:space="preserve">¿Prefiere sitios por departamento, por proyecto, o un modelo híbrido?</w:t>
      </w:r>
    </w:p>
    <w:p>
      <w:pPr>
        <w:pStyle w:val="ListParagraph"/>
        <w:numPr>
          <w:ilvl w:val="0"/>
          <w:numId w:val="2"/>
        </w:numPr>
        <w:spacing w:after="80" w:line="280"/>
      </w:pPr>
      <w:r>
        <w:t xml:space="preserve">¿Se contempla el uso de Microsoft Teams integrado con SharePoint?</w:t>
      </w:r>
    </w:p>
    <w:p>
      <w:pPr>
        <w:pStyle w:val="ListParagraph"/>
        <w:numPr>
          <w:ilvl w:val="0"/>
          <w:numId w:val="2"/>
        </w:numPr>
        <w:spacing w:after="80" w:line="280"/>
      </w:pPr>
      <w:r>
        <w:t xml:space="preserve">¿Qué usuarios usarán OneDrive personal y cuáles bibliotecas compartidas?</w:t>
      </w:r>
    </w:p>
    <w:p>
      <w:pPr>
        <w:pStyle w:val="ListParagraph"/>
        <w:numPr>
          <w:ilvl w:val="0"/>
          <w:numId w:val="2"/>
        </w:numPr>
        <w:spacing w:after="80" w:line="280"/>
      </w:pPr>
      <w:r>
        <w:t xml:space="preserve">¿Se desea implementar etiquetas de sensibilidad y políticas de retención desde el día uno?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DEEBF6" w:val="clear"/>
            <w:tcMar>
              <w:top w:type="dxa" w:w="160"/>
              <w:left w:type="dxa" w:w="200"/>
              <w:bottom w:type="dxa" w:w="160"/>
              <w:right w:type="dxa" w:w="200"/>
            </w:tcMar>
          </w:tcPr>
          <w:p>
            <w:pPr>
              <w:spacing w:after="80"/>
            </w:pPr>
            <w:r>
              <w:rPr>
                <w:b/>
                <w:bCs/>
                <w:color w:val="1F4E79"/>
                <w:sz w:val="22"/>
                <w:szCs w:val="22"/>
              </w:rPr>
              <w:t xml:space="preserve">Recomendación de proceso para el descubrimiento</w:t>
            </w:r>
          </w:p>
          <w:p>
            <w:pPr>
              <w:spacing w:after="60" w:before="0" w:line="300"/>
            </w:pPr>
            <w:r>
              <w:t xml:space="preserve">El descubrimiento no debe hacerse solo con TI. Requiere sesiones separadas con:</w:t>
            </w:r>
          </w:p>
          <w:p>
            <w:pPr>
              <w:pStyle w:val="ListParagraph"/>
              <w:numPr>
                <w:ilvl w:val="0"/>
                <w:numId w:val="2"/>
              </w:numPr>
              <w:spacing w:after="80" w:line="280"/>
            </w:pPr>
            <w:r>
              <w:t xml:space="preserve">Área de TI / Infraestructura: aspectos técnicos del servidor, permisos NTFS, backups.</w:t>
            </w:r>
          </w:p>
          <w:p>
            <w:pPr>
              <w:pStyle w:val="ListParagraph"/>
              <w:numPr>
                <w:ilvl w:val="0"/>
                <w:numId w:val="2"/>
              </w:numPr>
              <w:spacing w:after="80" w:line="280"/>
            </w:pPr>
            <w:r>
              <w:t xml:space="preserve">Dueños de datos por área (Finanzas, RH, Ventas, Legal, Operaciones): estructura lógica, criticidad, permisos deseados.</w:t>
            </w:r>
          </w:p>
          <w:p>
            <w:pPr>
              <w:pStyle w:val="ListParagraph"/>
              <w:numPr>
                <w:ilvl w:val="0"/>
                <w:numId w:val="2"/>
              </w:numPr>
              <w:spacing w:after="80" w:line="280"/>
            </w:pPr>
            <w:r>
              <w:t xml:space="preserve">Seguridad de la información / Compliance: clasificación, retención, regulaciones aplicables.</w:t>
            </w:r>
          </w:p>
          <w:p>
            <w:pPr>
              <w:pStyle w:val="ListParagraph"/>
              <w:numPr>
                <w:ilvl w:val="0"/>
                <w:numId w:val="2"/>
              </w:numPr>
              <w:spacing w:after="80" w:line="280"/>
            </w:pPr>
            <w:r>
              <w:t xml:space="preserve">Usuarios finales (muestra): experiencia de uso actual, dolores, expectativas.</w:t>
            </w:r>
          </w:p>
          <w:p>
            <w:pPr>
              <w:spacing w:after="0" w:before="60" w:line="300"/>
            </w:pPr>
            <w:r>
              <w:t xml:space="preserve">Documentar cada sesión en actas y consolidar en el cuestionario del Apéndice A.</w:t>
            </w:r>
          </w:p>
        </w:tc>
      </w:tr>
    </w:tbl>
    <w:p>
      <w:pPr>
        <w:spacing w:after="100"/>
      </w:pPr>
      <w:r>
        <w:t xml:space="preserve"/>
      </w:r>
    </w:p>
    <w:p>
      <w:pPr>
        <w:pStyle w:val="Heading2"/>
        <w:spacing w:after="160" w:before="280"/>
      </w:pPr>
      <w:r>
        <w:t xml:space="preserve">3.3 Análisis técnico automatizado del origen</w:t>
      </w:r>
    </w:p>
    <w:p>
      <w:pPr>
        <w:spacing w:after="120" w:before="0" w:line="300"/>
      </w:pPr>
      <w:r>
        <w:t xml:space="preserve">Paralelamente a las entrevistas, se ejecuta un análisis técnico del repositorio para obtener datos objetivos. Se recomiendan las siguientes herramientas:</w:t>
      </w:r>
    </w:p>
    <w:p>
      <w:pPr>
        <w:pStyle w:val="Heading3"/>
        <w:spacing w:after="120" w:before="220"/>
      </w:pPr>
      <w:r>
        <w:t xml:space="preserve">3.3.1 TreeSize Professional (o equivalente)</w:t>
      </w:r>
    </w:p>
    <w:p>
      <w:pPr>
        <w:spacing w:after="120" w:before="0" w:line="300"/>
      </w:pPr>
      <w:r>
        <w:t xml:space="preserve">Herramienta para analizar el uso de disco a profundidad. Permite obtener:</w:t>
      </w:r>
    </w:p>
    <w:p>
      <w:pPr>
        <w:pStyle w:val="ListParagraph"/>
        <w:numPr>
          <w:ilvl w:val="0"/>
          <w:numId w:val="2"/>
        </w:numPr>
        <w:spacing w:after="80" w:line="280"/>
      </w:pPr>
      <w:r>
        <w:t xml:space="preserve">Distribución del tamaño por carpeta y subcarpeta.</w:t>
      </w:r>
    </w:p>
    <w:p>
      <w:pPr>
        <w:pStyle w:val="ListParagraph"/>
        <w:numPr>
          <w:ilvl w:val="0"/>
          <w:numId w:val="2"/>
        </w:numPr>
        <w:spacing w:after="80" w:line="280"/>
      </w:pPr>
      <w:r>
        <w:t xml:space="preserve">Número de archivos por tipo (Word, Excel, PDF, imágenes, videos, etc.).</w:t>
      </w:r>
    </w:p>
    <w:p>
      <w:pPr>
        <w:pStyle w:val="ListParagraph"/>
        <w:numPr>
          <w:ilvl w:val="0"/>
          <w:numId w:val="2"/>
        </w:numPr>
        <w:spacing w:after="80" w:line="280"/>
      </w:pPr>
      <w:r>
        <w:t xml:space="preserve">Fechas de último acceso y modificación (para identificar archivos obsoletos).</w:t>
      </w:r>
    </w:p>
    <w:p>
      <w:pPr>
        <w:pStyle w:val="ListParagraph"/>
        <w:numPr>
          <w:ilvl w:val="0"/>
          <w:numId w:val="2"/>
        </w:numPr>
        <w:spacing w:after="80" w:line="280"/>
      </w:pPr>
      <w:r>
        <w:t xml:space="preserve">Archivos duplicados por hash.</w:t>
      </w:r>
    </w:p>
    <w:p>
      <w:pPr>
        <w:pStyle w:val="ListParagraph"/>
        <w:numPr>
          <w:ilvl w:val="0"/>
          <w:numId w:val="2"/>
        </w:numPr>
        <w:spacing w:after="80" w:line="280"/>
      </w:pPr>
      <w:r>
        <w:t xml:space="preserve">Rutas más largas del sistema (para detectar riesgo de superar los 400 caracteres).</w:t>
      </w:r>
    </w:p>
    <w:p>
      <w:pPr>
        <w:spacing w:after="100"/>
      </w:pPr>
      <w:r>
        <w:t xml:space="preserve"/>
      </w:r>
    </w:p>
    <w:p>
      <w:pPr>
        <w:pStyle w:val="Heading3"/>
        <w:spacing w:after="120" w:before="220"/>
      </w:pPr>
      <w:r>
        <w:t xml:space="preserve">3.3.2 Microsoft SharePoint Migration Assessment</w:t>
      </w:r>
    </w:p>
    <w:p>
      <w:pPr>
        <w:spacing w:after="120" w:before="0" w:line="300"/>
      </w:pPr>
      <w:r>
        <w:t xml:space="preserve">SPMT versión 4.0 y superior incluye un asistente de evaluación que puede escanear file shares o SharePoint Server, generando un dashboard con:</w:t>
      </w:r>
    </w:p>
    <w:p>
      <w:pPr>
        <w:pStyle w:val="ListParagraph"/>
        <w:numPr>
          <w:ilvl w:val="0"/>
          <w:numId w:val="2"/>
        </w:numPr>
        <w:spacing w:after="80" w:line="280"/>
      </w:pPr>
      <w:r>
        <w:t xml:space="preserve">Inventario de contenido detectado (archivos, carpetas, sitios).</w:t>
      </w:r>
    </w:p>
    <w:p>
      <w:pPr>
        <w:pStyle w:val="ListParagraph"/>
        <w:numPr>
          <w:ilvl w:val="0"/>
          <w:numId w:val="2"/>
        </w:numPr>
        <w:spacing w:after="80" w:line="280"/>
      </w:pPr>
      <w:r>
        <w:t xml:space="preserve">Riesgos identificados: rutas largas, tipos no soportados, caracteres inválidos.</w:t>
      </w:r>
    </w:p>
    <w:p>
      <w:pPr>
        <w:pStyle w:val="ListParagraph"/>
        <w:numPr>
          <w:ilvl w:val="0"/>
          <w:numId w:val="2"/>
        </w:numPr>
        <w:spacing w:after="80" w:line="280"/>
      </w:pPr>
      <w:r>
        <w:t xml:space="preserve">Estimación de tamaño y tiempo de migración.</w:t>
      </w:r>
    </w:p>
    <w:p>
      <w:pPr>
        <w:pStyle w:val="ListParagraph"/>
        <w:numPr>
          <w:ilvl w:val="0"/>
          <w:numId w:val="2"/>
        </w:numPr>
        <w:spacing w:after="80" w:line="280"/>
      </w:pPr>
      <w:r>
        <w:t xml:space="preserve">Reporte descargable en Excel para análisis.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DEEBF6" w:val="clear"/>
            <w:tcMar>
              <w:top w:type="dxa" w:w="160"/>
              <w:left w:type="dxa" w:w="200"/>
              <w:bottom w:type="dxa" w:w="160"/>
              <w:right w:type="dxa" w:w="200"/>
            </w:tcMar>
          </w:tcPr>
          <w:p>
            <w:pPr>
              <w:spacing w:after="80"/>
            </w:pPr>
            <w:r>
              <w:rPr>
                <w:b/>
                <w:bCs/>
                <w:color w:val="1F4E79"/>
                <w:sz w:val="22"/>
                <w:szCs w:val="22"/>
              </w:rPr>
              <w:t xml:space="preserve">Nota sobre SMAT (SharePoint Migration Assessment Tool)</w:t>
            </w:r>
          </w:p>
          <w:p>
            <w:pPr>
              <w:spacing w:after="0" w:before="0" w:line="300"/>
            </w:pPr>
            <w:r>
              <w:t xml:space="preserve">SMAT, la herramienta clásica de evaluación, llega a fin de soporte el 1 de octubre de 2026. Microsoft recomienda usar el escaneo integrado de SPMT 4.0+ como reemplazo. En este proyecto se utilizará el escaneo integrado.</w:t>
            </w:r>
          </w:p>
        </w:tc>
      </w:tr>
    </w:tbl>
    <w:p>
      <w:pPr>
        <w:spacing w:after="100"/>
      </w:pPr>
      <w:r>
        <w:t xml:space="preserve"/>
      </w:r>
    </w:p>
    <w:p>
      <w:pPr>
        <w:pStyle w:val="Heading3"/>
        <w:spacing w:after="120" w:before="220"/>
      </w:pPr>
      <w:r>
        <w:t xml:space="preserve">3.3.3 PowerShell para análisis de permisos NTFS</w:t>
      </w:r>
    </w:p>
    <w:p>
      <w:pPr>
        <w:spacing w:after="120" w:before="0" w:line="300"/>
      </w:pPr>
      <w:r>
        <w:t xml:space="preserve">Para levantar el modelo de permisos actual del repositorio Windows, se puede usar PowerShell con el módulo NTFSSecurity: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8C8C" w:sz="4"/>
              <w:left w:val="single" w:color="8C8C8C" w:sz="4"/>
              <w:bottom w:val="single" w:color="8C8C8C" w:sz="4"/>
              <w:right w:val="single" w:color="8C8C8C" w:sz="4"/>
            </w:tcBorders>
            <w:shd w:fill="F2F2F2" w:val="clear"/>
            <w:tcMar>
              <w:top w:type="dxa" w:w="120"/>
              <w:left w:type="dxa" w:w="160"/>
              <w:bottom w:type="dxa" w:w="120"/>
              <w:right w:type="dxa" w:w="160"/>
            </w:tcMar>
          </w:tcPr>
          <w:p>
            <w:pPr>
              <w:spacing w:after="40" w:line="260"/>
            </w:pPr>
            <w:r>
              <w:rPr>
                <w:rFonts w:ascii="Consolas" w:cs="Consolas" w:eastAsia="Consolas" w:hAnsi="Consolas"/>
                <w:color w:val="262626"/>
                <w:sz w:val="20"/>
                <w:szCs w:val="20"/>
              </w:rPr>
              <w:t xml:space="preserve"># Instalar el módulo NTFSSecurity</w:t>
            </w:r>
          </w:p>
          <w:p>
            <w:pPr>
              <w:spacing w:after="40" w:line="260"/>
            </w:pPr>
            <w:r>
              <w:rPr>
                <w:rFonts w:ascii="Consolas" w:cs="Consolas" w:eastAsia="Consolas" w:hAnsi="Consolas"/>
                <w:color w:val="262626"/>
                <w:sz w:val="20"/>
                <w:szCs w:val="20"/>
              </w:rPr>
              <w:t xml:space="preserve">Install-Module -Name NTFSSecurity -Force</w:t>
            </w:r>
          </w:p>
          <w:p>
            <w:pPr>
              <w:spacing w:after="40" w:line="260"/>
            </w:pPr>
            <w:r>
              <w:rPr>
                <w:rFonts w:ascii="Consolas" w:cs="Consolas" w:eastAsia="Consolas" w:hAnsi="Consolas"/>
                <w:color w:val="262626"/>
                <w:sz w:val="20"/>
                <w:szCs w:val="20"/>
              </w:rPr>
              <w:t xml:space="preserve"/>
            </w:r>
          </w:p>
          <w:p>
            <w:pPr>
              <w:spacing w:after="40" w:line="260"/>
            </w:pPr>
            <w:r>
              <w:rPr>
                <w:rFonts w:ascii="Consolas" w:cs="Consolas" w:eastAsia="Consolas" w:hAnsi="Consolas"/>
                <w:color w:val="262626"/>
                <w:sz w:val="20"/>
                <w:szCs w:val="20"/>
              </w:rPr>
              <w:t xml:space="preserve"># Escanear permisos del repositorio y exportar a CSV</w:t>
            </w:r>
          </w:p>
          <w:p>
            <w:pPr>
              <w:spacing w:after="40" w:line="260"/>
            </w:pPr>
            <w:r>
              <w:rPr>
                <w:rFonts w:ascii="Consolas" w:cs="Consolas" w:eastAsia="Consolas" w:hAnsi="Consolas"/>
                <w:color w:val="262626"/>
                <w:sz w:val="20"/>
                <w:szCs w:val="20"/>
              </w:rPr>
              <w:t xml:space="preserve">Get-ChildItem -Path "\\servidor\repositorio" -Recurse -Directory |</w:t>
            </w:r>
          </w:p>
          <w:p>
            <w:pPr>
              <w:spacing w:after="40" w:line="260"/>
            </w:pPr>
            <w:r>
              <w:rPr>
                <w:rFonts w:ascii="Consolas" w:cs="Consolas" w:eastAsia="Consolas" w:hAnsi="Consolas"/>
                <w:color w:val="262626"/>
                <w:sz w:val="20"/>
                <w:szCs w:val="20"/>
              </w:rPr>
              <w:t xml:space="preserve">  ForEach-Object {</w:t>
            </w:r>
          </w:p>
          <w:p>
            <w:pPr>
              <w:spacing w:after="40" w:line="260"/>
            </w:pPr>
            <w:r>
              <w:rPr>
                <w:rFonts w:ascii="Consolas" w:cs="Consolas" w:eastAsia="Consolas" w:hAnsi="Consolas"/>
                <w:color w:val="262626"/>
                <w:sz w:val="20"/>
                <w:szCs w:val="20"/>
              </w:rPr>
              <w:t xml:space="preserve">    Get-NTFSAccess -Path $_.FullName |</w:t>
            </w:r>
          </w:p>
          <w:p>
            <w:pPr>
              <w:spacing w:after="40" w:line="260"/>
            </w:pPr>
            <w:r>
              <w:rPr>
                <w:rFonts w:ascii="Consolas" w:cs="Consolas" w:eastAsia="Consolas" w:hAnsi="Consolas"/>
                <w:color w:val="262626"/>
                <w:sz w:val="20"/>
                <w:szCs w:val="20"/>
              </w:rPr>
              <w:t xml:space="preserve">      Select-Object FullName, Account, AccessRights, InheritanceEnabled</w:t>
            </w:r>
          </w:p>
          <w:p>
            <w:pPr>
              <w:spacing w:after="40" w:line="260"/>
            </w:pPr>
            <w:r>
              <w:rPr>
                <w:rFonts w:ascii="Consolas" w:cs="Consolas" w:eastAsia="Consolas" w:hAnsi="Consolas"/>
                <w:color w:val="262626"/>
                <w:sz w:val="20"/>
                <w:szCs w:val="20"/>
              </w:rPr>
              <w:t xml:space="preserve">  } | Export-Csv -Path .\permisos.csv -NoTypeInformation</w:t>
            </w:r>
          </w:p>
          <w:p>
            <w:pPr>
              <w:spacing w:after="40" w:line="260"/>
            </w:pPr>
            <w:r>
              <w:rPr>
                <w:rFonts w:ascii="Consolas" w:cs="Consolas" w:eastAsia="Consolas" w:hAnsi="Consolas"/>
                <w:color w:val="262626"/>
                <w:sz w:val="20"/>
                <w:szCs w:val="20"/>
              </w:rPr>
              <w:t xml:space="preserve"/>
            </w:r>
          </w:p>
          <w:p>
            <w:pPr>
              <w:spacing w:after="40" w:line="260"/>
            </w:pPr>
            <w:r>
              <w:rPr>
                <w:rFonts w:ascii="Consolas" w:cs="Consolas" w:eastAsia="Consolas" w:hAnsi="Consolas"/>
                <w:color w:val="262626"/>
                <w:sz w:val="20"/>
                <w:szCs w:val="20"/>
              </w:rPr>
              <w:t xml:space="preserve"># Detectar carpetas que rompen herencia (potencial complejidad)</w:t>
            </w:r>
          </w:p>
          <w:p>
            <w:pPr>
              <w:spacing w:after="40" w:line="260"/>
            </w:pPr>
            <w:r>
              <w:rPr>
                <w:rFonts w:ascii="Consolas" w:cs="Consolas" w:eastAsia="Consolas" w:hAnsi="Consolas"/>
                <w:color w:val="262626"/>
                <w:sz w:val="20"/>
                <w:szCs w:val="20"/>
              </w:rPr>
              <w:t xml:space="preserve">Get-ChildItem -Path "\\servidor\repositorio" -Recurse -Directory |</w:t>
            </w:r>
          </w:p>
          <w:p>
            <w:pPr>
              <w:spacing w:after="40" w:line="260"/>
            </w:pPr>
            <w:r>
              <w:rPr>
                <w:rFonts w:ascii="Consolas" w:cs="Consolas" w:eastAsia="Consolas" w:hAnsi="Consolas"/>
                <w:color w:val="262626"/>
                <w:sz w:val="20"/>
                <w:szCs w:val="20"/>
              </w:rPr>
              <w:t xml:space="preserve">  Where-Object { (Get-NTFSAccessInheritance -Path $_.FullName).InheritanceEnabled -eq $false }</w:t>
            </w:r>
          </w:p>
        </w:tc>
      </w:tr>
    </w:tbl>
    <w:p>
      <w:pPr>
        <w:spacing w:after="100"/>
      </w:pPr>
      <w:r>
        <w:t xml:space="preserve"/>
      </w:r>
    </w:p>
    <w:p>
      <w:pPr>
        <w:pStyle w:val="Heading3"/>
        <w:spacing w:after="120" w:before="220"/>
      </w:pPr>
      <w:r>
        <w:t xml:space="preserve">3.3.4 Escaneo con SPMT o Migration Manager (pre-scan)</w:t>
      </w:r>
    </w:p>
    <w:p>
      <w:pPr>
        <w:spacing w:after="120" w:before="0" w:line="300"/>
      </w:pPr>
      <w:r>
        <w:t xml:space="preserve">Migration Manager también permite ejecutar un pre-scan sin iniciar la migración, detectando incompatibilidades antes de tocar los datos. Se detalla en la Fase 3.</w:t>
      </w:r>
    </w:p>
    <w:p>
      <w:pPr>
        <w:spacing w:after="100"/>
      </w:pPr>
      <w:r>
        <w:t xml:space="preserve"/>
      </w:r>
    </w:p>
    <w:p>
      <w:pPr>
        <w:pStyle w:val="Heading2"/>
        <w:spacing w:after="160" w:before="280"/>
      </w:pPr>
      <w:r>
        <w:t xml:space="preserve">3.4 Entregables de la Fase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Entregable</w:t>
            </w:r>
          </w:p>
        </w:tc>
        <w:tc>
          <w:tcPr>
            <w:tcW w:type="dxa" w:w="59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Descripción y contenido</w:t>
            </w:r>
          </w:p>
        </w:tc>
      </w:tr>
      <w:tr>
        <w:tc>
          <w:tcPr>
            <w:tcW w:type="dxa" w:w="3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Reporte de descubrimiento</w:t>
            </w:r>
          </w:p>
        </w:tc>
        <w:tc>
          <w:tcPr>
            <w:tcW w:type="dxa" w:w="59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Documento consolidado con hallazgos técnicos y de negocio, incluyendo entrevistas y análisis automatizados.</w:t>
            </w:r>
          </w:p>
        </w:tc>
      </w:tr>
      <w:tr>
        <w:tc>
          <w:tcPr>
            <w:tcW w:type="dxa" w:w="3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Inventario de contenido</w:t>
            </w:r>
          </w:p>
        </w:tc>
        <w:tc>
          <w:tcPr>
            <w:tcW w:type="dxa" w:w="59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Excel con estructura de carpetas, tamaños, número de archivos, tipos predominantes por rama.</w:t>
            </w:r>
          </w:p>
        </w:tc>
      </w:tr>
      <w:tr>
        <w:tc>
          <w:tcPr>
            <w:tcW w:type="dxa" w:w="3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Matriz de permisos actual</w:t>
            </w:r>
          </w:p>
        </w:tc>
        <w:tc>
          <w:tcPr>
            <w:tcW w:type="dxa" w:w="59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Excel con carpetas raíz, grupos de AD asignados, tipo de acceso (Read/Write/Full), y carpetas con permisos únicos.</w:t>
            </w:r>
          </w:p>
        </w:tc>
      </w:tr>
      <w:tr>
        <w:tc>
          <w:tcPr>
            <w:tcW w:type="dxa" w:w="3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Análisis de ROT</w:t>
            </w:r>
          </w:p>
        </w:tc>
        <w:tc>
          <w:tcPr>
            <w:tcW w:type="dxa" w:w="59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Estimación del % de contenido obsoleto, duplicado o irrelevante, con recomendación de purga.</w:t>
            </w:r>
          </w:p>
        </w:tc>
      </w:tr>
      <w:tr>
        <w:tc>
          <w:tcPr>
            <w:tcW w:type="dxa" w:w="3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Riesgos técnicos identificados</w:t>
            </w:r>
          </w:p>
        </w:tc>
        <w:tc>
          <w:tcPr>
            <w:tcW w:type="dxa" w:w="59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Rutas &gt;400 caracteres, archivos con caracteres inválidos, tipos no soportados, dependencias de aplicaciones.</w:t>
            </w:r>
          </w:p>
        </w:tc>
      </w:tr>
      <w:tr>
        <w:tc>
          <w:tcPr>
            <w:tcW w:type="dxa" w:w="3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Clasificación del contenido</w:t>
            </w:r>
          </w:p>
        </w:tc>
        <w:tc>
          <w:tcPr>
            <w:tcW w:type="dxa" w:w="59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Mapeo de contenido por sensibilidad (público, interno, confidencial, restringido).</w:t>
            </w:r>
          </w:p>
        </w:tc>
      </w:tr>
      <w:tr>
        <w:tc>
          <w:tcPr>
            <w:tcW w:type="dxa" w:w="3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Recomendación de arquitectura destino</w:t>
            </w:r>
          </w:p>
        </w:tc>
        <w:tc>
          <w:tcPr>
            <w:tcW w:type="dxa" w:w="59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Propuesta inicial de sitios, hubs y bibliotecas basada en los hallazgos.</w:t>
            </w:r>
          </w:p>
        </w:tc>
      </w:tr>
    </w:tbl>
    <w:p>
      <w:r>
        <w:br w:type="page"/>
      </w:r>
    </w:p>
    <w:p>
      <w:pPr>
        <w:pStyle w:val="Heading1"/>
        <w:spacing w:after="200" w:before="360"/>
      </w:pPr>
      <w:r>
        <w:t xml:space="preserve">4. Fase 1 — Diseño de la arquitectura destino en SharePoint</w:t>
      </w:r>
    </w:p>
    <w:p>
      <w:pPr>
        <w:spacing w:after="120" w:before="0" w:line="300"/>
      </w:pPr>
      <w:r>
        <w:t xml:space="preserve">Con los hallazgos de la Fase 0 en mano, se diseña la arquitectura de información destino. Esta fase determina cómo se verá el nuevo entorno del cliente en SharePoint Online: qué sitios existirán, cómo se agruparán, quién tendrá acceso a qué, y bajo qué políticas de gobierno.</w:t>
      </w:r>
    </w:p>
    <w:p>
      <w:pPr>
        <w:spacing w:after="100"/>
      </w:pPr>
      <w:r>
        <w:t xml:space="preserve"/>
      </w:r>
    </w:p>
    <w:p>
      <w:pPr>
        <w:pStyle w:val="Heading2"/>
        <w:spacing w:after="160" w:before="280"/>
      </w:pPr>
      <w:r>
        <w:t xml:space="preserve">4.1 Principios de diseño</w:t>
      </w:r>
    </w:p>
    <w:p>
      <w:pPr>
        <w:pStyle w:val="ListParagraph"/>
        <w:numPr>
          <w:ilvl w:val="0"/>
          <w:numId w:val="2"/>
        </w:numPr>
        <w:spacing w:after="80" w:line="280"/>
      </w:pPr>
      <w:r>
        <w:rPr>
          <w:b/>
          <w:bCs/>
        </w:rPr>
        <w:t xml:space="preserve">Plano en lugar de profundo: </w:t>
      </w:r>
      <w:r>
        <w:t xml:space="preserve">SharePoint favorece estructuras planas (Hub Site + Sitios asociados) frente a subsitios anidados. Se debe evitar reproducir estructuras de carpetas profundas del origen.</w:t>
      </w:r>
    </w:p>
    <w:p>
      <w:pPr>
        <w:pStyle w:val="ListParagraph"/>
        <w:numPr>
          <w:ilvl w:val="0"/>
          <w:numId w:val="2"/>
        </w:numPr>
        <w:spacing w:after="80" w:line="280"/>
      </w:pPr>
      <w:r>
        <w:rPr>
          <w:b/>
          <w:bCs/>
        </w:rPr>
        <w:t xml:space="preserve">Un sitio = un propósito: </w:t>
      </w:r>
      <w:r>
        <w:t xml:space="preserve">cada sitio debe tener un dueño claro y un ámbito definido (un departamento, un proyecto, una función). Evitar el sitio "cajón de sastre".</w:t>
      </w:r>
    </w:p>
    <w:p>
      <w:pPr>
        <w:pStyle w:val="ListParagraph"/>
        <w:numPr>
          <w:ilvl w:val="0"/>
          <w:numId w:val="2"/>
        </w:numPr>
        <w:spacing w:after="80" w:line="280"/>
      </w:pPr>
      <w:r>
        <w:rPr>
          <w:b/>
          <w:bCs/>
        </w:rPr>
        <w:t xml:space="preserve">Permisos por grupos, no por usuario: </w:t>
      </w:r>
      <w:r>
        <w:t xml:space="preserve">todos los permisos deben asignarse a grupos de M365 o de seguridad, nunca a usuarios individuales. Esto simplifica el mantenimiento y las auditorías.</w:t>
      </w:r>
    </w:p>
    <w:p>
      <w:pPr>
        <w:pStyle w:val="ListParagraph"/>
        <w:numPr>
          <w:ilvl w:val="0"/>
          <w:numId w:val="2"/>
        </w:numPr>
        <w:spacing w:after="80" w:line="280"/>
      </w:pPr>
      <w:r>
        <w:rPr>
          <w:b/>
          <w:bCs/>
        </w:rPr>
        <w:t xml:space="preserve">Metadatos sobre carpetas: </w:t>
      </w:r>
      <w:r>
        <w:t xml:space="preserve">aprovechar columnas de metadatos y vistas filtradas en lugar de estructuras de carpetas de 8 niveles. Facilita la búsqueda y la gobernanza.</w:t>
      </w:r>
    </w:p>
    <w:p>
      <w:pPr>
        <w:pStyle w:val="ListParagraph"/>
        <w:numPr>
          <w:ilvl w:val="0"/>
          <w:numId w:val="2"/>
        </w:numPr>
        <w:spacing w:after="80" w:line="280"/>
      </w:pPr>
      <w:r>
        <w:rPr>
          <w:b/>
          <w:bCs/>
        </w:rPr>
        <w:t xml:space="preserve">Retención y sensibilidad desde el diseño: </w:t>
      </w:r>
      <w:r>
        <w:t xml:space="preserve">aplicar etiquetas de retención y sensibilidad a nivel de sitio o biblioteca desde el momento de la provisión, no como retrabajo posterior.</w:t>
      </w:r>
    </w:p>
    <w:p>
      <w:pPr>
        <w:spacing w:after="100"/>
      </w:pPr>
      <w:r>
        <w:t xml:space="preserve"/>
      </w:r>
    </w:p>
    <w:p>
      <w:pPr>
        <w:pStyle w:val="Heading2"/>
        <w:spacing w:after="160" w:before="280"/>
      </w:pPr>
      <w:r>
        <w:t xml:space="preserve">4.2 Modelos de arquitectura recomendados</w:t>
      </w:r>
    </w:p>
    <w:p>
      <w:pPr>
        <w:spacing w:after="120" w:before="0" w:line="300"/>
      </w:pPr>
      <w:r>
        <w:t xml:space="preserve">En función del tamaño del cliente (típico para 2 TB de datos), se pueden considerar tres modelos base. La elección depende de los hallazgos de descubrimiento.</w:t>
      </w:r>
    </w:p>
    <w:p>
      <w:pPr>
        <w:pStyle w:val="Heading3"/>
        <w:spacing w:after="120" w:before="220"/>
      </w:pPr>
      <w:r>
        <w:t xml:space="preserve">4.2.1 Modelo A — Por departamentos (más común)</w:t>
      </w:r>
    </w:p>
    <w:p>
      <w:pPr>
        <w:spacing w:after="120" w:before="0" w:line="300"/>
      </w:pPr>
      <w:r>
        <w:t xml:space="preserve">Un Hub Site corporativo, con sitios asociados por cada departamento o área funcional. Recomendado cuando la organización actual del repositorio ya está segmentada por área.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8C8C" w:sz="4"/>
              <w:left w:val="single" w:color="8C8C8C" w:sz="4"/>
              <w:bottom w:val="single" w:color="8C8C8C" w:sz="4"/>
              <w:right w:val="single" w:color="8C8C8C" w:sz="4"/>
            </w:tcBorders>
            <w:shd w:fill="F2F2F2" w:val="clear"/>
            <w:tcMar>
              <w:top w:type="dxa" w:w="120"/>
              <w:left w:type="dxa" w:w="160"/>
              <w:bottom w:type="dxa" w:w="120"/>
              <w:right w:type="dxa" w:w="160"/>
            </w:tcMar>
          </w:tcPr>
          <w:p>
            <w:pPr>
              <w:spacing w:after="40" w:line="260"/>
            </w:pPr>
            <w:r>
              <w:rPr>
                <w:rFonts w:ascii="Consolas" w:cs="Consolas" w:eastAsia="Consolas" w:hAnsi="Consolas"/>
                <w:color w:val="262626"/>
                <w:sz w:val="20"/>
                <w:szCs w:val="20"/>
              </w:rPr>
              <w:t xml:space="preserve">Hub: Intranet Corporativa</w:t>
            </w:r>
          </w:p>
          <w:p>
            <w:pPr>
              <w:spacing w:after="40" w:line="260"/>
            </w:pPr>
            <w:r>
              <w:rPr>
                <w:rFonts w:ascii="Consolas" w:cs="Consolas" w:eastAsia="Consolas" w:hAnsi="Consolas"/>
                <w:color w:val="262626"/>
                <w:sz w:val="20"/>
                <w:szCs w:val="20"/>
              </w:rPr>
              <w:t xml:space="preserve">├── Sitio: Dirección General</w:t>
            </w:r>
          </w:p>
          <w:p>
            <w:pPr>
              <w:spacing w:after="40" w:line="260"/>
            </w:pPr>
            <w:r>
              <w:rPr>
                <w:rFonts w:ascii="Consolas" w:cs="Consolas" w:eastAsia="Consolas" w:hAnsi="Consolas"/>
                <w:color w:val="262626"/>
                <w:sz w:val="20"/>
                <w:szCs w:val="20"/>
              </w:rPr>
              <w:t xml:space="preserve">├── Sitio: Recursos Humanos</w:t>
            </w:r>
          </w:p>
          <w:p>
            <w:pPr>
              <w:spacing w:after="40" w:line="260"/>
            </w:pPr>
            <w:r>
              <w:rPr>
                <w:rFonts w:ascii="Consolas" w:cs="Consolas" w:eastAsia="Consolas" w:hAnsi="Consolas"/>
                <w:color w:val="262626"/>
                <w:sz w:val="20"/>
                <w:szCs w:val="20"/>
              </w:rPr>
              <w:t xml:space="preserve">├── Sitio: Finanzas y Contabilidad</w:t>
            </w:r>
          </w:p>
          <w:p>
            <w:pPr>
              <w:spacing w:after="40" w:line="260"/>
            </w:pPr>
            <w:r>
              <w:rPr>
                <w:rFonts w:ascii="Consolas" w:cs="Consolas" w:eastAsia="Consolas" w:hAnsi="Consolas"/>
                <w:color w:val="262626"/>
                <w:sz w:val="20"/>
                <w:szCs w:val="20"/>
              </w:rPr>
              <w:t xml:space="preserve">├── Sitio: Ventas y Marketing</w:t>
            </w:r>
          </w:p>
          <w:p>
            <w:pPr>
              <w:spacing w:after="40" w:line="260"/>
            </w:pPr>
            <w:r>
              <w:rPr>
                <w:rFonts w:ascii="Consolas" w:cs="Consolas" w:eastAsia="Consolas" w:hAnsi="Consolas"/>
                <w:color w:val="262626"/>
                <w:sz w:val="20"/>
                <w:szCs w:val="20"/>
              </w:rPr>
              <w:t xml:space="preserve">├── Sitio: Operaciones</w:t>
            </w:r>
          </w:p>
          <w:p>
            <w:pPr>
              <w:spacing w:after="40" w:line="260"/>
            </w:pPr>
            <w:r>
              <w:rPr>
                <w:rFonts w:ascii="Consolas" w:cs="Consolas" w:eastAsia="Consolas" w:hAnsi="Consolas"/>
                <w:color w:val="262626"/>
                <w:sz w:val="20"/>
                <w:szCs w:val="20"/>
              </w:rPr>
              <w:t xml:space="preserve">├── Sitio: Tecnología / TI</w:t>
            </w:r>
          </w:p>
          <w:p>
            <w:pPr>
              <w:spacing w:after="40" w:line="260"/>
            </w:pPr>
            <w:r>
              <w:rPr>
                <w:rFonts w:ascii="Consolas" w:cs="Consolas" w:eastAsia="Consolas" w:hAnsi="Consolas"/>
                <w:color w:val="262626"/>
                <w:sz w:val="20"/>
                <w:szCs w:val="20"/>
              </w:rPr>
              <w:t xml:space="preserve">├── Sitio: Legal y Cumplimiento</w:t>
            </w:r>
          </w:p>
          <w:p>
            <w:pPr>
              <w:spacing w:after="40" w:line="260"/>
            </w:pPr>
            <w:r>
              <w:rPr>
                <w:rFonts w:ascii="Consolas" w:cs="Consolas" w:eastAsia="Consolas" w:hAnsi="Consolas"/>
                <w:color w:val="262626"/>
                <w:sz w:val="20"/>
                <w:szCs w:val="20"/>
              </w:rPr>
              <w:t xml:space="preserve">└── Sitio: Compras y Proveedores</w:t>
            </w:r>
          </w:p>
        </w:tc>
      </w:tr>
    </w:tbl>
    <w:p>
      <w:pPr>
        <w:spacing w:after="100"/>
      </w:pPr>
      <w:r>
        <w:t xml:space="preserve"/>
      </w:r>
    </w:p>
    <w:p>
      <w:pPr>
        <w:pStyle w:val="Heading3"/>
        <w:spacing w:after="120" w:before="220"/>
      </w:pPr>
      <w:r>
        <w:t xml:space="preserve">4.2.2 Modelo B — Por proyecto / cliente (para consultoras o firmas)</w:t>
      </w:r>
    </w:p>
    <w:p>
      <w:pPr>
        <w:spacing w:after="120" w:before="0" w:line="300"/>
      </w:pPr>
      <w:r>
        <w:t xml:space="preserve">Un Hub por línea de negocio o unidad, con sitios asociados por cada proyecto o cliente 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8C8C" w:sz="4"/>
              <w:left w:val="single" w:color="8C8C8C" w:sz="4"/>
              <w:bottom w:val="single" w:color="8C8C8C" w:sz="4"/>
              <w:right w:val="single" w:color="8C8C8C" w:sz="4"/>
            </w:tcBorders>
            <w:shd w:fill="F2F2F2" w:val="clear"/>
            <w:tcMar>
              <w:top w:type="dxa" w:w="120"/>
              <w:left w:type="dxa" w:w="160"/>
              <w:bottom w:type="dxa" w:w="120"/>
              <w:right w:type="dxa" w:w="160"/>
            </w:tcMar>
          </w:tcPr>
          <w:p>
            <w:pPr>
              <w:spacing w:after="40" w:line="260"/>
            </w:pPr>
            <w:r>
              <w:rPr>
                <w:rFonts w:ascii="Consolas" w:cs="Consolas" w:eastAsia="Consolas" w:hAnsi="Consolas"/>
                <w:color w:val="262626"/>
                <w:sz w:val="20"/>
                <w:szCs w:val="20"/>
              </w:rPr>
              <w:t xml:space="preserve">Hub: Servicios Profesionales</w:t>
            </w:r>
          </w:p>
          <w:p>
            <w:pPr>
              <w:spacing w:after="40" w:line="260"/>
            </w:pPr>
            <w:r>
              <w:rPr>
                <w:rFonts w:ascii="Consolas" w:cs="Consolas" w:eastAsia="Consolas" w:hAnsi="Consolas"/>
                <w:color w:val="262626"/>
                <w:sz w:val="20"/>
                <w:szCs w:val="20"/>
              </w:rPr>
              <w:t xml:space="preserve">├── Sitio: Cliente Alpha - Proyecto 2026</w:t>
            </w:r>
          </w:p>
          <w:p>
            <w:pPr>
              <w:spacing w:after="40" w:line="260"/>
            </w:pPr>
            <w:r>
              <w:rPr>
                <w:rFonts w:ascii="Consolas" w:cs="Consolas" w:eastAsia="Consolas" w:hAnsi="Consolas"/>
                <w:color w:val="262626"/>
                <w:sz w:val="20"/>
                <w:szCs w:val="20"/>
              </w:rPr>
              <w:t xml:space="preserve">├── Sitio: Cliente Beta - Consultoría continua</w:t>
            </w:r>
          </w:p>
          <w:p>
            <w:pPr>
              <w:spacing w:after="40" w:line="260"/>
            </w:pPr>
            <w:r>
              <w:rPr>
                <w:rFonts w:ascii="Consolas" w:cs="Consolas" w:eastAsia="Consolas" w:hAnsi="Consolas"/>
                <w:color w:val="262626"/>
                <w:sz w:val="20"/>
                <w:szCs w:val="20"/>
              </w:rPr>
              <w:t xml:space="preserve">├── Sitio: Cliente Gamma - Implementación</w:t>
            </w:r>
          </w:p>
          <w:p>
            <w:pPr>
              <w:spacing w:after="40" w:line="260"/>
            </w:pPr>
            <w:r>
              <w:rPr>
                <w:rFonts w:ascii="Consolas" w:cs="Consolas" w:eastAsia="Consolas" w:hAnsi="Consolas"/>
                <w:color w:val="262626"/>
                <w:sz w:val="20"/>
                <w:szCs w:val="20"/>
              </w:rPr>
              <w:t xml:space="preserve">└── Sitio: Cliente Delta - Soporte</w:t>
            </w:r>
          </w:p>
        </w:tc>
      </w:tr>
    </w:tbl>
    <w:p>
      <w:pPr>
        <w:spacing w:after="100"/>
      </w:pPr>
      <w:r>
        <w:t xml:space="preserve"/>
      </w:r>
    </w:p>
    <w:p>
      <w:pPr>
        <w:pStyle w:val="Heading3"/>
        <w:spacing w:after="120" w:before="220"/>
      </w:pPr>
      <w:r>
        <w:t xml:space="preserve">4.2.3 Modelo C — Híbrido (recomendado para la mayoría de organizaciones)</w:t>
      </w:r>
    </w:p>
    <w:p>
      <w:pPr>
        <w:spacing w:after="120" w:before="0" w:line="300"/>
      </w:pPr>
      <w:r>
        <w:t xml:space="preserve">Un Hub corporativo con sitios departamentales permanentes, y un segundo hub para proyectos temporales con sitios de proyecto que se archivan al finalizar.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8C8C" w:sz="4"/>
              <w:left w:val="single" w:color="8C8C8C" w:sz="4"/>
              <w:bottom w:val="single" w:color="8C8C8C" w:sz="4"/>
              <w:right w:val="single" w:color="8C8C8C" w:sz="4"/>
            </w:tcBorders>
            <w:shd w:fill="F2F2F2" w:val="clear"/>
            <w:tcMar>
              <w:top w:type="dxa" w:w="120"/>
              <w:left w:type="dxa" w:w="160"/>
              <w:bottom w:type="dxa" w:w="120"/>
              <w:right w:type="dxa" w:w="160"/>
            </w:tcMar>
          </w:tcPr>
          <w:p>
            <w:pPr>
              <w:spacing w:after="40" w:line="260"/>
            </w:pPr>
            <w:r>
              <w:rPr>
                <w:rFonts w:ascii="Consolas" w:cs="Consolas" w:eastAsia="Consolas" w:hAnsi="Consolas"/>
                <w:color w:val="262626"/>
                <w:sz w:val="20"/>
                <w:szCs w:val="20"/>
              </w:rPr>
              <w:t xml:space="preserve">Hub 1: Intranet Corporativa   (contenido permanente por área)</w:t>
            </w:r>
          </w:p>
          <w:p>
            <w:pPr>
              <w:spacing w:after="40" w:line="260"/>
            </w:pPr>
            <w:r>
              <w:rPr>
                <w:rFonts w:ascii="Consolas" w:cs="Consolas" w:eastAsia="Consolas" w:hAnsi="Consolas"/>
                <w:color w:val="262626"/>
                <w:sz w:val="20"/>
                <w:szCs w:val="20"/>
              </w:rPr>
              <w:t xml:space="preserve">├── Sitio: RH</w:t>
            </w:r>
          </w:p>
          <w:p>
            <w:pPr>
              <w:spacing w:after="40" w:line="260"/>
            </w:pPr>
            <w:r>
              <w:rPr>
                <w:rFonts w:ascii="Consolas" w:cs="Consolas" w:eastAsia="Consolas" w:hAnsi="Consolas"/>
                <w:color w:val="262626"/>
                <w:sz w:val="20"/>
                <w:szCs w:val="20"/>
              </w:rPr>
              <w:t xml:space="preserve">├── Sitio: Finanzas</w:t>
            </w:r>
          </w:p>
          <w:p>
            <w:pPr>
              <w:spacing w:after="40" w:line="260"/>
            </w:pPr>
            <w:r>
              <w:rPr>
                <w:rFonts w:ascii="Consolas" w:cs="Consolas" w:eastAsia="Consolas" w:hAnsi="Consolas"/>
                <w:color w:val="262626"/>
                <w:sz w:val="20"/>
                <w:szCs w:val="20"/>
              </w:rPr>
              <w:t xml:space="preserve">└── Sitio: TI</w:t>
            </w:r>
          </w:p>
          <w:p>
            <w:pPr>
              <w:spacing w:after="40" w:line="260"/>
            </w:pPr>
            <w:r>
              <w:rPr>
                <w:rFonts w:ascii="Consolas" w:cs="Consolas" w:eastAsia="Consolas" w:hAnsi="Consolas"/>
                <w:color w:val="262626"/>
                <w:sz w:val="20"/>
                <w:szCs w:val="20"/>
              </w:rPr>
              <w:t xml:space="preserve"/>
            </w:r>
          </w:p>
          <w:p>
            <w:pPr>
              <w:spacing w:after="40" w:line="260"/>
            </w:pPr>
            <w:r>
              <w:rPr>
                <w:rFonts w:ascii="Consolas" w:cs="Consolas" w:eastAsia="Consolas" w:hAnsi="Consolas"/>
                <w:color w:val="262626"/>
                <w:sz w:val="20"/>
                <w:szCs w:val="20"/>
              </w:rPr>
              <w:t xml:space="preserve">Hub 2: Proyectos              (contenido con ciclo de vida)</w:t>
            </w:r>
          </w:p>
          <w:p>
            <w:pPr>
              <w:spacing w:after="40" w:line="260"/>
            </w:pPr>
            <w:r>
              <w:rPr>
                <w:rFonts w:ascii="Consolas" w:cs="Consolas" w:eastAsia="Consolas" w:hAnsi="Consolas"/>
                <w:color w:val="262626"/>
                <w:sz w:val="20"/>
                <w:szCs w:val="20"/>
              </w:rPr>
              <w:t xml:space="preserve">├── Sitio: Proyecto Migración M365</w:t>
            </w:r>
          </w:p>
          <w:p>
            <w:pPr>
              <w:spacing w:after="40" w:line="260"/>
            </w:pPr>
            <w:r>
              <w:rPr>
                <w:rFonts w:ascii="Consolas" w:cs="Consolas" w:eastAsia="Consolas" w:hAnsi="Consolas"/>
                <w:color w:val="262626"/>
                <w:sz w:val="20"/>
                <w:szCs w:val="20"/>
              </w:rPr>
              <w:t xml:space="preserve">├── Sitio: Proyecto ERP 2026</w:t>
            </w:r>
          </w:p>
          <w:p>
            <w:pPr>
              <w:spacing w:after="40" w:line="260"/>
            </w:pPr>
            <w:r>
              <w:rPr>
                <w:rFonts w:ascii="Consolas" w:cs="Consolas" w:eastAsia="Consolas" w:hAnsi="Consolas"/>
                <w:color w:val="262626"/>
                <w:sz w:val="20"/>
                <w:szCs w:val="20"/>
              </w:rPr>
              <w:t xml:space="preserve">└── Sitio: Proyecto Expansión LATAM</w:t>
            </w:r>
          </w:p>
        </w:tc>
      </w:tr>
    </w:tbl>
    <w:p>
      <w:pPr>
        <w:spacing w:after="100"/>
      </w:pPr>
      <w:r>
        <w:t xml:space="preserve"/>
      </w:r>
    </w:p>
    <w:p>
      <w:pPr>
        <w:pStyle w:val="Heading2"/>
        <w:spacing w:after="160" w:before="280"/>
      </w:pPr>
      <w:r>
        <w:t xml:space="preserve">4.3 Diseño del modelo de permisos</w:t>
      </w:r>
    </w:p>
    <w:p>
      <w:pPr>
        <w:spacing w:after="120" w:before="0" w:line="300"/>
      </w:pPr>
      <w:r>
        <w:t xml:space="preserve">El modelo de permisos es la columna vertebral del gobierno de información. Se recomienda seguir el estándar de Microsoft basado en grupos M365 y grupos de seguridad, evitando permisos a nivel de archivo individual.</w:t>
      </w:r>
    </w:p>
    <w:p>
      <w:pPr>
        <w:pStyle w:val="Heading3"/>
        <w:spacing w:after="120" w:before="220"/>
      </w:pPr>
      <w:r>
        <w:t xml:space="preserve">4.3.1 Estructura de grupos por sitio</w:t>
      </w:r>
    </w:p>
    <w:p>
      <w:pPr>
        <w:spacing w:after="120" w:before="0" w:line="300"/>
      </w:pPr>
      <w:r>
        <w:t xml:space="preserve">Cada sitio de SharePoint tiene automáticamente tres grupos: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Grupo</w:t>
            </w:r>
          </w:p>
        </w:tc>
        <w:tc>
          <w:tcPr>
            <w:tcW w:type="dxa" w:w="34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Permisos</w:t>
            </w:r>
          </w:p>
        </w:tc>
        <w:tc>
          <w:tcPr>
            <w:tcW w:type="dxa" w:w="35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Uso típico</w:t>
            </w:r>
          </w:p>
        </w:tc>
      </w:tr>
      <w:tr>
        <w:tc>
          <w:tcPr>
            <w:tcW w:type="dxa" w:w="2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Owners</w:t>
            </w:r>
          </w:p>
        </w:tc>
        <w:tc>
          <w:tcPr>
            <w:tcW w:type="dxa" w:w="3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Control total</w:t>
            </w:r>
          </w:p>
        </w:tc>
        <w:tc>
          <w:tcPr>
            <w:tcW w:type="dxa" w:w="3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Dueños del sitio, administradores. 2–3 personas.</w:t>
            </w:r>
          </w:p>
        </w:tc>
      </w:tr>
      <w:tr>
        <w:tc>
          <w:tcPr>
            <w:tcW w:type="dxa" w:w="2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Members</w:t>
            </w:r>
          </w:p>
        </w:tc>
        <w:tc>
          <w:tcPr>
            <w:tcW w:type="dxa" w:w="3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Editar (lectura/escritura)</w:t>
            </w:r>
          </w:p>
        </w:tc>
        <w:tc>
          <w:tcPr>
            <w:tcW w:type="dxa" w:w="3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Miembros activos del equipo. Departamento completo.</w:t>
            </w:r>
          </w:p>
        </w:tc>
      </w:tr>
      <w:tr>
        <w:tc>
          <w:tcPr>
            <w:tcW w:type="dxa" w:w="2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Visitors</w:t>
            </w:r>
          </w:p>
        </w:tc>
        <w:tc>
          <w:tcPr>
            <w:tcW w:type="dxa" w:w="3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Solo lectura</w:t>
            </w:r>
          </w:p>
        </w:tc>
        <w:tc>
          <w:tcPr>
            <w:tcW w:type="dxa" w:w="3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Consultores, otras áreas con acceso de lectura.</w:t>
            </w:r>
          </w:p>
        </w:tc>
      </w:tr>
    </w:tbl>
    <w:p>
      <w:pPr>
        <w:spacing w:after="100"/>
      </w:pPr>
      <w:r>
        <w:t xml:space="preserve"/>
      </w:r>
    </w:p>
    <w:p>
      <w:pPr>
        <w:pStyle w:val="Heading3"/>
        <w:spacing w:after="120" w:before="220"/>
      </w:pPr>
      <w:r>
        <w:t xml:space="preserve">4.3.2 Nomenclatura estándar de grupos</w:t>
      </w:r>
    </w:p>
    <w:p>
      <w:pPr>
        <w:spacing w:after="120" w:before="0" w:line="300"/>
      </w:pPr>
      <w:r>
        <w:t xml:space="preserve">Se recomienda mantener una nomenclatura clara y consistente para todos los grupos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8C8C" w:sz="4"/>
              <w:left w:val="single" w:color="8C8C8C" w:sz="4"/>
              <w:bottom w:val="single" w:color="8C8C8C" w:sz="4"/>
              <w:right w:val="single" w:color="8C8C8C" w:sz="4"/>
            </w:tcBorders>
            <w:shd w:fill="F2F2F2" w:val="clear"/>
            <w:tcMar>
              <w:top w:type="dxa" w:w="120"/>
              <w:left w:type="dxa" w:w="160"/>
              <w:bottom w:type="dxa" w:w="120"/>
              <w:right w:type="dxa" w:w="160"/>
            </w:tcMar>
          </w:tcPr>
          <w:p>
            <w:pPr>
              <w:spacing w:after="40" w:line="260"/>
            </w:pPr>
            <w:r>
              <w:rPr>
                <w:rFonts w:ascii="Consolas" w:cs="Consolas" w:eastAsia="Consolas" w:hAnsi="Consolas"/>
                <w:color w:val="262626"/>
                <w:sz w:val="20"/>
                <w:szCs w:val="20"/>
              </w:rPr>
              <w:t xml:space="preserve">Formato:  SP-&lt;Sitio&gt;-&lt;Rol&gt;</w:t>
            </w:r>
          </w:p>
          <w:p>
            <w:pPr>
              <w:spacing w:after="40" w:line="260"/>
            </w:pPr>
            <w:r>
              <w:rPr>
                <w:rFonts w:ascii="Consolas" w:cs="Consolas" w:eastAsia="Consolas" w:hAnsi="Consolas"/>
                <w:color w:val="262626"/>
                <w:sz w:val="20"/>
                <w:szCs w:val="20"/>
              </w:rPr>
              <w:t xml:space="preserve"/>
            </w:r>
          </w:p>
          <w:p>
            <w:pPr>
              <w:spacing w:after="40" w:line="260"/>
            </w:pPr>
            <w:r>
              <w:rPr>
                <w:rFonts w:ascii="Consolas" w:cs="Consolas" w:eastAsia="Consolas" w:hAnsi="Consolas"/>
                <w:color w:val="262626"/>
                <w:sz w:val="20"/>
                <w:szCs w:val="20"/>
              </w:rPr>
              <w:t xml:space="preserve">Ejemplos:</w:t>
            </w:r>
          </w:p>
          <w:p>
            <w:pPr>
              <w:spacing w:after="40" w:line="260"/>
            </w:pPr>
            <w:r>
              <w:rPr>
                <w:rFonts w:ascii="Consolas" w:cs="Consolas" w:eastAsia="Consolas" w:hAnsi="Consolas"/>
                <w:color w:val="262626"/>
                <w:sz w:val="20"/>
                <w:szCs w:val="20"/>
              </w:rPr>
              <w:t xml:space="preserve">  SP-RH-Owners        (dueños del sitio de Recursos Humanos)</w:t>
            </w:r>
          </w:p>
          <w:p>
            <w:pPr>
              <w:spacing w:after="40" w:line="260"/>
            </w:pPr>
            <w:r>
              <w:rPr>
                <w:rFonts w:ascii="Consolas" w:cs="Consolas" w:eastAsia="Consolas" w:hAnsi="Consolas"/>
                <w:color w:val="262626"/>
                <w:sz w:val="20"/>
                <w:szCs w:val="20"/>
              </w:rPr>
              <w:t xml:space="preserve">  SP-RH-Members       (miembros del sitio de RH)</w:t>
            </w:r>
          </w:p>
          <w:p>
            <w:pPr>
              <w:spacing w:after="40" w:line="260"/>
            </w:pPr>
            <w:r>
              <w:rPr>
                <w:rFonts w:ascii="Consolas" w:cs="Consolas" w:eastAsia="Consolas" w:hAnsi="Consolas"/>
                <w:color w:val="262626"/>
                <w:sz w:val="20"/>
                <w:szCs w:val="20"/>
              </w:rPr>
              <w:t xml:space="preserve">  SP-RH-Visitors      (visitantes con solo lectura)</w:t>
            </w:r>
          </w:p>
          <w:p>
            <w:pPr>
              <w:spacing w:after="40" w:line="260"/>
            </w:pPr>
            <w:r>
              <w:rPr>
                <w:rFonts w:ascii="Consolas" w:cs="Consolas" w:eastAsia="Consolas" w:hAnsi="Consolas"/>
                <w:color w:val="262626"/>
                <w:sz w:val="20"/>
                <w:szCs w:val="20"/>
              </w:rPr>
              <w:t xml:space="preserve">  SP-Finanzas-Owners</w:t>
            </w:r>
          </w:p>
          <w:p>
            <w:pPr>
              <w:spacing w:after="40" w:line="260"/>
            </w:pPr>
            <w:r>
              <w:rPr>
                <w:rFonts w:ascii="Consolas" w:cs="Consolas" w:eastAsia="Consolas" w:hAnsi="Consolas"/>
                <w:color w:val="262626"/>
                <w:sz w:val="20"/>
                <w:szCs w:val="20"/>
              </w:rPr>
              <w:t xml:space="preserve">  SP-Finanzas-Members-Contadores</w:t>
            </w:r>
          </w:p>
          <w:p>
            <w:pPr>
              <w:spacing w:after="40" w:line="260"/>
            </w:pPr>
            <w:r>
              <w:rPr>
                <w:rFonts w:ascii="Consolas" w:cs="Consolas" w:eastAsia="Consolas" w:hAnsi="Consolas"/>
                <w:color w:val="262626"/>
                <w:sz w:val="20"/>
                <w:szCs w:val="20"/>
              </w:rPr>
              <w:t xml:space="preserve">  SP-Finanzas-Members-Analistas</w:t>
            </w:r>
          </w:p>
          <w:p>
            <w:pPr>
              <w:spacing w:after="40" w:line="260"/>
            </w:pPr>
            <w:r>
              <w:rPr>
                <w:rFonts w:ascii="Consolas" w:cs="Consolas" w:eastAsia="Consolas" w:hAnsi="Consolas"/>
                <w:color w:val="262626"/>
                <w:sz w:val="20"/>
                <w:szCs w:val="20"/>
              </w:rPr>
              <w:t xml:space="preserve">  SP-Ventas-Visitors-DireccionGeneral</w:t>
            </w:r>
          </w:p>
        </w:tc>
      </w:tr>
    </w:tbl>
    <w:p>
      <w:pPr>
        <w:spacing w:after="100"/>
      </w:pPr>
      <w:r>
        <w:t xml:space="preserve"/>
      </w:r>
    </w:p>
    <w:p>
      <w:pPr>
        <w:pStyle w:val="Heading3"/>
        <w:spacing w:after="120" w:before="220"/>
      </w:pPr>
      <w:r>
        <w:t xml:space="preserve">4.3.3 Estrategia de grupos M365 vs Grupos de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Escenario</w:t>
            </w:r>
          </w:p>
        </w:tc>
        <w:tc>
          <w:tcPr>
            <w:tcW w:type="dxa" w:w="63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Recomendación</w:t>
            </w:r>
          </w:p>
        </w:tc>
      </w:tr>
      <w:tr>
        <w:tc>
          <w:tcPr>
            <w:tcW w:type="dxa" w:w="3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Sitio con equipo de colaboración (con Teams)</w:t>
            </w:r>
          </w:p>
        </w:tc>
        <w:tc>
          <w:tcPr>
            <w:tcW w:type="dxa" w:w="6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Grupo M365 (crea automáticamente buzón, Teams, calendario y sitio).</w:t>
            </w:r>
          </w:p>
        </w:tc>
      </w:tr>
      <w:tr>
        <w:tc>
          <w:tcPr>
            <w:tcW w:type="dxa" w:w="3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Sitio de solo repositorio documental</w:t>
            </w:r>
          </w:p>
        </w:tc>
        <w:tc>
          <w:tcPr>
            <w:tcW w:type="dxa" w:w="6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Grupo de seguridad (sin buzón ni Teams asociado).</w:t>
            </w:r>
          </w:p>
        </w:tc>
      </w:tr>
      <w:tr>
        <w:tc>
          <w:tcPr>
            <w:tcW w:type="dxa" w:w="3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Acceso de lectura ocasional a múltiples sitios</w:t>
            </w:r>
          </w:p>
        </w:tc>
        <w:tc>
          <w:tcPr>
            <w:tcW w:type="dxa" w:w="6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Grupo de seguridad multi-uso, anidado como Visitor en cada sitio.</w:t>
            </w:r>
          </w:p>
        </w:tc>
      </w:tr>
      <w:tr>
        <w:tc>
          <w:tcPr>
            <w:tcW w:type="dxa" w:w="3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Acceso a subcarpetas específicas dentro de un sitio</w:t>
            </w:r>
          </w:p>
        </w:tc>
        <w:tc>
          <w:tcPr>
            <w:tcW w:type="dxa" w:w="6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Evitar cuando sea posible; si es indispensable, romper herencia y aplicar grupo específico.</w:t>
            </w:r>
          </w:p>
        </w:tc>
      </w:tr>
      <w:tr>
        <w:tc>
          <w:tcPr>
            <w:tcW w:type="dxa" w:w="3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Usuarios externos (invitados)</w:t>
            </w:r>
          </w:p>
        </w:tc>
        <w:tc>
          <w:tcPr>
            <w:tcW w:type="dxa" w:w="6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Grupo M365 con configuración de invitados habilitada, revisiones trimestrales.</w:t>
            </w:r>
          </w:p>
        </w:tc>
      </w:tr>
    </w:tbl>
    <w:p>
      <w:pPr>
        <w:spacing w:after="100"/>
      </w:pPr>
      <w:r>
        <w:t xml:space="preserve"/>
      </w:r>
    </w:p>
    <w:p>
      <w:pPr>
        <w:pStyle w:val="Heading3"/>
        <w:spacing w:after="120" w:before="220"/>
      </w:pPr>
      <w:r>
        <w:t xml:space="preserve">4.3.4 Reglas de oro para el modelo de permisos</w:t>
      </w:r>
    </w:p>
    <w:p>
      <w:pPr>
        <w:pStyle w:val="ListParagraph"/>
        <w:numPr>
          <w:ilvl w:val="0"/>
          <w:numId w:val="2"/>
        </w:numPr>
        <w:spacing w:after="80" w:line="280"/>
      </w:pPr>
      <w:r>
        <w:t xml:space="preserve">NUNCA asignar permisos directamente a usuarios; siempre por grupo.</w:t>
      </w:r>
    </w:p>
    <w:p>
      <w:pPr>
        <w:pStyle w:val="ListParagraph"/>
        <w:numPr>
          <w:ilvl w:val="0"/>
          <w:numId w:val="2"/>
        </w:numPr>
        <w:spacing w:after="80" w:line="280"/>
      </w:pPr>
      <w:r>
        <w:t xml:space="preserve">EVITAR romper herencia (breaking inheritance) por debajo del nivel de biblioteca. Si hay que hacerlo, documentarlo.</w:t>
      </w:r>
    </w:p>
    <w:p>
      <w:pPr>
        <w:pStyle w:val="ListParagraph"/>
        <w:numPr>
          <w:ilvl w:val="0"/>
          <w:numId w:val="2"/>
        </w:numPr>
        <w:spacing w:after="80" w:line="280"/>
      </w:pPr>
      <w:r>
        <w:t xml:space="preserve">LIMITAR el uso del grupo "Todos excepto usuarios externos" a contenido genuinamente público.</w:t>
      </w:r>
    </w:p>
    <w:p>
      <w:pPr>
        <w:pStyle w:val="ListParagraph"/>
        <w:numPr>
          <w:ilvl w:val="0"/>
          <w:numId w:val="2"/>
        </w:numPr>
        <w:spacing w:after="80" w:line="280"/>
      </w:pPr>
      <w:r>
        <w:t xml:space="preserve">REVISAR los permisos trimestralmente (Access Reviews en Entra ID).</w:t>
      </w:r>
    </w:p>
    <w:p>
      <w:pPr>
        <w:pStyle w:val="ListParagraph"/>
        <w:numPr>
          <w:ilvl w:val="0"/>
          <w:numId w:val="2"/>
        </w:numPr>
        <w:spacing w:after="80" w:line="280"/>
      </w:pPr>
      <w:r>
        <w:t xml:space="preserve">HABILITAR auditoría desde el día uno para trazabilidad.</w:t>
      </w:r>
    </w:p>
    <w:p>
      <w:pPr>
        <w:spacing w:after="100"/>
      </w:pPr>
      <w:r>
        <w:t xml:space="preserve"/>
      </w:r>
    </w:p>
    <w:p>
      <w:pPr>
        <w:pStyle w:val="Heading2"/>
        <w:spacing w:after="160" w:before="280"/>
      </w:pPr>
      <w:r>
        <w:t xml:space="preserve">4.4 Mapeo del contenido origen → destino</w:t>
      </w:r>
    </w:p>
    <w:p>
      <w:pPr>
        <w:spacing w:after="120" w:before="0" w:line="300"/>
      </w:pPr>
      <w:r>
        <w:t xml:space="preserve">Con los hallazgos de la Fase 0 y la arquitectura definida, se genera la tabla maestra de mapeo, que es el documento crítico para la ejecución de la migración. Cada carpeta raíz del origen debe mapearse a un sitio y biblioteca destino. Ver plantilla completa en el Apéndice B.</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Origen (Ruta)</w:t>
            </w:r>
          </w:p>
        </w:tc>
        <w:tc>
          <w:tcPr>
            <w:tcW w:type="dxa" w:w="312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Destino (Sitio → Biblioteca)</w:t>
            </w:r>
          </w:p>
        </w:tc>
        <w:tc>
          <w:tcPr>
            <w:tcW w:type="dxa" w:w="312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Observaciones</w:t>
            </w:r>
          </w:p>
        </w:tc>
      </w:tr>
      <w:tr>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\\srv-files\Recursos Humanos</w:t>
            </w:r>
          </w:p>
        </w:tc>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SP: RH → Documentos</w:t>
            </w:r>
          </w:p>
        </w:tc>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Aplicar retención 7 años; sensibilidad Interna.</w:t>
            </w:r>
          </w:p>
        </w:tc>
      </w:tr>
      <w:tr>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\\srv-files\Finanzas\2024</w:t>
            </w:r>
          </w:p>
        </w:tc>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SP: Finanzas → Documentos → 2024</w:t>
            </w:r>
          </w:p>
        </w:tc>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Aplicar retención 10 años; solo lectura tras cierre fiscal.</w:t>
            </w:r>
          </w:p>
        </w:tc>
      </w:tr>
      <w:tr>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\\srv-files\Compartido\Publico</w:t>
            </w:r>
          </w:p>
        </w:tc>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SP: Intranet → Recursos Compartidos</w:t>
            </w:r>
          </w:p>
        </w:tc>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Acceso a toda la organización.</w:t>
            </w:r>
          </w:p>
        </w:tc>
      </w:tr>
      <w:tr>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\\srv-files\Ventas\Clientes</w:t>
            </w:r>
          </w:p>
        </w:tc>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SP: Ventas → Documentos → Clientes</w:t>
            </w:r>
          </w:p>
        </w:tc>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Metadatos: Cliente, Sector, Región.</w:t>
            </w:r>
          </w:p>
        </w:tc>
      </w:tr>
      <w:tr>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\\srv-files\TEMP</w:t>
            </w:r>
          </w:p>
        </w:tc>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NO MIGRAR — Purgar</w:t>
            </w:r>
          </w:p>
        </w:tc>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Contenido temporal identificado como ROT.</w:t>
            </w:r>
          </w:p>
        </w:tc>
      </w:tr>
    </w:tbl>
    <w:p>
      <w:pPr>
        <w:spacing w:after="100"/>
      </w:pPr>
      <w:r>
        <w:t xml:space="preserve"/>
      </w:r>
    </w:p>
    <w:p>
      <w:pPr>
        <w:pStyle w:val="Heading2"/>
        <w:spacing w:after="160" w:before="280"/>
      </w:pPr>
      <w:r>
        <w:t xml:space="preserve">4.5 Políticas de gobierno a definir en esta fase</w:t>
      </w:r>
    </w:p>
    <w:p>
      <w:pPr>
        <w:pStyle w:val="ListParagraph"/>
        <w:numPr>
          <w:ilvl w:val="0"/>
          <w:numId w:val="2"/>
        </w:numPr>
        <w:spacing w:after="80" w:line="280"/>
      </w:pPr>
      <w:r>
        <w:t xml:space="preserve">Política de retención por sitio o biblioteca (7, 10, permanente, etc.).</w:t>
      </w:r>
    </w:p>
    <w:p>
      <w:pPr>
        <w:pStyle w:val="ListParagraph"/>
        <w:numPr>
          <w:ilvl w:val="0"/>
          <w:numId w:val="2"/>
        </w:numPr>
        <w:spacing w:after="80" w:line="280"/>
      </w:pPr>
      <w:r>
        <w:t xml:space="preserve">Etiquetas de sensibilidad (Pública, Interna, Confidencial, Restringida) y a qué contenido aplican.</w:t>
      </w:r>
    </w:p>
    <w:p>
      <w:pPr>
        <w:pStyle w:val="ListParagraph"/>
        <w:numPr>
          <w:ilvl w:val="0"/>
          <w:numId w:val="2"/>
        </w:numPr>
        <w:spacing w:after="80" w:line="280"/>
      </w:pPr>
      <w:r>
        <w:t xml:space="preserve">Política de compartición externa (permitir/denegar por sitio; con expiración por defecto).</w:t>
      </w:r>
    </w:p>
    <w:p>
      <w:pPr>
        <w:pStyle w:val="ListParagraph"/>
        <w:numPr>
          <w:ilvl w:val="0"/>
          <w:numId w:val="2"/>
        </w:numPr>
        <w:spacing w:after="80" w:line="280"/>
      </w:pPr>
      <w:r>
        <w:t xml:space="preserve">Política de eliminación (soft delete 93 días en papelera, luego permanente).</w:t>
      </w:r>
    </w:p>
    <w:p>
      <w:pPr>
        <w:pStyle w:val="ListParagraph"/>
        <w:numPr>
          <w:ilvl w:val="0"/>
          <w:numId w:val="2"/>
        </w:numPr>
        <w:spacing w:after="80" w:line="280"/>
      </w:pPr>
      <w:r>
        <w:t xml:space="preserve">Política de versionado (mínimo 500 versiones; considerar 100 para bibliotecas de alto cambio).</w:t>
      </w:r>
    </w:p>
    <w:p>
      <w:pPr>
        <w:pStyle w:val="ListParagraph"/>
        <w:numPr>
          <w:ilvl w:val="0"/>
          <w:numId w:val="2"/>
        </w:numPr>
        <w:spacing w:after="80" w:line="280"/>
      </w:pPr>
      <w:r>
        <w:t xml:space="preserve">Política de nombres de archivos y carpetas (nomenclatura estándar, longitud máxima).</w:t>
      </w:r>
    </w:p>
    <w:p>
      <w:pPr>
        <w:pStyle w:val="ListParagraph"/>
        <w:numPr>
          <w:ilvl w:val="0"/>
          <w:numId w:val="2"/>
        </w:numPr>
        <w:spacing w:after="80" w:line="280"/>
      </w:pPr>
      <w:r>
        <w:t xml:space="preserve">Roles del proyecto: patrocinador ejecutivo, líder técnico, campeones por área.</w:t>
      </w:r>
    </w:p>
    <w:p>
      <w:r>
        <w:br w:type="page"/>
      </w:r>
    </w:p>
    <w:p>
      <w:pPr>
        <w:pStyle w:val="Heading1"/>
        <w:spacing w:after="200" w:before="360"/>
      </w:pPr>
      <w:r>
        <w:t xml:space="preserve">5. Fase 2 — Preparación del entorno destino y limpieza del origen</w:t>
      </w:r>
    </w:p>
    <w:p>
      <w:pPr>
        <w:spacing w:after="120" w:before="0" w:line="300"/>
      </w:pPr>
      <w:r>
        <w:t xml:space="preserve">En esta fase se materializa el diseño de la Fase 1 dentro de SharePoint Online y, simultáneamente, se ejecuta la limpieza del repositorio origen para reducir la cantidad de datos innecesarios a migrar.</w:t>
      </w:r>
    </w:p>
    <w:p>
      <w:pPr>
        <w:spacing w:after="100"/>
      </w:pPr>
      <w:r>
        <w:t xml:space="preserve"/>
      </w:r>
    </w:p>
    <w:p>
      <w:pPr>
        <w:pStyle w:val="Heading2"/>
        <w:spacing w:after="160" w:before="280"/>
      </w:pPr>
      <w:r>
        <w:t xml:space="preserve">5.1 Provisión de la estructura destino en SharePoint</w:t>
      </w:r>
    </w:p>
    <w:p>
      <w:pPr>
        <w:pStyle w:val="Heading3"/>
        <w:spacing w:after="120" w:before="220"/>
      </w:pPr>
      <w:r>
        <w:t xml:space="preserve">5.1.1 Requisitos previos</w:t>
      </w:r>
    </w:p>
    <w:p>
      <w:pPr>
        <w:pStyle w:val="ListParagraph"/>
        <w:numPr>
          <w:ilvl w:val="0"/>
          <w:numId w:val="2"/>
        </w:numPr>
        <w:spacing w:after="80" w:line="280"/>
      </w:pPr>
      <w:r>
        <w:t xml:space="preserve">Tenant de Microsoft 365 con licencias E3 activas (mínimo para los usuarios que serán Owners y Members).</w:t>
      </w:r>
    </w:p>
    <w:p>
      <w:pPr>
        <w:pStyle w:val="ListParagraph"/>
        <w:numPr>
          <w:ilvl w:val="0"/>
          <w:numId w:val="2"/>
        </w:numPr>
        <w:spacing w:after="80" w:line="280"/>
      </w:pPr>
      <w:r>
        <w:t xml:space="preserve">Rol de Administrador de SharePoint asignado al operador.</w:t>
      </w:r>
    </w:p>
    <w:p>
      <w:pPr>
        <w:pStyle w:val="ListParagraph"/>
        <w:numPr>
          <w:ilvl w:val="0"/>
          <w:numId w:val="2"/>
        </w:numPr>
        <w:spacing w:after="80" w:line="280"/>
      </w:pPr>
      <w:r>
        <w:t xml:space="preserve">Entra ID (Azure AD) sincronizado con el Active Directory local, si aplica.</w:t>
      </w:r>
    </w:p>
    <w:p>
      <w:pPr>
        <w:pStyle w:val="ListParagraph"/>
        <w:numPr>
          <w:ilvl w:val="0"/>
          <w:numId w:val="2"/>
        </w:numPr>
        <w:spacing w:after="80" w:line="280"/>
      </w:pPr>
      <w:r>
        <w:t xml:space="preserve">Capacidad de almacenamiento del tenant validada: cada tenant de M365 inicia con 1 TB + 10 GB por usuario licenciado; 2 TB entran holgadamente si el cliente tiene 80+ usuarios.</w:t>
      </w:r>
    </w:p>
    <w:p>
      <w:pPr>
        <w:spacing w:after="100"/>
      </w:pPr>
      <w:r>
        <w:t xml:space="preserve"/>
      </w:r>
    </w:p>
    <w:p>
      <w:pPr>
        <w:pStyle w:val="Heading3"/>
        <w:spacing w:after="120" w:before="220"/>
      </w:pPr>
      <w:r>
        <w:t xml:space="preserve">5.1.2 Creación de los sitios</w:t>
      </w:r>
    </w:p>
    <w:p>
      <w:pPr>
        <w:spacing w:after="120" w:before="0" w:line="300"/>
      </w:pPr>
      <w:r>
        <w:t xml:space="preserve">Los sitios pueden crearse manualmente desde el SharePoint Admin Center, o de forma automatizada usando PnP PowerShell (recomendado para múltiples sitios).</w:t>
      </w:r>
    </w:p>
    <w:p>
      <w:pPr>
        <w:pStyle w:val="Heading3"/>
        <w:spacing w:after="120" w:before="220"/>
      </w:pPr>
      <w:r>
        <w:t xml:space="preserve">Método 1 — Manual (adecuado para 5–10 sitios)</w:t>
      </w:r>
    </w:p>
    <w:p>
      <w:pPr>
        <w:pStyle w:val="ListParagraph"/>
        <w:numPr>
          <w:ilvl w:val="0"/>
          <w:numId w:val="3"/>
        </w:numPr>
        <w:spacing w:after="100" w:line="280"/>
      </w:pPr>
      <w:r>
        <w:t xml:space="preserve">Ingresar al SharePoint Admin Center: https://&lt;tenant&gt;-admin.sharepoint.com</w:t>
      </w:r>
    </w:p>
    <w:p>
      <w:pPr>
        <w:pStyle w:val="ListParagraph"/>
        <w:numPr>
          <w:ilvl w:val="0"/>
          <w:numId w:val="3"/>
        </w:numPr>
        <w:spacing w:after="100" w:line="280"/>
      </w:pPr>
      <w:r>
        <w:t xml:space="preserve">Sitios → Sitios activos → Crear.</w:t>
      </w:r>
    </w:p>
    <w:p>
      <w:pPr>
        <w:pStyle w:val="ListParagraph"/>
        <w:numPr>
          <w:ilvl w:val="0"/>
          <w:numId w:val="3"/>
        </w:numPr>
        <w:spacing w:after="100" w:line="280"/>
      </w:pPr>
      <w:r>
        <w:t xml:space="preserve">Seleccionar el tipo: Sitio de comunicación (para hubs e intranets) o Sitio de equipo (para colaboración con Teams).</w:t>
      </w:r>
    </w:p>
    <w:p>
      <w:pPr>
        <w:pStyle w:val="ListParagraph"/>
        <w:numPr>
          <w:ilvl w:val="0"/>
          <w:numId w:val="3"/>
        </w:numPr>
        <w:spacing w:after="100" w:line="280"/>
      </w:pPr>
      <w:r>
        <w:t xml:space="preserve">Completar nombre, URL, dueño principal, plantilla y zona horaria.</w:t>
      </w:r>
    </w:p>
    <w:p>
      <w:pPr>
        <w:pStyle w:val="ListParagraph"/>
        <w:numPr>
          <w:ilvl w:val="0"/>
          <w:numId w:val="3"/>
        </w:numPr>
        <w:spacing w:after="100" w:line="280"/>
      </w:pPr>
      <w:r>
        <w:t xml:space="preserve">Repetir por cada sitio del diseño.</w:t>
      </w:r>
    </w:p>
    <w:p>
      <w:pPr>
        <w:spacing w:after="100"/>
      </w:pPr>
      <w:r>
        <w:t xml:space="preserve"/>
      </w:r>
    </w:p>
    <w:p>
      <w:pPr>
        <w:pStyle w:val="Heading3"/>
        <w:spacing w:after="120" w:before="220"/>
      </w:pPr>
      <w:r>
        <w:t xml:space="preserve">Método 2 — Automatizado con PnP PowerShell (recomendado)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8C8C" w:sz="4"/>
              <w:left w:val="single" w:color="8C8C8C" w:sz="4"/>
              <w:bottom w:val="single" w:color="8C8C8C" w:sz="4"/>
              <w:right w:val="single" w:color="8C8C8C" w:sz="4"/>
            </w:tcBorders>
            <w:shd w:fill="F2F2F2" w:val="clear"/>
            <w:tcMar>
              <w:top w:type="dxa" w:w="120"/>
              <w:left w:type="dxa" w:w="160"/>
              <w:bottom w:type="dxa" w:w="120"/>
              <w:right w:type="dxa" w:w="160"/>
            </w:tcMar>
          </w:tcPr>
          <w:p>
            <w:pPr>
              <w:spacing w:after="40" w:line="260"/>
            </w:pPr>
            <w:r>
              <w:rPr>
                <w:rFonts w:ascii="Consolas" w:cs="Consolas" w:eastAsia="Consolas" w:hAnsi="Consolas"/>
                <w:color w:val="262626"/>
                <w:sz w:val="20"/>
                <w:szCs w:val="20"/>
              </w:rPr>
              <w:t xml:space="preserve"># Instalar el módulo</w:t>
            </w:r>
          </w:p>
          <w:p>
            <w:pPr>
              <w:spacing w:after="40" w:line="260"/>
            </w:pPr>
            <w:r>
              <w:rPr>
                <w:rFonts w:ascii="Consolas" w:cs="Consolas" w:eastAsia="Consolas" w:hAnsi="Consolas"/>
                <w:color w:val="262626"/>
                <w:sz w:val="20"/>
                <w:szCs w:val="20"/>
              </w:rPr>
              <w:t xml:space="preserve">Install-Module -Name PnP.PowerShell -Scope CurrentUser</w:t>
            </w:r>
          </w:p>
          <w:p>
            <w:pPr>
              <w:spacing w:after="40" w:line="260"/>
            </w:pPr>
            <w:r>
              <w:rPr>
                <w:rFonts w:ascii="Consolas" w:cs="Consolas" w:eastAsia="Consolas" w:hAnsi="Consolas"/>
                <w:color w:val="262626"/>
                <w:sz w:val="20"/>
                <w:szCs w:val="20"/>
              </w:rPr>
              <w:t xml:space="preserve"/>
            </w:r>
          </w:p>
          <w:p>
            <w:pPr>
              <w:spacing w:after="40" w:line="260"/>
            </w:pPr>
            <w:r>
              <w:rPr>
                <w:rFonts w:ascii="Consolas" w:cs="Consolas" w:eastAsia="Consolas" w:hAnsi="Consolas"/>
                <w:color w:val="262626"/>
                <w:sz w:val="20"/>
                <w:szCs w:val="20"/>
              </w:rPr>
              <w:t xml:space="preserve"># Autenticación</w:t>
            </w:r>
          </w:p>
          <w:p>
            <w:pPr>
              <w:spacing w:after="40" w:line="260"/>
            </w:pPr>
            <w:r>
              <w:rPr>
                <w:rFonts w:ascii="Consolas" w:cs="Consolas" w:eastAsia="Consolas" w:hAnsi="Consolas"/>
                <w:color w:val="262626"/>
                <w:sz w:val="20"/>
                <w:szCs w:val="20"/>
              </w:rPr>
              <w:t xml:space="preserve">Connect-PnPOnline -Url https://&lt;tenant&gt;-admin.sharepoint.com -Interactive</w:t>
            </w:r>
          </w:p>
          <w:p>
            <w:pPr>
              <w:spacing w:after="40" w:line="260"/>
            </w:pPr>
            <w:r>
              <w:rPr>
                <w:rFonts w:ascii="Consolas" w:cs="Consolas" w:eastAsia="Consolas" w:hAnsi="Consolas"/>
                <w:color w:val="262626"/>
                <w:sz w:val="20"/>
                <w:szCs w:val="20"/>
              </w:rPr>
              <w:t xml:space="preserve"/>
            </w:r>
          </w:p>
          <w:p>
            <w:pPr>
              <w:spacing w:after="40" w:line="260"/>
            </w:pPr>
            <w:r>
              <w:rPr>
                <w:rFonts w:ascii="Consolas" w:cs="Consolas" w:eastAsia="Consolas" w:hAnsi="Consolas"/>
                <w:color w:val="262626"/>
                <w:sz w:val="20"/>
                <w:szCs w:val="20"/>
              </w:rPr>
              <w:t xml:space="preserve"># Crear sitios desde un CSV</w:t>
            </w:r>
          </w:p>
          <w:p>
            <w:pPr>
              <w:spacing w:after="40" w:line="260"/>
            </w:pPr>
            <w:r>
              <w:rPr>
                <w:rFonts w:ascii="Consolas" w:cs="Consolas" w:eastAsia="Consolas" w:hAnsi="Consolas"/>
                <w:color w:val="262626"/>
                <w:sz w:val="20"/>
                <w:szCs w:val="20"/>
              </w:rPr>
              <w:t xml:space="preserve">Import-Csv .\sitios.csv | ForEach-Object {</w:t>
            </w:r>
          </w:p>
          <w:p>
            <w:pPr>
              <w:spacing w:after="40" w:line="260"/>
            </w:pPr>
            <w:r>
              <w:rPr>
                <w:rFonts w:ascii="Consolas" w:cs="Consolas" w:eastAsia="Consolas" w:hAnsi="Consolas"/>
                <w:color w:val="262626"/>
                <w:sz w:val="20"/>
                <w:szCs w:val="20"/>
              </w:rPr>
              <w:t xml:space="preserve">  New-PnPSite -Type TeamSite `</w:t>
            </w:r>
          </w:p>
          <w:p>
            <w:pPr>
              <w:spacing w:after="40" w:line="260"/>
            </w:pPr>
            <w:r>
              <w:rPr>
                <w:rFonts w:ascii="Consolas" w:cs="Consolas" w:eastAsia="Consolas" w:hAnsi="Consolas"/>
                <w:color w:val="262626"/>
                <w:sz w:val="20"/>
                <w:szCs w:val="20"/>
              </w:rPr>
              <w:t xml:space="preserve">    -Title $_.Titulo `</w:t>
            </w:r>
          </w:p>
          <w:p>
            <w:pPr>
              <w:spacing w:after="40" w:line="260"/>
            </w:pPr>
            <w:r>
              <w:rPr>
                <w:rFonts w:ascii="Consolas" w:cs="Consolas" w:eastAsia="Consolas" w:hAnsi="Consolas"/>
                <w:color w:val="262626"/>
                <w:sz w:val="20"/>
                <w:szCs w:val="20"/>
              </w:rPr>
              <w:t xml:space="preserve">    -Alias $_.Alias `</w:t>
            </w:r>
          </w:p>
          <w:p>
            <w:pPr>
              <w:spacing w:after="40" w:line="260"/>
            </w:pPr>
            <w:r>
              <w:rPr>
                <w:rFonts w:ascii="Consolas" w:cs="Consolas" w:eastAsia="Consolas" w:hAnsi="Consolas"/>
                <w:color w:val="262626"/>
                <w:sz w:val="20"/>
                <w:szCs w:val="20"/>
              </w:rPr>
              <w:t xml:space="preserve">    -Description $_.Descripcion `</w:t>
            </w:r>
          </w:p>
          <w:p>
            <w:pPr>
              <w:spacing w:after="40" w:line="260"/>
            </w:pPr>
            <w:r>
              <w:rPr>
                <w:rFonts w:ascii="Consolas" w:cs="Consolas" w:eastAsia="Consolas" w:hAnsi="Consolas"/>
                <w:color w:val="262626"/>
                <w:sz w:val="20"/>
                <w:szCs w:val="20"/>
              </w:rPr>
              <w:t xml:space="preserve">    -Owners $_.Owner `</w:t>
            </w:r>
          </w:p>
          <w:p>
            <w:pPr>
              <w:spacing w:after="40" w:line="260"/>
            </w:pPr>
            <w:r>
              <w:rPr>
                <w:rFonts w:ascii="Consolas" w:cs="Consolas" w:eastAsia="Consolas" w:hAnsi="Consolas"/>
                <w:color w:val="262626"/>
                <w:sz w:val="20"/>
                <w:szCs w:val="20"/>
              </w:rPr>
              <w:t xml:space="preserve">    -Lcid 3082</w:t>
            </w:r>
          </w:p>
          <w:p>
            <w:pPr>
              <w:spacing w:after="40" w:line="260"/>
            </w:pPr>
            <w:r>
              <w:rPr>
                <w:rFonts w:ascii="Consolas" w:cs="Consolas" w:eastAsia="Consolas" w:hAnsi="Consolas"/>
                <w:color w:val="262626"/>
                <w:sz w:val="20"/>
                <w:szCs w:val="20"/>
              </w:rPr>
              <w:t xml:space="preserve">}</w:t>
            </w:r>
          </w:p>
        </w:tc>
      </w:tr>
    </w:tbl>
    <w:p>
      <w:pPr>
        <w:spacing w:after="100"/>
      </w:pPr>
      <w:r>
        <w:t xml:space="preserve"/>
      </w:r>
    </w:p>
    <w:p>
      <w:pPr>
        <w:pStyle w:val="Heading3"/>
        <w:spacing w:after="120" w:before="220"/>
      </w:pPr>
      <w:r>
        <w:t xml:space="preserve">5.1.3 Configuración del Hub Site</w:t>
      </w:r>
    </w:p>
    <w:p>
      <w:pPr>
        <w:pStyle w:val="ListParagraph"/>
        <w:numPr>
          <w:ilvl w:val="0"/>
          <w:numId w:val="3"/>
        </w:numPr>
        <w:spacing w:after="100" w:line="280"/>
      </w:pPr>
      <w:r>
        <w:t xml:space="preserve">Crear primero el Sitio de comunicación que actuará como Hub.</w:t>
      </w:r>
    </w:p>
    <w:p>
      <w:pPr>
        <w:pStyle w:val="ListParagraph"/>
        <w:numPr>
          <w:ilvl w:val="0"/>
          <w:numId w:val="3"/>
        </w:numPr>
        <w:spacing w:after="100" w:line="280"/>
      </w:pPr>
      <w:r>
        <w:t xml:space="preserve">Desde SharePoint Admin Center → Sitios → seleccionar el sitio → Hub → Registrar como Hub.</w:t>
      </w:r>
    </w:p>
    <w:p>
      <w:pPr>
        <w:pStyle w:val="ListParagraph"/>
        <w:numPr>
          <w:ilvl w:val="0"/>
          <w:numId w:val="3"/>
        </w:numPr>
        <w:spacing w:after="100" w:line="280"/>
      </w:pPr>
      <w:r>
        <w:t xml:space="preserve">Definir el nombre visible del hub y los permisos de asociación.</w:t>
      </w:r>
    </w:p>
    <w:p>
      <w:pPr>
        <w:pStyle w:val="ListParagraph"/>
        <w:numPr>
          <w:ilvl w:val="0"/>
          <w:numId w:val="3"/>
        </w:numPr>
        <w:spacing w:after="100" w:line="280"/>
      </w:pPr>
      <w:r>
        <w:t xml:space="preserve">Asociar cada sitio departamental al hub: Sitios → seleccionar sitio → Hub → Asociar.</w:t>
      </w:r>
    </w:p>
    <w:p>
      <w:pPr>
        <w:pStyle w:val="ListParagraph"/>
        <w:numPr>
          <w:ilvl w:val="0"/>
          <w:numId w:val="3"/>
        </w:numPr>
        <w:spacing w:after="100" w:line="280"/>
      </w:pPr>
      <w:r>
        <w:t xml:space="preserve">Configurar la navegación del hub (menú superior común a todos los sitios asociados).</w:t>
      </w:r>
    </w:p>
    <w:p>
      <w:pPr>
        <w:pStyle w:val="ListParagraph"/>
        <w:numPr>
          <w:ilvl w:val="0"/>
          <w:numId w:val="3"/>
        </w:numPr>
        <w:spacing w:after="100" w:line="280"/>
      </w:pPr>
      <w:r>
        <w:t xml:space="preserve">Aplicar tema/branding corporativo (colores, logo).</w:t>
      </w:r>
    </w:p>
    <w:p>
      <w:pPr>
        <w:spacing w:after="100"/>
      </w:pPr>
      <w:r>
        <w:t xml:space="preserve"/>
      </w:r>
    </w:p>
    <w:p>
      <w:pPr>
        <w:pStyle w:val="Heading2"/>
        <w:spacing w:after="160" w:before="280"/>
      </w:pPr>
      <w:r>
        <w:t xml:space="preserve">5.2 Provisión de grupos y permisos</w:t>
      </w:r>
    </w:p>
    <w:p>
      <w:pPr>
        <w:pStyle w:val="Heading3"/>
        <w:spacing w:after="120" w:before="220"/>
      </w:pPr>
      <w:r>
        <w:t xml:space="preserve">5.2.1 Crear los grupos de M365 y de seguridad</w:t>
      </w:r>
    </w:p>
    <w:p>
      <w:pPr>
        <w:spacing w:after="120" w:before="0" w:line="300"/>
      </w:pPr>
      <w:r>
        <w:t xml:space="preserve">Se pueden crear manualmente en el Centro de administración de M365 → Grupos, o automatizadamente con Microsoft Graph PowerShell: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8C8C" w:sz="4"/>
              <w:left w:val="single" w:color="8C8C8C" w:sz="4"/>
              <w:bottom w:val="single" w:color="8C8C8C" w:sz="4"/>
              <w:right w:val="single" w:color="8C8C8C" w:sz="4"/>
            </w:tcBorders>
            <w:shd w:fill="F2F2F2" w:val="clear"/>
            <w:tcMar>
              <w:top w:type="dxa" w:w="120"/>
              <w:left w:type="dxa" w:w="160"/>
              <w:bottom w:type="dxa" w:w="120"/>
              <w:right w:type="dxa" w:w="160"/>
            </w:tcMar>
          </w:tcPr>
          <w:p>
            <w:pPr>
              <w:spacing w:after="40" w:line="260"/>
            </w:pPr>
            <w:r>
              <w:rPr>
                <w:rFonts w:ascii="Consolas" w:cs="Consolas" w:eastAsia="Consolas" w:hAnsi="Consolas"/>
                <w:color w:val="262626"/>
                <w:sz w:val="20"/>
                <w:szCs w:val="20"/>
              </w:rPr>
              <w:t xml:space="preserve">Connect-MgGraph -Scopes "Group.ReadWrite.All","User.Read.All"</w:t>
            </w:r>
          </w:p>
          <w:p>
            <w:pPr>
              <w:spacing w:after="40" w:line="260"/>
            </w:pPr>
            <w:r>
              <w:rPr>
                <w:rFonts w:ascii="Consolas" w:cs="Consolas" w:eastAsia="Consolas" w:hAnsi="Consolas"/>
                <w:color w:val="262626"/>
                <w:sz w:val="20"/>
                <w:szCs w:val="20"/>
              </w:rPr>
              <w:t xml:space="preserve"/>
            </w:r>
          </w:p>
          <w:p>
            <w:pPr>
              <w:spacing w:after="40" w:line="260"/>
            </w:pPr>
            <w:r>
              <w:rPr>
                <w:rFonts w:ascii="Consolas" w:cs="Consolas" w:eastAsia="Consolas" w:hAnsi="Consolas"/>
                <w:color w:val="262626"/>
                <w:sz w:val="20"/>
                <w:szCs w:val="20"/>
              </w:rPr>
              <w:t xml:space="preserve">Import-Csv .\grupos.csv | ForEach-Object {</w:t>
            </w:r>
          </w:p>
          <w:p>
            <w:pPr>
              <w:spacing w:after="40" w:line="260"/>
            </w:pPr>
            <w:r>
              <w:rPr>
                <w:rFonts w:ascii="Consolas" w:cs="Consolas" w:eastAsia="Consolas" w:hAnsi="Consolas"/>
                <w:color w:val="262626"/>
                <w:sz w:val="20"/>
                <w:szCs w:val="20"/>
              </w:rPr>
              <w:t xml:space="preserve">  New-MgGroup -DisplayName $_.NombreGrupo `</w:t>
            </w:r>
          </w:p>
          <w:p>
            <w:pPr>
              <w:spacing w:after="40" w:line="260"/>
            </w:pPr>
            <w:r>
              <w:rPr>
                <w:rFonts w:ascii="Consolas" w:cs="Consolas" w:eastAsia="Consolas" w:hAnsi="Consolas"/>
                <w:color w:val="262626"/>
                <w:sz w:val="20"/>
                <w:szCs w:val="20"/>
              </w:rPr>
              <w:t xml:space="preserve">    -MailNickname $_.Alias `</w:t>
            </w:r>
          </w:p>
          <w:p>
            <w:pPr>
              <w:spacing w:after="40" w:line="260"/>
            </w:pPr>
            <w:r>
              <w:rPr>
                <w:rFonts w:ascii="Consolas" w:cs="Consolas" w:eastAsia="Consolas" w:hAnsi="Consolas"/>
                <w:color w:val="262626"/>
                <w:sz w:val="20"/>
                <w:szCs w:val="20"/>
              </w:rPr>
              <w:t xml:space="preserve">    -MailEnabled:$false `</w:t>
            </w:r>
          </w:p>
          <w:p>
            <w:pPr>
              <w:spacing w:after="40" w:line="260"/>
            </w:pPr>
            <w:r>
              <w:rPr>
                <w:rFonts w:ascii="Consolas" w:cs="Consolas" w:eastAsia="Consolas" w:hAnsi="Consolas"/>
                <w:color w:val="262626"/>
                <w:sz w:val="20"/>
                <w:szCs w:val="20"/>
              </w:rPr>
              <w:t xml:space="preserve">    -SecurityEnabled:$true `</w:t>
            </w:r>
          </w:p>
          <w:p>
            <w:pPr>
              <w:spacing w:after="40" w:line="260"/>
            </w:pPr>
            <w:r>
              <w:rPr>
                <w:rFonts w:ascii="Consolas" w:cs="Consolas" w:eastAsia="Consolas" w:hAnsi="Consolas"/>
                <w:color w:val="262626"/>
                <w:sz w:val="20"/>
                <w:szCs w:val="20"/>
              </w:rPr>
              <w:t xml:space="preserve">    -Description $_.Descripcion</w:t>
            </w:r>
          </w:p>
          <w:p>
            <w:pPr>
              <w:spacing w:after="40" w:line="260"/>
            </w:pPr>
            <w:r>
              <w:rPr>
                <w:rFonts w:ascii="Consolas" w:cs="Consolas" w:eastAsia="Consolas" w:hAnsi="Consolas"/>
                <w:color w:val="262626"/>
                <w:sz w:val="20"/>
                <w:szCs w:val="20"/>
              </w:rPr>
              <w:t xml:space="preserve">}</w:t>
            </w:r>
          </w:p>
        </w:tc>
      </w:tr>
    </w:tbl>
    <w:p>
      <w:pPr>
        <w:spacing w:after="100"/>
      </w:pPr>
      <w:r>
        <w:t xml:space="preserve"/>
      </w:r>
    </w:p>
    <w:p>
      <w:pPr>
        <w:pStyle w:val="Heading3"/>
        <w:spacing w:after="120" w:before="220"/>
      </w:pPr>
      <w:r>
        <w:t xml:space="preserve">5.2.2 Asignar grupos a los sitios</w:t>
      </w:r>
    </w:p>
    <w:p>
      <w:pPr>
        <w:spacing w:after="120" w:before="0" w:line="300"/>
      </w:pPr>
      <w:r>
        <w:t xml:space="preserve">Para cada sitio, asignar los grupos creados a los tres roles (Owners / Members / Visitors) siguiendo la matriz del Apéndice C.</w:t>
      </w:r>
    </w:p>
    <w:p>
      <w:pPr>
        <w:pStyle w:val="ListParagraph"/>
        <w:numPr>
          <w:ilvl w:val="0"/>
          <w:numId w:val="3"/>
        </w:numPr>
        <w:spacing w:after="100" w:line="280"/>
      </w:pPr>
      <w:r>
        <w:t xml:space="preserve">En cada sitio: Configuración → Permisos del sitio → Configuración avanzada.</w:t>
      </w:r>
    </w:p>
    <w:p>
      <w:pPr>
        <w:pStyle w:val="ListParagraph"/>
        <w:numPr>
          <w:ilvl w:val="0"/>
          <w:numId w:val="3"/>
        </w:numPr>
        <w:spacing w:after="100" w:line="280"/>
      </w:pPr>
      <w:r>
        <w:t xml:space="preserve">Editar los grupos Owners, Members y Visitors del sitio.</w:t>
      </w:r>
    </w:p>
    <w:p>
      <w:pPr>
        <w:pStyle w:val="ListParagraph"/>
        <w:numPr>
          <w:ilvl w:val="0"/>
          <w:numId w:val="3"/>
        </w:numPr>
        <w:spacing w:after="100" w:line="280"/>
      </w:pPr>
      <w:r>
        <w:t xml:space="preserve">Agregar los grupos de M365 o seguridad correspondientes.</w:t>
      </w:r>
    </w:p>
    <w:p>
      <w:pPr>
        <w:pStyle w:val="ListParagraph"/>
        <w:numPr>
          <w:ilvl w:val="0"/>
          <w:numId w:val="3"/>
        </w:numPr>
        <w:spacing w:after="100" w:line="280"/>
      </w:pPr>
      <w:r>
        <w:t xml:space="preserve">Documentar en la matriz de permisos (Apéndice C).</w:t>
      </w:r>
    </w:p>
    <w:p>
      <w:pPr>
        <w:spacing w:after="100"/>
      </w:pPr>
      <w:r>
        <w:t xml:space="preserve"/>
      </w:r>
    </w:p>
    <w:p>
      <w:pPr>
        <w:pStyle w:val="Heading2"/>
        <w:spacing w:after="160" w:before="280"/>
      </w:pPr>
      <w:r>
        <w:t xml:space="preserve">5.3 Configuración de bibliotecas y metadatos</w:t>
      </w:r>
    </w:p>
    <w:p>
      <w:pPr>
        <w:pStyle w:val="ListParagraph"/>
        <w:numPr>
          <w:ilvl w:val="0"/>
          <w:numId w:val="2"/>
        </w:numPr>
        <w:spacing w:after="80" w:line="280"/>
      </w:pPr>
      <w:r>
        <w:t xml:space="preserve">Crear las bibliotecas principales dentro de cada sitio según el diseño (habitualmente basta con Documentos, pero pueden crearse bibliotecas separadas por tipo).</w:t>
      </w:r>
    </w:p>
    <w:p>
      <w:pPr>
        <w:pStyle w:val="ListParagraph"/>
        <w:numPr>
          <w:ilvl w:val="0"/>
          <w:numId w:val="2"/>
        </w:numPr>
        <w:spacing w:after="80" w:line="280"/>
      </w:pPr>
      <w:r>
        <w:t xml:space="preserve">Habilitar el control de versiones: mínimo 500 versiones mayores, sin versiones menores para contenido documental.</w:t>
      </w:r>
    </w:p>
    <w:p>
      <w:pPr>
        <w:pStyle w:val="ListParagraph"/>
        <w:numPr>
          <w:ilvl w:val="0"/>
          <w:numId w:val="2"/>
        </w:numPr>
        <w:spacing w:after="80" w:line="280"/>
      </w:pPr>
      <w:r>
        <w:t xml:space="preserve">Configurar columnas de metadatos personalizadas por biblioteca (ej: Cliente, Proyecto, Estatus, Confidencialidad).</w:t>
      </w:r>
    </w:p>
    <w:p>
      <w:pPr>
        <w:pStyle w:val="ListParagraph"/>
        <w:numPr>
          <w:ilvl w:val="0"/>
          <w:numId w:val="2"/>
        </w:numPr>
        <w:spacing w:after="80" w:line="280"/>
      </w:pPr>
      <w:r>
        <w:t xml:space="preserve">Crear vistas útiles: Por fecha reciente, Por autor, Por metadato clave.</w:t>
      </w:r>
    </w:p>
    <w:p>
      <w:pPr>
        <w:pStyle w:val="ListParagraph"/>
        <w:numPr>
          <w:ilvl w:val="0"/>
          <w:numId w:val="2"/>
        </w:numPr>
        <w:spacing w:after="80" w:line="280"/>
      </w:pPr>
      <w:r>
        <w:t xml:space="preserve">Habilitar la papelera de reciclaje (activa por defecto: 93 días de retención).</w:t>
      </w:r>
    </w:p>
    <w:p>
      <w:pPr>
        <w:pStyle w:val="ListParagraph"/>
        <w:numPr>
          <w:ilvl w:val="0"/>
          <w:numId w:val="2"/>
        </w:numPr>
        <w:spacing w:after="80" w:line="280"/>
      </w:pPr>
      <w:r>
        <w:t xml:space="preserve">Activar auditoría del sitio: Configuración → Configuración del sitio → Auditoría.</w:t>
      </w:r>
    </w:p>
    <w:p>
      <w:pPr>
        <w:spacing w:after="100"/>
      </w:pPr>
      <w:r>
        <w:t xml:space="preserve"/>
      </w:r>
    </w:p>
    <w:p>
      <w:pPr>
        <w:pStyle w:val="Heading2"/>
        <w:spacing w:after="160" w:before="280"/>
      </w:pPr>
      <w:r>
        <w:t xml:space="preserve">5.4 Aplicación de políticas de gobierno</w:t>
      </w:r>
    </w:p>
    <w:p>
      <w:pPr>
        <w:pStyle w:val="Heading3"/>
        <w:spacing w:after="120" w:before="220"/>
      </w:pPr>
      <w:r>
        <w:t xml:space="preserve">5.4.1 Etiquetas de retención</w:t>
      </w:r>
    </w:p>
    <w:p>
      <w:pPr>
        <w:pStyle w:val="ListParagraph"/>
        <w:numPr>
          <w:ilvl w:val="0"/>
          <w:numId w:val="3"/>
        </w:numPr>
        <w:spacing w:after="100" w:line="280"/>
      </w:pPr>
      <w:r>
        <w:t xml:space="preserve">En el Portal de Cumplimiento (https://compliance.microsoft.com): Etiquetas de información → Retención → Crear etiqueta.</w:t>
      </w:r>
    </w:p>
    <w:p>
      <w:pPr>
        <w:pStyle w:val="ListParagraph"/>
        <w:numPr>
          <w:ilvl w:val="0"/>
          <w:numId w:val="3"/>
        </w:numPr>
        <w:spacing w:after="100" w:line="280"/>
      </w:pPr>
      <w:r>
        <w:t xml:space="preserve">Definir etiquetas: Retener 7 años, Retener 10 años, Retener permanentemente, No retener, etc.</w:t>
      </w:r>
    </w:p>
    <w:p>
      <w:pPr>
        <w:pStyle w:val="ListParagraph"/>
        <w:numPr>
          <w:ilvl w:val="0"/>
          <w:numId w:val="3"/>
        </w:numPr>
        <w:spacing w:after="100" w:line="280"/>
      </w:pPr>
      <w:r>
        <w:t xml:space="preserve">Publicar las etiquetas mediante políticas dirigidas a los sitios de SharePoint correspondientes.</w:t>
      </w:r>
    </w:p>
    <w:p>
      <w:pPr>
        <w:pStyle w:val="ListParagraph"/>
        <w:numPr>
          <w:ilvl w:val="0"/>
          <w:numId w:val="3"/>
        </w:numPr>
        <w:spacing w:after="100" w:line="280"/>
      </w:pPr>
      <w:r>
        <w:t xml:space="preserve">Configurar aplicación automática por condiciones (ej: correos con la palabra "factura" reciben retención de 10 años).</w:t>
      </w:r>
    </w:p>
    <w:p>
      <w:pPr>
        <w:spacing w:after="100"/>
      </w:pPr>
      <w:r>
        <w:t xml:space="preserve"/>
      </w:r>
    </w:p>
    <w:p>
      <w:pPr>
        <w:pStyle w:val="Heading3"/>
        <w:spacing w:after="120" w:before="220"/>
      </w:pPr>
      <w:r>
        <w:t xml:space="preserve">5.4.2 Etiquetas de sensibilidad</w:t>
      </w:r>
    </w:p>
    <w:p>
      <w:pPr>
        <w:spacing w:after="120" w:before="0" w:line="300"/>
      </w:pPr>
      <w:r>
        <w:t xml:space="preserve">En el mismo Portal de Cumplimiento → Etiquetas de sensibilidad. Se recomiendan al menos cuatro niveles: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Etiqueta</w:t>
            </w:r>
          </w:p>
        </w:tc>
        <w:tc>
          <w:tcPr>
            <w:tcW w:type="dxa" w:w="32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Uso</w:t>
            </w:r>
          </w:p>
        </w:tc>
        <w:tc>
          <w:tcPr>
            <w:tcW w:type="dxa" w:w="39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Comportamiento</w:t>
            </w:r>
          </w:p>
        </w:tc>
      </w:tr>
      <w:tr>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Pública</w:t>
            </w:r>
          </w:p>
        </w:tc>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Información autorizada para difusión externa.</w:t>
            </w:r>
          </w:p>
        </w:tc>
        <w:tc>
          <w:tcPr>
            <w:tcW w:type="dxa" w:w="39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Sin cifrado, marca visible opcional.</w:t>
            </w:r>
          </w:p>
        </w:tc>
      </w:tr>
      <w:tr>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Interna</w:t>
            </w:r>
          </w:p>
        </w:tc>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Uso general dentro de la organización.</w:t>
            </w:r>
          </w:p>
        </w:tc>
        <w:tc>
          <w:tcPr>
            <w:tcW w:type="dxa" w:w="39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Sin cifrado, no compartir externamente por defecto.</w:t>
            </w:r>
          </w:p>
        </w:tc>
      </w:tr>
      <w:tr>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Confidencial</w:t>
            </w:r>
          </w:p>
        </w:tc>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Información financiera, contratos, RH.</w:t>
            </w:r>
          </w:p>
        </w:tc>
        <w:tc>
          <w:tcPr>
            <w:tcW w:type="dxa" w:w="39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Cifrado activo, marca de agua, restringido a grupo interno.</w:t>
            </w:r>
          </w:p>
        </w:tc>
      </w:tr>
      <w:tr>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Restringida</w:t>
            </w:r>
          </w:p>
        </w:tc>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Datos personales, propiedad intelectual crítica.</w:t>
            </w:r>
          </w:p>
        </w:tc>
        <w:tc>
          <w:tcPr>
            <w:tcW w:type="dxa" w:w="39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Cifrado + acceso solo para usuarios nombrados, sin descarga.</w:t>
            </w:r>
          </w:p>
        </w:tc>
      </w:tr>
    </w:tbl>
    <w:p>
      <w:pPr>
        <w:spacing w:after="100"/>
      </w:pPr>
      <w:r>
        <w:t xml:space="preserve"/>
      </w:r>
    </w:p>
    <w:p>
      <w:pPr>
        <w:pStyle w:val="Heading3"/>
        <w:spacing w:after="120" w:before="220"/>
      </w:pPr>
      <w:r>
        <w:t xml:space="preserve">5.4.3 Configuración de compartición externa</w:t>
      </w:r>
    </w:p>
    <w:p>
      <w:pPr>
        <w:pStyle w:val="ListParagraph"/>
        <w:numPr>
          <w:ilvl w:val="0"/>
          <w:numId w:val="3"/>
        </w:numPr>
        <w:spacing w:after="100" w:line="280"/>
      </w:pPr>
      <w:r>
        <w:t xml:space="preserve">SharePoint Admin Center → Directivas → Uso compartido.</w:t>
      </w:r>
    </w:p>
    <w:p>
      <w:pPr>
        <w:pStyle w:val="ListParagraph"/>
        <w:numPr>
          <w:ilvl w:val="0"/>
          <w:numId w:val="3"/>
        </w:numPr>
        <w:spacing w:after="100" w:line="280"/>
      </w:pPr>
      <w:r>
        <w:t xml:space="preserve">Nivel de organización: Existente (Any/New) o Personas específicas.</w:t>
      </w:r>
    </w:p>
    <w:p>
      <w:pPr>
        <w:pStyle w:val="ListParagraph"/>
        <w:numPr>
          <w:ilvl w:val="0"/>
          <w:numId w:val="3"/>
        </w:numPr>
        <w:spacing w:after="100" w:line="280"/>
      </w:pPr>
      <w:r>
        <w:t xml:space="preserve">Configurar por sitio si se requiere granularidad (ej: sitios de RH no permiten compartición externa).</w:t>
      </w:r>
    </w:p>
    <w:p>
      <w:pPr>
        <w:pStyle w:val="ListParagraph"/>
        <w:numPr>
          <w:ilvl w:val="0"/>
          <w:numId w:val="3"/>
        </w:numPr>
        <w:spacing w:after="100" w:line="280"/>
      </w:pPr>
      <w:r>
        <w:t xml:space="preserve">Establecer expiración por defecto para invitados (ej: 90 días).</w:t>
      </w:r>
    </w:p>
    <w:p>
      <w:pPr>
        <w:pStyle w:val="ListParagraph"/>
        <w:numPr>
          <w:ilvl w:val="0"/>
          <w:numId w:val="3"/>
        </w:numPr>
        <w:spacing w:after="100" w:line="280"/>
      </w:pPr>
      <w:r>
        <w:t xml:space="preserve">Configurar Access Reviews trimestrales para invitados externos.</w:t>
      </w:r>
    </w:p>
    <w:p>
      <w:pPr>
        <w:spacing w:after="100"/>
      </w:pPr>
      <w:r>
        <w:t xml:space="preserve"/>
      </w:r>
    </w:p>
    <w:p>
      <w:pPr>
        <w:pStyle w:val="Heading2"/>
        <w:spacing w:after="160" w:before="280"/>
      </w:pPr>
      <w:r>
        <w:t xml:space="preserve">5.5 Limpieza previa del origen (cleanup)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FFF2CC" w:val="clear"/>
            <w:tcMar>
              <w:top w:type="dxa" w:w="160"/>
              <w:left w:type="dxa" w:w="200"/>
              <w:bottom w:type="dxa" w:w="160"/>
              <w:right w:type="dxa" w:w="200"/>
            </w:tcMar>
          </w:tcPr>
          <w:p>
            <w:pPr>
              <w:spacing w:after="80"/>
            </w:pPr>
            <w:r>
              <w:rPr>
                <w:b/>
                <w:bCs/>
                <w:color w:val="1F4E79"/>
                <w:sz w:val="22"/>
                <w:szCs w:val="22"/>
              </w:rPr>
              <w:t xml:space="preserve">Regla del 30%</w:t>
            </w:r>
          </w:p>
          <w:p>
            <w:pPr>
              <w:spacing w:after="0" w:before="0" w:line="300"/>
            </w:pPr>
            <w:r>
              <w:t xml:space="preserve">Estudios de campo indican que entre el 30% y 50% del contenido de un repositorio corporativo antiguo es ROT: Redundante, Obsoleto o Trivial. Migrar ese contenido es dinero y tiempo desperdiciados. Se recomienda una limpieza previa que puede reducir los 2 TB a 1.2–1.5 TB efectivos.</w:t>
            </w:r>
          </w:p>
        </w:tc>
      </w:tr>
    </w:tbl>
    <w:p>
      <w:pPr>
        <w:spacing w:after="100"/>
      </w:pPr>
      <w:r>
        <w:t xml:space="preserve"/>
      </w:r>
    </w:p>
    <w:p>
      <w:pPr>
        <w:pStyle w:val="Heading3"/>
        <w:spacing w:after="120" w:before="220"/>
      </w:pPr>
      <w:r>
        <w:t xml:space="preserve">5.5.1 Actividades de limpieza recomendadas</w:t>
      </w:r>
    </w:p>
    <w:p>
      <w:pPr>
        <w:pStyle w:val="ListParagraph"/>
        <w:numPr>
          <w:ilvl w:val="0"/>
          <w:numId w:val="2"/>
        </w:numPr>
        <w:spacing w:after="80" w:line="280"/>
      </w:pPr>
      <w:r>
        <w:t xml:space="preserve">Eliminar archivos temporales del sistema (Thumbs.db, .DS_Store, ~$*.docx, *.tmp).</w:t>
      </w:r>
    </w:p>
    <w:p>
      <w:pPr>
        <w:pStyle w:val="ListParagraph"/>
        <w:numPr>
          <w:ilvl w:val="0"/>
          <w:numId w:val="2"/>
        </w:numPr>
        <w:spacing w:after="80" w:line="280"/>
      </w:pPr>
      <w:r>
        <w:t xml:space="preserve">Eliminar carpetas obviamente obsoletas (\TEMP, \Old, \Backup 2015, \ZZZ_Eliminar).</w:t>
      </w:r>
    </w:p>
    <w:p>
      <w:pPr>
        <w:pStyle w:val="ListParagraph"/>
        <w:numPr>
          <w:ilvl w:val="0"/>
          <w:numId w:val="2"/>
        </w:numPr>
        <w:spacing w:after="80" w:line="280"/>
      </w:pPr>
      <w:r>
        <w:t xml:space="preserve">Identificar y decidir sobre archivos no accedidos en 5+ años (con TreeSize o similar). Consultar con dueño de datos antes de eliminar.</w:t>
      </w:r>
    </w:p>
    <w:p>
      <w:pPr>
        <w:pStyle w:val="ListParagraph"/>
        <w:numPr>
          <w:ilvl w:val="0"/>
          <w:numId w:val="2"/>
        </w:numPr>
        <w:spacing w:after="80" w:line="280"/>
      </w:pPr>
      <w:r>
        <w:t xml:space="preserve">Deduplicar archivos idénticos (mismo hash) manteniendo la versión en la carpeta del dueño principal.</w:t>
      </w:r>
    </w:p>
    <w:p>
      <w:pPr>
        <w:pStyle w:val="ListParagraph"/>
        <w:numPr>
          <w:ilvl w:val="0"/>
          <w:numId w:val="2"/>
        </w:numPr>
        <w:spacing w:after="80" w:line="280"/>
      </w:pPr>
      <w:r>
        <w:t xml:space="preserve">Renombrar archivos con caracteres inválidos para SharePoint: * : " &lt; &gt; ? / \ | # % &amp; { } ~</w:t>
      </w:r>
    </w:p>
    <w:p>
      <w:pPr>
        <w:pStyle w:val="ListParagraph"/>
        <w:numPr>
          <w:ilvl w:val="0"/>
          <w:numId w:val="2"/>
        </w:numPr>
        <w:spacing w:after="80" w:line="280"/>
      </w:pPr>
      <w:r>
        <w:t xml:space="preserve">Acortar rutas superiores a 400 caracteres (SharePoint tiene límite de 400 caracteres para la ruta completa URL-encoded).</w:t>
      </w:r>
    </w:p>
    <w:p>
      <w:pPr>
        <w:pStyle w:val="ListParagraph"/>
        <w:numPr>
          <w:ilvl w:val="0"/>
          <w:numId w:val="2"/>
        </w:numPr>
        <w:spacing w:after="80" w:line="280"/>
      </w:pPr>
      <w:r>
        <w:t xml:space="preserve">Renombrar carpetas y archivos que empiezan o terminan con espacio o punto.</w:t>
      </w:r>
    </w:p>
    <w:p>
      <w:pPr>
        <w:pStyle w:val="ListParagraph"/>
        <w:numPr>
          <w:ilvl w:val="0"/>
          <w:numId w:val="2"/>
        </w:numPr>
        <w:spacing w:after="80" w:line="280"/>
      </w:pPr>
      <w:r>
        <w:t xml:space="preserve">Documentar las decisiones de eliminación con firma del dueño de datos, por precaución.</w:t>
      </w:r>
    </w:p>
    <w:p>
      <w:pPr>
        <w:spacing w:after="100"/>
      </w:pPr>
      <w:r>
        <w:t xml:space="preserve"/>
      </w:r>
    </w:p>
    <w:p>
      <w:pPr>
        <w:pStyle w:val="Heading3"/>
        <w:spacing w:after="120" w:before="220"/>
      </w:pPr>
      <w:r>
        <w:t xml:space="preserve">5.5.2 Script PowerShell de limpieza básica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8C8C" w:sz="4"/>
              <w:left w:val="single" w:color="8C8C8C" w:sz="4"/>
              <w:bottom w:val="single" w:color="8C8C8C" w:sz="4"/>
              <w:right w:val="single" w:color="8C8C8C" w:sz="4"/>
            </w:tcBorders>
            <w:shd w:fill="F2F2F2" w:val="clear"/>
            <w:tcMar>
              <w:top w:type="dxa" w:w="120"/>
              <w:left w:type="dxa" w:w="160"/>
              <w:bottom w:type="dxa" w:w="120"/>
              <w:right w:type="dxa" w:w="160"/>
            </w:tcMar>
          </w:tcPr>
          <w:p>
            <w:pPr>
              <w:spacing w:after="40" w:line="260"/>
            </w:pPr>
            <w:r>
              <w:rPr>
                <w:rFonts w:ascii="Consolas" w:cs="Consolas" w:eastAsia="Consolas" w:hAnsi="Consolas"/>
                <w:color w:val="262626"/>
                <w:sz w:val="20"/>
                <w:szCs w:val="20"/>
              </w:rPr>
              <w:t xml:space="preserve"># Eliminar archivos temporales conocidos</w:t>
            </w:r>
          </w:p>
          <w:p>
            <w:pPr>
              <w:spacing w:after="40" w:line="260"/>
            </w:pPr>
            <w:r>
              <w:rPr>
                <w:rFonts w:ascii="Consolas" w:cs="Consolas" w:eastAsia="Consolas" w:hAnsi="Consolas"/>
                <w:color w:val="262626"/>
                <w:sz w:val="20"/>
                <w:szCs w:val="20"/>
              </w:rPr>
              <w:t xml:space="preserve">$temporales = @("Thumbs.db", ".DS_Store", "~$*", "*.tmp")</w:t>
            </w:r>
          </w:p>
          <w:p>
            <w:pPr>
              <w:spacing w:after="40" w:line="260"/>
            </w:pPr>
            <w:r>
              <w:rPr>
                <w:rFonts w:ascii="Consolas" w:cs="Consolas" w:eastAsia="Consolas" w:hAnsi="Consolas"/>
                <w:color w:val="262626"/>
                <w:sz w:val="20"/>
                <w:szCs w:val="20"/>
              </w:rPr>
              <w:t xml:space="preserve">$ruta = "\\servidor\repositorio"</w:t>
            </w:r>
          </w:p>
          <w:p>
            <w:pPr>
              <w:spacing w:after="40" w:line="260"/>
            </w:pPr>
            <w:r>
              <w:rPr>
                <w:rFonts w:ascii="Consolas" w:cs="Consolas" w:eastAsia="Consolas" w:hAnsi="Consolas"/>
                <w:color w:val="262626"/>
                <w:sz w:val="20"/>
                <w:szCs w:val="20"/>
              </w:rPr>
              <w:t xml:space="preserve"/>
            </w:r>
          </w:p>
          <w:p>
            <w:pPr>
              <w:spacing w:after="40" w:line="260"/>
            </w:pPr>
            <w:r>
              <w:rPr>
                <w:rFonts w:ascii="Consolas" w:cs="Consolas" w:eastAsia="Consolas" w:hAnsi="Consolas"/>
                <w:color w:val="262626"/>
                <w:sz w:val="20"/>
                <w:szCs w:val="20"/>
              </w:rPr>
              <w:t xml:space="preserve">foreach ($patron in $temporales) {</w:t>
            </w:r>
          </w:p>
          <w:p>
            <w:pPr>
              <w:spacing w:after="40" w:line="260"/>
            </w:pPr>
            <w:r>
              <w:rPr>
                <w:rFonts w:ascii="Consolas" w:cs="Consolas" w:eastAsia="Consolas" w:hAnsi="Consolas"/>
                <w:color w:val="262626"/>
                <w:sz w:val="20"/>
                <w:szCs w:val="20"/>
              </w:rPr>
              <w:t xml:space="preserve">  Get-ChildItem -Path $ruta -Recurse -Filter $patron -Force |</w:t>
            </w:r>
          </w:p>
          <w:p>
            <w:pPr>
              <w:spacing w:after="40" w:line="260"/>
            </w:pPr>
            <w:r>
              <w:rPr>
                <w:rFonts w:ascii="Consolas" w:cs="Consolas" w:eastAsia="Consolas" w:hAnsi="Consolas"/>
                <w:color w:val="262626"/>
                <w:sz w:val="20"/>
                <w:szCs w:val="20"/>
              </w:rPr>
              <w:t xml:space="preserve">    Remove-Item -Force -WhatIf</w:t>
            </w:r>
          </w:p>
          <w:p>
            <w:pPr>
              <w:spacing w:after="40" w:line="260"/>
            </w:pPr>
            <w:r>
              <w:rPr>
                <w:rFonts w:ascii="Consolas" w:cs="Consolas" w:eastAsia="Consolas" w:hAnsi="Consolas"/>
                <w:color w:val="262626"/>
                <w:sz w:val="20"/>
                <w:szCs w:val="20"/>
              </w:rPr>
              <w:t xml:space="preserve">}</w:t>
            </w:r>
          </w:p>
          <w:p>
            <w:pPr>
              <w:spacing w:after="40" w:line="260"/>
            </w:pPr>
            <w:r>
              <w:rPr>
                <w:rFonts w:ascii="Consolas" w:cs="Consolas" w:eastAsia="Consolas" w:hAnsi="Consolas"/>
                <w:color w:val="262626"/>
                <w:sz w:val="20"/>
                <w:szCs w:val="20"/>
              </w:rPr>
              <w:t xml:space="preserve"/>
            </w:r>
          </w:p>
          <w:p>
            <w:pPr>
              <w:spacing w:after="40" w:line="260"/>
            </w:pPr>
            <w:r>
              <w:rPr>
                <w:rFonts w:ascii="Consolas" w:cs="Consolas" w:eastAsia="Consolas" w:hAnsi="Consolas"/>
                <w:color w:val="262626"/>
                <w:sz w:val="20"/>
                <w:szCs w:val="20"/>
              </w:rPr>
              <w:t xml:space="preserve"># Detectar rutas largas (&gt;= 380 caracteres)</w:t>
            </w:r>
          </w:p>
          <w:p>
            <w:pPr>
              <w:spacing w:after="40" w:line="260"/>
            </w:pPr>
            <w:r>
              <w:rPr>
                <w:rFonts w:ascii="Consolas" w:cs="Consolas" w:eastAsia="Consolas" w:hAnsi="Consolas"/>
                <w:color w:val="262626"/>
                <w:sz w:val="20"/>
                <w:szCs w:val="20"/>
              </w:rPr>
              <w:t xml:space="preserve">Get-ChildItem -Path $ruta -Recurse |</w:t>
            </w:r>
          </w:p>
          <w:p>
            <w:pPr>
              <w:spacing w:after="40" w:line="260"/>
            </w:pPr>
            <w:r>
              <w:rPr>
                <w:rFonts w:ascii="Consolas" w:cs="Consolas" w:eastAsia="Consolas" w:hAnsi="Consolas"/>
                <w:color w:val="262626"/>
                <w:sz w:val="20"/>
                <w:szCs w:val="20"/>
              </w:rPr>
              <w:t xml:space="preserve">  Where-Object { $_.FullName.Length -ge 380 } |</w:t>
            </w:r>
          </w:p>
          <w:p>
            <w:pPr>
              <w:spacing w:after="40" w:line="260"/>
            </w:pPr>
            <w:r>
              <w:rPr>
                <w:rFonts w:ascii="Consolas" w:cs="Consolas" w:eastAsia="Consolas" w:hAnsi="Consolas"/>
                <w:color w:val="262626"/>
                <w:sz w:val="20"/>
                <w:szCs w:val="20"/>
              </w:rPr>
              <w:t xml:space="preserve">  Select-Object FullName, @{N='Length';E={$_.FullName.Length}} |</w:t>
            </w:r>
          </w:p>
          <w:p>
            <w:pPr>
              <w:spacing w:after="40" w:line="260"/>
            </w:pPr>
            <w:r>
              <w:rPr>
                <w:rFonts w:ascii="Consolas" w:cs="Consolas" w:eastAsia="Consolas" w:hAnsi="Consolas"/>
                <w:color w:val="262626"/>
                <w:sz w:val="20"/>
                <w:szCs w:val="20"/>
              </w:rPr>
              <w:t xml:space="preserve">  Export-Csv -Path .\rutas_largas.csv -NoTypeInformation</w:t>
            </w:r>
          </w:p>
          <w:p>
            <w:pPr>
              <w:spacing w:after="40" w:line="260"/>
            </w:pPr>
            <w:r>
              <w:rPr>
                <w:rFonts w:ascii="Consolas" w:cs="Consolas" w:eastAsia="Consolas" w:hAnsi="Consolas"/>
                <w:color w:val="262626"/>
                <w:sz w:val="20"/>
                <w:szCs w:val="20"/>
              </w:rPr>
              <w:t xml:space="preserve"/>
            </w:r>
          </w:p>
          <w:p>
            <w:pPr>
              <w:spacing w:after="40" w:line="260"/>
            </w:pPr>
            <w:r>
              <w:rPr>
                <w:rFonts w:ascii="Consolas" w:cs="Consolas" w:eastAsia="Consolas" w:hAnsi="Consolas"/>
                <w:color w:val="262626"/>
                <w:sz w:val="20"/>
                <w:szCs w:val="20"/>
              </w:rPr>
              <w:t xml:space="preserve"># Detectar archivos con caracteres inválidos</w:t>
            </w:r>
          </w:p>
          <w:p>
            <w:pPr>
              <w:spacing w:after="40" w:line="260"/>
            </w:pPr>
            <w:r>
              <w:rPr>
                <w:rFonts w:ascii="Consolas" w:cs="Consolas" w:eastAsia="Consolas" w:hAnsi="Consolas"/>
                <w:color w:val="262626"/>
                <w:sz w:val="20"/>
                <w:szCs w:val="20"/>
              </w:rPr>
              <w:t xml:space="preserve">$patron_invalido = '[\*:"&lt;&gt;\?\|#%&amp;{}~]'</w:t>
            </w:r>
          </w:p>
          <w:p>
            <w:pPr>
              <w:spacing w:after="40" w:line="260"/>
            </w:pPr>
            <w:r>
              <w:rPr>
                <w:rFonts w:ascii="Consolas" w:cs="Consolas" w:eastAsia="Consolas" w:hAnsi="Consolas"/>
                <w:color w:val="262626"/>
                <w:sz w:val="20"/>
                <w:szCs w:val="20"/>
              </w:rPr>
              <w:t xml:space="preserve">Get-ChildItem -Path $ruta -Recurse |</w:t>
            </w:r>
          </w:p>
          <w:p>
            <w:pPr>
              <w:spacing w:after="40" w:line="260"/>
            </w:pPr>
            <w:r>
              <w:rPr>
                <w:rFonts w:ascii="Consolas" w:cs="Consolas" w:eastAsia="Consolas" w:hAnsi="Consolas"/>
                <w:color w:val="262626"/>
                <w:sz w:val="20"/>
                <w:szCs w:val="20"/>
              </w:rPr>
              <w:t xml:space="preserve">  Where-Object { $_.Name -match $patron_invalido } |</w:t>
            </w:r>
          </w:p>
          <w:p>
            <w:pPr>
              <w:spacing w:after="40" w:line="260"/>
            </w:pPr>
            <w:r>
              <w:rPr>
                <w:rFonts w:ascii="Consolas" w:cs="Consolas" w:eastAsia="Consolas" w:hAnsi="Consolas"/>
                <w:color w:val="262626"/>
                <w:sz w:val="20"/>
                <w:szCs w:val="20"/>
              </w:rPr>
              <w:t xml:space="preserve">  Export-Csv -Path .\nombres_invalidos.csv -NoTypeInformation</w:t>
            </w:r>
          </w:p>
        </w:tc>
      </w:tr>
    </w:tbl>
    <w:p>
      <w:r>
        <w:br w:type="page"/>
      </w:r>
    </w:p>
    <w:p>
      <w:pPr>
        <w:pStyle w:val="Heading1"/>
        <w:spacing w:after="200" w:before="360"/>
      </w:pPr>
      <w:r>
        <w:t xml:space="preserve">6. Fase 3 — Selección y configuración de herramientas de migración</w:t>
      </w:r>
    </w:p>
    <w:p>
      <w:pPr>
        <w:spacing w:after="120" w:before="0" w:line="300"/>
      </w:pPr>
      <w:r>
        <w:t xml:space="preserve">Para un volumen de 2 TB proveniente de un file share on-premises, la recomendación técnica es utilizar Microsoft Migration Manager como herramienta principal, complementada opcionalmente por SPMT para casos puntuales. Ambas son nativas de Microsoft, gratuitas y están integradas al ecosistema M365.</w:t>
      </w:r>
    </w:p>
    <w:p>
      <w:pPr>
        <w:spacing w:after="100"/>
      </w:pPr>
      <w:r>
        <w:t xml:space="preserve"/>
      </w:r>
    </w:p>
    <w:p>
      <w:pPr>
        <w:pStyle w:val="Heading2"/>
        <w:spacing w:after="160" w:before="280"/>
      </w:pPr>
      <w:r>
        <w:t xml:space="preserve">6.1 Justificación de la selección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Criterio</w:t>
            </w:r>
          </w:p>
        </w:tc>
        <w:tc>
          <w:tcPr>
            <w:tcW w:type="dxa" w:w="312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Migration Manager</w:t>
            </w:r>
          </w:p>
        </w:tc>
        <w:tc>
          <w:tcPr>
            <w:tcW w:type="dxa" w:w="312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SPMT</w:t>
            </w:r>
          </w:p>
        </w:tc>
      </w:tr>
      <w:tr>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Volumen recomendado</w:t>
            </w:r>
          </w:p>
        </w:tc>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&gt; 500 GB, sin límite superior práctico</w:t>
            </w:r>
          </w:p>
        </w:tc>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&lt; 500 GB por sesión</w:t>
            </w:r>
          </w:p>
        </w:tc>
      </w:tr>
      <w:tr>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Arquitectura</w:t>
            </w:r>
          </w:p>
        </w:tc>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Basada en agentes distribuidos</w:t>
            </w:r>
          </w:p>
        </w:tc>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Ejecución local (una PC/servidor)</w:t>
            </w:r>
          </w:p>
        </w:tc>
      </w:tr>
      <w:tr>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Gestión</w:t>
            </w:r>
          </w:p>
        </w:tc>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Dashboard centralizado en SharePoint Admin</w:t>
            </w:r>
          </w:p>
        </w:tc>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Cliente instalado por operador</w:t>
            </w:r>
          </w:p>
        </w:tc>
      </w:tr>
      <w:tr>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Escalabilidad</w:t>
            </w:r>
          </w:p>
        </w:tc>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Hasta 10 agentes en paralelo (recomendado)</w:t>
            </w:r>
          </w:p>
        </w:tc>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1 instancia por servidor</w:t>
            </w:r>
          </w:p>
        </w:tc>
      </w:tr>
      <w:tr>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Sincronización delta</w:t>
            </w:r>
          </w:p>
        </w:tc>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Sí, incremental continua</w:t>
            </w:r>
          </w:p>
        </w:tc>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Sí, con re-ejecución de sesión</w:t>
            </w:r>
          </w:p>
        </w:tc>
      </w:tr>
      <w:tr>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Costo</w:t>
            </w:r>
          </w:p>
        </w:tc>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Gratuito, incluido con M365</w:t>
            </w:r>
          </w:p>
        </w:tc>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Gratuito</w:t>
            </w:r>
          </w:p>
        </w:tc>
      </w:tr>
      <w:tr>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Recomendado para 2 TB</w:t>
            </w:r>
          </w:p>
        </w:tc>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SÍ (herramienta principal)</w:t>
            </w:r>
          </w:p>
        </w:tc>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Complementario</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DEEBF6" w:val="clear"/>
            <w:tcMar>
              <w:top w:type="dxa" w:w="160"/>
              <w:left w:type="dxa" w:w="200"/>
              <w:bottom w:type="dxa" w:w="160"/>
              <w:right w:type="dxa" w:w="200"/>
            </w:tcMar>
          </w:tcPr>
          <w:p>
            <w:pPr>
              <w:spacing w:after="80"/>
            </w:pPr>
            <w:r>
              <w:rPr>
                <w:b/>
                <w:bCs/>
                <w:color w:val="1F4E79"/>
                <w:sz w:val="22"/>
                <w:szCs w:val="22"/>
              </w:rPr>
              <w:t xml:space="preserve">¿Y las herramientas de terceros?</w:t>
            </w:r>
          </w:p>
          <w:p>
            <w:pPr>
              <w:spacing w:after="60" w:before="0" w:line="300"/>
            </w:pPr>
            <w:r>
              <w:t xml:space="preserve">Herramientas como ShareGate ($6,000–$18,000 USD/año), AvePoint y Quest Content Matrix son excelentes cuando se requiere restructuración compleja durante la migración, migraciones tenant-to-tenant, o cuando hay workflows heredados (SharePoint Designer, Nintex, InfoPath).</w:t>
            </w:r>
          </w:p>
          <w:p>
            <w:pPr>
              <w:spacing w:after="0" w:before="0" w:line="300"/>
            </w:pPr>
            <w:r>
              <w:t xml:space="preserve">Para el escenario del cliente (file share on-premises → SharePoint Online), las herramientas nativas de Microsoft son totalmente suficientes y evitan el costo adicional de licenciamiento. Se recomienda usarlas como opción por defecto y considerar terceros SOLO si el descubrimiento (Fase 0) revela complejidades específicas que las nativas no cubran.</w:t>
            </w:r>
          </w:p>
        </w:tc>
      </w:tr>
    </w:tbl>
    <w:p>
      <w:pPr>
        <w:spacing w:after="100"/>
      </w:pPr>
      <w:r>
        <w:t xml:space="preserve"/>
      </w:r>
    </w:p>
    <w:p>
      <w:pPr>
        <w:pStyle w:val="Heading2"/>
        <w:spacing w:after="160" w:before="280"/>
      </w:pPr>
      <w:r>
        <w:t xml:space="preserve">6.2 Instalación y configuración de Migration Manager</w:t>
      </w:r>
    </w:p>
    <w:p>
      <w:pPr>
        <w:pStyle w:val="Heading3"/>
        <w:spacing w:after="120" w:before="220"/>
      </w:pPr>
      <w:r>
        <w:t xml:space="preserve">6.2.1 Requisitos previos de los agentes</w:t>
      </w:r>
    </w:p>
    <w:p>
      <w:pPr>
        <w:spacing w:after="120" w:before="0" w:line="300"/>
      </w:pPr>
      <w:r>
        <w:t xml:space="preserve">Los agentes de Migration Manager son procesos que se ejecutan como servicios en Windows y realizan la lectura del origen + la carga a Azure Blob (que luego SharePoint importa). Requisitos:</w:t>
      </w:r>
    </w:p>
    <w:p>
      <w:pPr>
        <w:pStyle w:val="ListParagraph"/>
        <w:numPr>
          <w:ilvl w:val="0"/>
          <w:numId w:val="2"/>
        </w:numPr>
        <w:spacing w:after="80" w:line="280"/>
      </w:pPr>
      <w:r>
        <w:t xml:space="preserve">Windows Server 2016 o superior, o Windows 10/11 Pro (para pruebas).</w:t>
      </w:r>
    </w:p>
    <w:p>
      <w:pPr>
        <w:pStyle w:val="ListParagraph"/>
        <w:numPr>
          <w:ilvl w:val="0"/>
          <w:numId w:val="2"/>
        </w:numPr>
        <w:spacing w:after="80" w:line="280"/>
      </w:pPr>
      <w:r>
        <w:t xml:space="preserve">.NET Framework 4.7.2 o superior.</w:t>
      </w:r>
    </w:p>
    <w:p>
      <w:pPr>
        <w:pStyle w:val="ListParagraph"/>
        <w:numPr>
          <w:ilvl w:val="0"/>
          <w:numId w:val="2"/>
        </w:numPr>
        <w:spacing w:after="80" w:line="280"/>
      </w:pPr>
      <w:r>
        <w:t xml:space="preserve">Mínimo 8 GB RAM (16 GB recomendado).</w:t>
      </w:r>
    </w:p>
    <w:p>
      <w:pPr>
        <w:pStyle w:val="ListParagraph"/>
        <w:numPr>
          <w:ilvl w:val="0"/>
          <w:numId w:val="2"/>
        </w:numPr>
        <w:spacing w:after="80" w:line="280"/>
      </w:pPr>
      <w:r>
        <w:t xml:space="preserve">CPU con 4 vCPUs (8 recomendado).</w:t>
      </w:r>
    </w:p>
    <w:p>
      <w:pPr>
        <w:pStyle w:val="ListParagraph"/>
        <w:numPr>
          <w:ilvl w:val="0"/>
          <w:numId w:val="2"/>
        </w:numPr>
        <w:spacing w:after="80" w:line="280"/>
      </w:pPr>
      <w:r>
        <w:t xml:space="preserve">Disco local con al menos 150 GB de espacio libre (para caché temporal).</w:t>
      </w:r>
    </w:p>
    <w:p>
      <w:pPr>
        <w:pStyle w:val="ListParagraph"/>
        <w:numPr>
          <w:ilvl w:val="0"/>
          <w:numId w:val="2"/>
        </w:numPr>
        <w:spacing w:after="80" w:line="280"/>
      </w:pPr>
      <w:r>
        <w:t xml:space="preserve">Conectividad de red al origen (SMB) y a los endpoints de M365.</w:t>
      </w:r>
    </w:p>
    <w:p>
      <w:pPr>
        <w:pStyle w:val="ListParagraph"/>
        <w:numPr>
          <w:ilvl w:val="0"/>
          <w:numId w:val="2"/>
        </w:numPr>
        <w:spacing w:after="80" w:line="280"/>
      </w:pPr>
      <w:r>
        <w:t xml:space="preserve">Cuenta de servicio Windows con permisos de lectura al file share.</w:t>
      </w:r>
    </w:p>
    <w:p>
      <w:pPr>
        <w:pStyle w:val="ListParagraph"/>
        <w:numPr>
          <w:ilvl w:val="0"/>
          <w:numId w:val="2"/>
        </w:numPr>
        <w:spacing w:after="80" w:line="280"/>
      </w:pPr>
      <w:r>
        <w:t xml:space="preserve">Cuenta de M365 con rol SharePoint Administrator para autenticar el agente.</w:t>
      </w:r>
    </w:p>
    <w:p>
      <w:pPr>
        <w:spacing w:after="100"/>
      </w:pPr>
      <w:r>
        <w:t xml:space="preserve"/>
      </w:r>
    </w:p>
    <w:p>
      <w:pPr>
        <w:pStyle w:val="Heading3"/>
        <w:spacing w:after="120" w:before="220"/>
      </w:pPr>
      <w:r>
        <w:t xml:space="preserve">6.2.2 Endpoints de red que deben estar accesibles</w:t>
      </w:r>
    </w:p>
    <w:p>
      <w:pPr>
        <w:spacing w:after="120" w:before="0" w:line="300"/>
      </w:pPr>
      <w:r>
        <w:t xml:space="preserve">El agente se comunica con los siguientes endpoints. Validar con red/firewall antes de instalar: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8C8C" w:sz="4"/>
              <w:left w:val="single" w:color="8C8C8C" w:sz="4"/>
              <w:bottom w:val="single" w:color="8C8C8C" w:sz="4"/>
              <w:right w:val="single" w:color="8C8C8C" w:sz="4"/>
            </w:tcBorders>
            <w:shd w:fill="F2F2F2" w:val="clear"/>
            <w:tcMar>
              <w:top w:type="dxa" w:w="120"/>
              <w:left w:type="dxa" w:w="160"/>
              <w:bottom w:type="dxa" w:w="120"/>
              <w:right w:type="dxa" w:w="160"/>
            </w:tcMar>
          </w:tcPr>
          <w:p>
            <w:pPr>
              <w:spacing w:after="40" w:line="260"/>
            </w:pPr>
            <w:r>
              <w:rPr>
                <w:rFonts w:ascii="Consolas" w:cs="Consolas" w:eastAsia="Consolas" w:hAnsi="Consolas"/>
                <w:color w:val="262626"/>
                <w:sz w:val="20"/>
                <w:szCs w:val="20"/>
              </w:rPr>
              <w:t xml:space="preserve">*.sharepoint.com                     HTTPS 443</w:t>
            </w:r>
          </w:p>
          <w:p>
            <w:pPr>
              <w:spacing w:after="40" w:line="260"/>
            </w:pPr>
            <w:r>
              <w:rPr>
                <w:rFonts w:ascii="Consolas" w:cs="Consolas" w:eastAsia="Consolas" w:hAnsi="Consolas"/>
                <w:color w:val="262626"/>
                <w:sz w:val="20"/>
                <w:szCs w:val="20"/>
              </w:rPr>
              <w:t xml:space="preserve">*.blob.core.windows.net              HTTPS 443</w:t>
            </w:r>
          </w:p>
          <w:p>
            <w:pPr>
              <w:spacing w:after="40" w:line="260"/>
            </w:pPr>
            <w:r>
              <w:rPr>
                <w:rFonts w:ascii="Consolas" w:cs="Consolas" w:eastAsia="Consolas" w:hAnsi="Consolas"/>
                <w:color w:val="262626"/>
                <w:sz w:val="20"/>
                <w:szCs w:val="20"/>
              </w:rPr>
              <w:t xml:space="preserve">*.queue.core.windows.net             HTTPS 443</w:t>
            </w:r>
          </w:p>
          <w:p>
            <w:pPr>
              <w:spacing w:after="40" w:line="260"/>
            </w:pPr>
            <w:r>
              <w:rPr>
                <w:rFonts w:ascii="Consolas" w:cs="Consolas" w:eastAsia="Consolas" w:hAnsi="Consolas"/>
                <w:color w:val="262626"/>
                <w:sz w:val="20"/>
                <w:szCs w:val="20"/>
              </w:rPr>
              <w:t xml:space="preserve">*.servicebus.windows.net             HTTPS 443</w:t>
            </w:r>
          </w:p>
          <w:p>
            <w:pPr>
              <w:spacing w:after="40" w:line="260"/>
            </w:pPr>
            <w:r>
              <w:rPr>
                <w:rFonts w:ascii="Consolas" w:cs="Consolas" w:eastAsia="Consolas" w:hAnsi="Consolas"/>
                <w:color w:val="262626"/>
                <w:sz w:val="20"/>
                <w:szCs w:val="20"/>
              </w:rPr>
              <w:t xml:space="preserve">login.microsoftonline.com            HTTPS 443</w:t>
            </w:r>
          </w:p>
          <w:p>
            <w:pPr>
              <w:spacing w:after="40" w:line="260"/>
            </w:pPr>
            <w:r>
              <w:rPr>
                <w:rFonts w:ascii="Consolas" w:cs="Consolas" w:eastAsia="Consolas" w:hAnsi="Consolas"/>
                <w:color w:val="262626"/>
                <w:sz w:val="20"/>
                <w:szCs w:val="20"/>
              </w:rPr>
              <w:t xml:space="preserve">graph.microsoft.com                  HTTPS 443</w:t>
            </w:r>
          </w:p>
          <w:p>
            <w:pPr>
              <w:spacing w:after="40" w:line="260"/>
            </w:pPr>
            <w:r>
              <w:rPr>
                <w:rFonts w:ascii="Consolas" w:cs="Consolas" w:eastAsia="Consolas" w:hAnsi="Consolas"/>
                <w:color w:val="262626"/>
                <w:sz w:val="20"/>
                <w:szCs w:val="20"/>
              </w:rPr>
              <w:t xml:space="preserve">*.office.com                         HTTPS 443</w:t>
            </w:r>
          </w:p>
        </w:tc>
      </w:tr>
    </w:tbl>
    <w:p>
      <w:pPr>
        <w:spacing w:after="100"/>
      </w:pPr>
      <w:r>
        <w:t xml:space="preserve"/>
      </w:r>
    </w:p>
    <w:p>
      <w:pPr>
        <w:pStyle w:val="Heading3"/>
        <w:spacing w:after="120" w:before="220"/>
      </w:pPr>
      <w:r>
        <w:t xml:space="preserve">6.2.3 Dimensionamiento de agentes para 2 TB</w:t>
      </w:r>
    </w:p>
    <w:p>
      <w:pPr>
        <w:spacing w:after="120" w:before="0" w:line="300"/>
      </w:pPr>
      <w:r>
        <w:t xml:space="preserve">Cada agente entrega en producción entre 1 y 2 TB por día, dependiendo de tamaño promedio de archivos, RAM, disco y red. Para 2 TB, se recomienda:</w:t>
      </w:r>
    </w:p>
    <w:p>
      <w:pPr>
        <w:pStyle w:val="ListParagraph"/>
        <w:numPr>
          <w:ilvl w:val="0"/>
          <w:numId w:val="2"/>
        </w:numPr>
        <w:spacing w:after="80" w:line="280"/>
      </w:pPr>
      <w:r>
        <w:rPr>
          <w:b/>
          <w:bCs/>
        </w:rPr>
        <w:t xml:space="preserve">Escenario conservador: </w:t>
      </w:r>
      <w:r>
        <w:t xml:space="preserve">2 agentes durante 3–5 noches. Bajo riesgo, ejecución en ventanas nocturnas.</w:t>
      </w:r>
    </w:p>
    <w:p>
      <w:pPr>
        <w:pStyle w:val="ListParagraph"/>
        <w:numPr>
          <w:ilvl w:val="0"/>
          <w:numId w:val="2"/>
        </w:numPr>
        <w:spacing w:after="80" w:line="280"/>
      </w:pPr>
      <w:r>
        <w:rPr>
          <w:b/>
          <w:bCs/>
        </w:rPr>
        <w:t xml:space="preserve">Escenario acelerado: </w:t>
      </w:r>
      <w:r>
        <w:t xml:space="preserve">4–5 agentes durante 24–48 horas continuas. Requiere buena capacidad de red y coordinación con áreas de negocio.</w:t>
      </w:r>
    </w:p>
    <w:p>
      <w:pPr>
        <w:pStyle w:val="ListParagraph"/>
        <w:numPr>
          <w:ilvl w:val="0"/>
          <w:numId w:val="2"/>
        </w:numPr>
        <w:spacing w:after="80" w:line="280"/>
      </w:pPr>
      <w:r>
        <w:rPr>
          <w:b/>
          <w:bCs/>
        </w:rPr>
        <w:t xml:space="preserve">Escenario extremo (no recomendado): </w:t>
      </w:r>
      <w:r>
        <w:t xml:space="preserve">10 agentes en paralelo. Máxima velocidad pero riesgo alto de throttling por parte de SharePoint.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DEEBF6" w:val="clear"/>
            <w:tcMar>
              <w:top w:type="dxa" w:w="160"/>
              <w:left w:type="dxa" w:w="200"/>
              <w:bottom w:type="dxa" w:w="160"/>
              <w:right w:type="dxa" w:w="200"/>
            </w:tcMar>
          </w:tcPr>
          <w:p>
            <w:pPr>
              <w:spacing w:after="80"/>
            </w:pPr>
            <w:r>
              <w:rPr>
                <w:b/>
                <w:bCs/>
                <w:color w:val="1F4E79"/>
                <w:sz w:val="22"/>
                <w:szCs w:val="22"/>
              </w:rPr>
              <w:t xml:space="preserve">Sobre el número óptimo de agentes</w:t>
            </w:r>
          </w:p>
          <w:p>
            <w:pPr>
              <w:spacing w:after="0" w:before="0" w:line="300"/>
            </w:pPr>
            <w:r>
              <w:t xml:space="preserve">Microsoft recomienda usar el MÍNIMO número de agentes suficiente para completar en la ventana deseada. Más agentes = más throttling y más consumo del API de SharePoint. Ejecutar primero una prueba con 1 agente sobre 20–30 tareas para medir throughput real y calcular a partir de eso.</w:t>
            </w:r>
          </w:p>
        </w:tc>
      </w:tr>
    </w:tbl>
    <w:p>
      <w:pPr>
        <w:spacing w:after="100"/>
      </w:pPr>
      <w:r>
        <w:t xml:space="preserve"/>
      </w:r>
    </w:p>
    <w:p>
      <w:pPr>
        <w:pStyle w:val="Heading3"/>
        <w:spacing w:after="120" w:before="220"/>
      </w:pPr>
      <w:r>
        <w:t xml:space="preserve">6.2.4 Instalación del agente (paso a paso)</w:t>
      </w:r>
    </w:p>
    <w:p>
      <w:pPr>
        <w:pStyle w:val="ListParagraph"/>
        <w:numPr>
          <w:ilvl w:val="0"/>
          <w:numId w:val="3"/>
        </w:numPr>
        <w:spacing w:after="100" w:line="280"/>
      </w:pPr>
      <w:r>
        <w:t xml:space="preserve">Iniciar sesión en https://&lt;tenant&gt;-admin.sharepoint.com con cuenta de SharePoint Administrator.</w:t>
      </w:r>
    </w:p>
    <w:p>
      <w:pPr>
        <w:pStyle w:val="ListParagraph"/>
        <w:numPr>
          <w:ilvl w:val="0"/>
          <w:numId w:val="3"/>
        </w:numPr>
        <w:spacing w:after="100" w:line="280"/>
      </w:pPr>
      <w:r>
        <w:t xml:space="preserve">Navegar a Migración → Centro de migración → File Shares.</w:t>
      </w:r>
    </w:p>
    <w:p>
      <w:pPr>
        <w:pStyle w:val="ListParagraph"/>
        <w:numPr>
          <w:ilvl w:val="0"/>
          <w:numId w:val="3"/>
        </w:numPr>
        <w:spacing w:after="100" w:line="280"/>
      </w:pPr>
      <w:r>
        <w:t xml:space="preserve">Click en Get Started (Comenzar).</w:t>
      </w:r>
    </w:p>
    <w:p>
      <w:pPr>
        <w:pStyle w:val="ListParagraph"/>
        <w:numPr>
          <w:ilvl w:val="0"/>
          <w:numId w:val="3"/>
        </w:numPr>
        <w:spacing w:after="100" w:line="280"/>
      </w:pPr>
      <w:r>
        <w:t xml:space="preserve">En la pestaña Agentes, click en Add → Download agent setup file.</w:t>
      </w:r>
    </w:p>
    <w:p>
      <w:pPr>
        <w:pStyle w:val="ListParagraph"/>
        <w:numPr>
          <w:ilvl w:val="0"/>
          <w:numId w:val="3"/>
        </w:numPr>
        <w:spacing w:after="100" w:line="280"/>
      </w:pPr>
      <w:r>
        <w:t xml:space="preserve">Copiar el instalador (.exe) al servidor que actuará como agente.</w:t>
      </w:r>
    </w:p>
    <w:p>
      <w:pPr>
        <w:pStyle w:val="ListParagraph"/>
        <w:numPr>
          <w:ilvl w:val="0"/>
          <w:numId w:val="3"/>
        </w:numPr>
        <w:spacing w:after="100" w:line="280"/>
      </w:pPr>
      <w:r>
        <w:t xml:space="preserve">Iniciar sesión en el servidor con la cuenta de servicio Windows que tendrá lectura al file share.</w:t>
      </w:r>
    </w:p>
    <w:p>
      <w:pPr>
        <w:pStyle w:val="ListParagraph"/>
        <w:numPr>
          <w:ilvl w:val="0"/>
          <w:numId w:val="3"/>
        </w:numPr>
        <w:spacing w:after="100" w:line="280"/>
      </w:pPr>
      <w:r>
        <w:t xml:space="preserve">Ejecutar el instalador; se solicitarán dos conjuntos de credenciales:</w:t>
      </w:r>
    </w:p>
    <w:p>
      <w:pPr>
        <w:pStyle w:val="ListParagraph"/>
        <w:numPr>
          <w:ilvl w:val="0"/>
          <w:numId w:val="2"/>
        </w:numPr>
        <w:spacing w:after="80" w:line="280"/>
      </w:pPr>
      <w:r>
        <w:t xml:space="preserve">Credenciales SharePoint (usuario admin de M365 o certificado).</w:t>
      </w:r>
    </w:p>
    <w:p>
      <w:pPr>
        <w:pStyle w:val="ListParagraph"/>
        <w:numPr>
          <w:ilvl w:val="0"/>
          <w:numId w:val="2"/>
        </w:numPr>
        <w:spacing w:after="80" w:line="280"/>
      </w:pPr>
      <w:r>
        <w:t xml:space="preserve">Credenciales Windows (cuenta con acceso de lectura al file share).</w:t>
      </w:r>
    </w:p>
    <w:p>
      <w:pPr>
        <w:pStyle w:val="ListParagraph"/>
        <w:numPr>
          <w:ilvl w:val="0"/>
          <w:numId w:val="3"/>
        </w:numPr>
        <w:spacing w:after="100" w:line="280"/>
      </w:pPr>
      <w:r>
        <w:t xml:space="preserve">Repetir en cada máquina que actuará como agente (VMs o servidores dedicados).</w:t>
      </w:r>
    </w:p>
    <w:p>
      <w:pPr>
        <w:pStyle w:val="ListParagraph"/>
        <w:numPr>
          <w:ilvl w:val="0"/>
          <w:numId w:val="3"/>
        </w:numPr>
        <w:spacing w:after="100" w:line="280"/>
      </w:pPr>
      <w:r>
        <w:t xml:space="preserve">Verificar en el dashboard que todos los agentes aparecen en estado Online.</w:t>
      </w:r>
    </w:p>
    <w:p>
      <w:pPr>
        <w:spacing w:after="100"/>
      </w:pPr>
      <w:r>
        <w:t xml:space="preserve"/>
      </w:r>
    </w:p>
    <w:p>
      <w:pPr>
        <w:pStyle w:val="Heading3"/>
        <w:spacing w:after="120" w:before="220"/>
      </w:pPr>
      <w:r>
        <w:t xml:space="preserve">6.2.5 Agrupación de agentes</w:t>
      </w:r>
    </w:p>
    <w:p>
      <w:pPr>
        <w:spacing w:after="120" w:before="0" w:line="300"/>
      </w:pPr>
      <w:r>
        <w:t xml:space="preserve">Migration Manager permite crear grupos de agentes para dedicarlos a orígenes o destinos específicos. Por ejemplo, un grupo para el file share de RH y otro para el de Finanzas.</w:t>
      </w:r>
    </w:p>
    <w:p>
      <w:pPr>
        <w:pStyle w:val="ListParagraph"/>
        <w:numPr>
          <w:ilvl w:val="0"/>
          <w:numId w:val="2"/>
        </w:numPr>
        <w:spacing w:after="80" w:line="280"/>
      </w:pPr>
      <w:r>
        <w:t xml:space="preserve">En la pestaña Agentes → click en Add group.</w:t>
      </w:r>
    </w:p>
    <w:p>
      <w:pPr>
        <w:pStyle w:val="ListParagraph"/>
        <w:numPr>
          <w:ilvl w:val="0"/>
          <w:numId w:val="2"/>
        </w:numPr>
        <w:spacing w:after="80" w:line="280"/>
      </w:pPr>
      <w:r>
        <w:t xml:space="preserve">Nombrar el grupo y asignar los agentes correspondientes.</w:t>
      </w:r>
    </w:p>
    <w:p>
      <w:pPr>
        <w:pStyle w:val="ListParagraph"/>
        <w:numPr>
          <w:ilvl w:val="0"/>
          <w:numId w:val="2"/>
        </w:numPr>
        <w:spacing w:after="80" w:line="280"/>
      </w:pPr>
      <w:r>
        <w:t xml:space="preserve">Al crear tareas de migración, seleccionar el grupo objetivo.</w:t>
      </w:r>
    </w:p>
    <w:p>
      <w:pPr>
        <w:spacing w:after="100"/>
      </w:pPr>
      <w:r>
        <w:t xml:space="preserve"/>
      </w:r>
    </w:p>
    <w:p>
      <w:pPr>
        <w:pStyle w:val="Heading2"/>
        <w:spacing w:after="160" w:before="280"/>
      </w:pPr>
      <w:r>
        <w:t xml:space="preserve">6.3 Prescan (evaluación antes de migrar)</w:t>
      </w:r>
    </w:p>
    <w:p>
      <w:pPr>
        <w:spacing w:after="120" w:before="0" w:line="300"/>
      </w:pPr>
      <w:r>
        <w:t xml:space="preserve">Migration Manager permite ejecutar un escaneo previo sobre las tareas creadas SIN mover datos, para detectar problemas antes de comprometer la migración real.</w:t>
      </w:r>
    </w:p>
    <w:p>
      <w:pPr>
        <w:pStyle w:val="ListParagraph"/>
        <w:numPr>
          <w:ilvl w:val="0"/>
          <w:numId w:val="3"/>
        </w:numPr>
        <w:spacing w:after="100" w:line="280"/>
      </w:pPr>
      <w:r>
        <w:t xml:space="preserve">Crear las tareas de migración normalmente (ver Fase 4).</w:t>
      </w:r>
    </w:p>
    <w:p>
      <w:pPr>
        <w:pStyle w:val="ListParagraph"/>
        <w:numPr>
          <w:ilvl w:val="0"/>
          <w:numId w:val="3"/>
        </w:numPr>
        <w:spacing w:after="100" w:line="280"/>
      </w:pPr>
      <w:r>
        <w:t xml:space="preserve">En el dashboard, seleccionar las tareas → Actions → Scan only.</w:t>
      </w:r>
    </w:p>
    <w:p>
      <w:pPr>
        <w:pStyle w:val="ListParagraph"/>
        <w:numPr>
          <w:ilvl w:val="0"/>
          <w:numId w:val="3"/>
        </w:numPr>
        <w:spacing w:after="100" w:line="280"/>
      </w:pPr>
      <w:r>
        <w:t xml:space="preserve">Esperar a que termine (el prescan es mucho más rápido que la migración real).</w:t>
      </w:r>
    </w:p>
    <w:p>
      <w:pPr>
        <w:pStyle w:val="ListParagraph"/>
        <w:numPr>
          <w:ilvl w:val="0"/>
          <w:numId w:val="3"/>
        </w:numPr>
        <w:spacing w:after="100" w:line="280"/>
      </w:pPr>
      <w:r>
        <w:t xml:space="preserve">Revisar el reporte: archivos problemáticos, rutas largas, caracteres inválidos, permisos no migrables.</w:t>
      </w:r>
    </w:p>
    <w:p>
      <w:pPr>
        <w:pStyle w:val="ListParagraph"/>
        <w:numPr>
          <w:ilvl w:val="0"/>
          <w:numId w:val="3"/>
        </w:numPr>
        <w:spacing w:after="100" w:line="280"/>
      </w:pPr>
      <w:r>
        <w:t xml:space="preserve">Resolver los issues en el origen (renombrar, acortar, eliminar) antes de la migración real.</w:t>
      </w:r>
    </w:p>
    <w:p>
      <w:r>
        <w:br w:type="page"/>
      </w:r>
    </w:p>
    <w:p>
      <w:pPr>
        <w:pStyle w:val="Heading1"/>
        <w:spacing w:after="200" w:before="360"/>
      </w:pPr>
      <w:r>
        <w:t xml:space="preserve">7. Fase 4 — Migración piloto</w:t>
      </w:r>
    </w:p>
    <w:p>
      <w:pPr>
        <w:spacing w:after="120" w:before="0" w:line="300"/>
      </w:pPr>
      <w:r>
        <w:t xml:space="preserve">Antes de comprometerse con la migración masiva de los 2 TB, se ejecuta un piloto controlado que valide todos los componentes del proceso: agentes, permisos, mapeo, prescan, throughput y validación. El objetivo es descubrir cualquier problema con impacto limitado.</w:t>
      </w:r>
    </w:p>
    <w:p>
      <w:pPr>
        <w:spacing w:after="100"/>
      </w:pPr>
      <w:r>
        <w:t xml:space="preserve"/>
      </w:r>
    </w:p>
    <w:p>
      <w:pPr>
        <w:pStyle w:val="Heading2"/>
        <w:spacing w:after="160" w:before="280"/>
      </w:pPr>
      <w:r>
        <w:t xml:space="preserve">7.1 Selección del piloto</w:t>
      </w:r>
    </w:p>
    <w:p>
      <w:pPr>
        <w:pStyle w:val="ListParagraph"/>
        <w:numPr>
          <w:ilvl w:val="0"/>
          <w:numId w:val="2"/>
        </w:numPr>
        <w:spacing w:after="80" w:line="280"/>
      </w:pPr>
      <w:r>
        <w:t xml:space="preserve">Elegir un departamento o área bien acotada, típicamente 50–150 GB (5–7% del volumen total).</w:t>
      </w:r>
    </w:p>
    <w:p>
      <w:pPr>
        <w:pStyle w:val="ListParagraph"/>
        <w:numPr>
          <w:ilvl w:val="0"/>
          <w:numId w:val="2"/>
        </w:numPr>
        <w:spacing w:after="80" w:line="280"/>
      </w:pPr>
      <w:r>
        <w:t xml:space="preserve">Preferiblemente un área "amiga" que tolere pequeñas interrupciones y aporte feedback constructivo (ej: TI mismo, o un área con mucho intercambio digital).</w:t>
      </w:r>
    </w:p>
    <w:p>
      <w:pPr>
        <w:pStyle w:val="ListParagraph"/>
        <w:numPr>
          <w:ilvl w:val="0"/>
          <w:numId w:val="2"/>
        </w:numPr>
        <w:spacing w:after="80" w:line="280"/>
      </w:pPr>
      <w:r>
        <w:t xml:space="preserve">Debe cubrir una variedad de casos: distintos tipos de archivos, algunos permisos únicos, algunas carpetas grandes.</w:t>
      </w:r>
    </w:p>
    <w:p>
      <w:pPr>
        <w:pStyle w:val="ListParagraph"/>
        <w:numPr>
          <w:ilvl w:val="0"/>
          <w:numId w:val="2"/>
        </w:numPr>
        <w:spacing w:after="80" w:line="280"/>
      </w:pPr>
      <w:r>
        <w:t xml:space="preserve">Duración objetivo del piloto: 1–2 semanas incluyendo validación.</w:t>
      </w:r>
    </w:p>
    <w:p>
      <w:pPr>
        <w:spacing w:after="100"/>
      </w:pPr>
      <w:r>
        <w:t xml:space="preserve"/>
      </w:r>
    </w:p>
    <w:p>
      <w:pPr>
        <w:pStyle w:val="Heading2"/>
        <w:spacing w:after="160" w:before="280"/>
      </w:pPr>
      <w:r>
        <w:t xml:space="preserve">7.2 Crear la primera tarea de migración</w:t>
      </w:r>
    </w:p>
    <w:p>
      <w:pPr>
        <w:pStyle w:val="ListParagraph"/>
        <w:numPr>
          <w:ilvl w:val="0"/>
          <w:numId w:val="3"/>
        </w:numPr>
        <w:spacing w:after="100" w:line="280"/>
      </w:pPr>
      <w:r>
        <w:t xml:space="preserve">En Migration Manager → File Shares → Tasks → Add task.</w:t>
      </w:r>
    </w:p>
    <w:p>
      <w:pPr>
        <w:pStyle w:val="ListParagraph"/>
        <w:numPr>
          <w:ilvl w:val="0"/>
          <w:numId w:val="3"/>
        </w:numPr>
        <w:spacing w:after="100" w:line="280"/>
      </w:pPr>
      <w:r>
        <w:t xml:space="preserve">Configurar el origen: ruta UNC del file share, ej: \\srv-files\Piloto-TI</w:t>
      </w:r>
    </w:p>
    <w:p>
      <w:pPr>
        <w:pStyle w:val="ListParagraph"/>
        <w:numPr>
          <w:ilvl w:val="0"/>
          <w:numId w:val="3"/>
        </w:numPr>
        <w:spacing w:after="100" w:line="280"/>
      </w:pPr>
      <w:r>
        <w:t xml:space="preserve">Configurar el destino: URL del sitio SharePoint + biblioteca destino.</w:t>
      </w:r>
    </w:p>
    <w:p>
      <w:pPr>
        <w:pStyle w:val="ListParagraph"/>
        <w:numPr>
          <w:ilvl w:val="0"/>
          <w:numId w:val="3"/>
        </w:numPr>
        <w:spacing w:after="100" w:line="280"/>
      </w:pPr>
      <w:r>
        <w:t xml:space="preserve">Asignar al grupo de agentes correspondiente.</w:t>
      </w:r>
    </w:p>
    <w:p>
      <w:pPr>
        <w:pStyle w:val="ListParagraph"/>
        <w:numPr>
          <w:ilvl w:val="0"/>
          <w:numId w:val="3"/>
        </w:numPr>
        <w:spacing w:after="100" w:line="280"/>
      </w:pPr>
      <w:r>
        <w:t xml:space="preserve">Configurar las opciones avanzadas:</w:t>
      </w:r>
    </w:p>
    <w:p>
      <w:pPr>
        <w:pStyle w:val="ListParagraph"/>
        <w:numPr>
          <w:ilvl w:val="0"/>
          <w:numId w:val="2"/>
        </w:numPr>
        <w:spacing w:after="80" w:line="280"/>
      </w:pPr>
      <w:r>
        <w:t xml:space="preserve">Include hidden files: NO (evitar traer archivos del sistema).</w:t>
      </w:r>
    </w:p>
    <w:p>
      <w:pPr>
        <w:pStyle w:val="ListParagraph"/>
        <w:numPr>
          <w:ilvl w:val="0"/>
          <w:numId w:val="2"/>
        </w:numPr>
        <w:spacing w:after="80" w:line="280"/>
      </w:pPr>
      <w:r>
        <w:t xml:space="preserve">Preserve file share permissions: SÍ o NO según diseño (si los permisos NTFS deben transformarse, la respuesta es NO y se aplican grupos M365 al destino).</w:t>
      </w:r>
    </w:p>
    <w:p>
      <w:pPr>
        <w:pStyle w:val="ListParagraph"/>
        <w:numPr>
          <w:ilvl w:val="0"/>
          <w:numId w:val="2"/>
        </w:numPr>
        <w:spacing w:after="80" w:line="280"/>
      </w:pPr>
      <w:r>
        <w:t xml:space="preserve">Migrate file version history: SÍ si los archivos tienen versiones relevantes.</w:t>
      </w:r>
    </w:p>
    <w:p>
      <w:pPr>
        <w:pStyle w:val="ListParagraph"/>
        <w:numPr>
          <w:ilvl w:val="0"/>
          <w:numId w:val="2"/>
        </w:numPr>
        <w:spacing w:after="80" w:line="280"/>
      </w:pPr>
      <w:r>
        <w:t xml:space="preserve">Include subfolders: SÍ.</w:t>
      </w:r>
    </w:p>
    <w:p>
      <w:pPr>
        <w:pStyle w:val="ListParagraph"/>
        <w:numPr>
          <w:ilvl w:val="0"/>
          <w:numId w:val="2"/>
        </w:numPr>
        <w:spacing w:after="80" w:line="280"/>
      </w:pPr>
      <w:r>
        <w:t xml:space="preserve">Exclusion filter: agregar patrones a excluir (ej: *.tmp, Thumbs.db).</w:t>
      </w:r>
    </w:p>
    <w:p>
      <w:pPr>
        <w:pStyle w:val="ListParagraph"/>
        <w:numPr>
          <w:ilvl w:val="0"/>
          <w:numId w:val="3"/>
        </w:numPr>
        <w:spacing w:after="100" w:line="280"/>
      </w:pPr>
      <w:r>
        <w:t xml:space="preserve">Ejecutar primero un Scan only (ver 6.3).</w:t>
      </w:r>
    </w:p>
    <w:p>
      <w:pPr>
        <w:pStyle w:val="ListParagraph"/>
        <w:numPr>
          <w:ilvl w:val="0"/>
          <w:numId w:val="3"/>
        </w:numPr>
        <w:spacing w:after="100" w:line="280"/>
      </w:pPr>
      <w:r>
        <w:t xml:space="preserve">Revisar el reporte del prescan y resolver issues.</w:t>
      </w:r>
    </w:p>
    <w:p>
      <w:pPr>
        <w:pStyle w:val="ListParagraph"/>
        <w:numPr>
          <w:ilvl w:val="0"/>
          <w:numId w:val="3"/>
        </w:numPr>
        <w:spacing w:after="100" w:line="280"/>
      </w:pPr>
      <w:r>
        <w:t xml:space="preserve">Cuando el prescan sea limpio, ejecutar la migración real.</w:t>
      </w:r>
    </w:p>
    <w:p>
      <w:pPr>
        <w:spacing w:after="100"/>
      </w:pPr>
      <w:r>
        <w:t xml:space="preserve"/>
      </w:r>
    </w:p>
    <w:p>
      <w:pPr>
        <w:pStyle w:val="Heading2"/>
        <w:spacing w:after="160" w:before="280"/>
      </w:pPr>
      <w:r>
        <w:t xml:space="preserve">7.3 Monitoreo del piloto</w:t>
      </w:r>
    </w:p>
    <w:p>
      <w:pPr>
        <w:spacing w:after="120" w:before="0" w:line="300"/>
      </w:pPr>
      <w:r>
        <w:t xml:space="preserve">El dashboard de Migration Manager muestra en tiempo real:</w:t>
      </w:r>
    </w:p>
    <w:p>
      <w:pPr>
        <w:pStyle w:val="ListParagraph"/>
        <w:numPr>
          <w:ilvl w:val="0"/>
          <w:numId w:val="2"/>
        </w:numPr>
        <w:spacing w:after="80" w:line="280"/>
      </w:pPr>
      <w:r>
        <w:t xml:space="preserve">Estado de cada tarea (Ready, Scanning, Migrating, Completed, Failed).</w:t>
      </w:r>
    </w:p>
    <w:p>
      <w:pPr>
        <w:pStyle w:val="ListParagraph"/>
        <w:numPr>
          <w:ilvl w:val="0"/>
          <w:numId w:val="2"/>
        </w:numPr>
        <w:spacing w:after="80" w:line="280"/>
      </w:pPr>
      <w:r>
        <w:t xml:space="preserve">Progreso en % y en archivos/GB transferidos.</w:t>
      </w:r>
    </w:p>
    <w:p>
      <w:pPr>
        <w:pStyle w:val="ListParagraph"/>
        <w:numPr>
          <w:ilvl w:val="0"/>
          <w:numId w:val="2"/>
        </w:numPr>
        <w:spacing w:after="80" w:line="280"/>
      </w:pPr>
      <w:r>
        <w:t xml:space="preserve">Errores por tarea con detalle descargable.</w:t>
      </w:r>
    </w:p>
    <w:p>
      <w:pPr>
        <w:pStyle w:val="ListParagraph"/>
        <w:numPr>
          <w:ilvl w:val="0"/>
          <w:numId w:val="2"/>
        </w:numPr>
        <w:spacing w:after="80" w:line="280"/>
      </w:pPr>
      <w:r>
        <w:t xml:space="preserve">Throughput por agente.</w:t>
      </w:r>
    </w:p>
    <w:p>
      <w:pPr>
        <w:spacing w:after="100"/>
      </w:pPr>
      <w:r>
        <w:t xml:space="preserve"/>
      </w:r>
    </w:p>
    <w:p>
      <w:pPr>
        <w:pStyle w:val="Heading2"/>
        <w:spacing w:after="160" w:before="280"/>
      </w:pPr>
      <w:r>
        <w:t xml:space="preserve">7.4 Validación post-piloto</w:t>
      </w:r>
    </w:p>
    <w:p>
      <w:pPr>
        <w:spacing w:after="120" w:before="0" w:line="300"/>
      </w:pPr>
      <w:r>
        <w:t xml:space="preserve">Concluida la migración del piloto, se ejecuta un plan de validación exhaustivo:</w:t>
      </w:r>
    </w:p>
    <w:p>
      <w:pPr>
        <w:pStyle w:val="ListParagraph"/>
        <w:numPr>
          <w:ilvl w:val="0"/>
          <w:numId w:val="2"/>
        </w:numPr>
        <w:spacing w:after="80" w:line="280"/>
      </w:pPr>
      <w:r>
        <w:rPr>
          <w:b/>
          <w:bCs/>
        </w:rPr>
        <w:t xml:space="preserve">Validación cuantitativa: </w:t>
      </w:r>
      <w:r>
        <w:t xml:space="preserve">comparar número de archivos y GB del origen vs destino (deben coincidir salvo por archivos filtrados intencionalmente).</w:t>
      </w:r>
    </w:p>
    <w:p>
      <w:pPr>
        <w:pStyle w:val="ListParagraph"/>
        <w:numPr>
          <w:ilvl w:val="0"/>
          <w:numId w:val="2"/>
        </w:numPr>
        <w:spacing w:after="80" w:line="280"/>
      </w:pPr>
      <w:r>
        <w:rPr>
          <w:b/>
          <w:bCs/>
        </w:rPr>
        <w:t xml:space="preserve">Validación estructural: </w:t>
      </w:r>
      <w:r>
        <w:t xml:space="preserve">muestrear 20 carpetas al azar y verificar que la estructura y nombres se preservaron.</w:t>
      </w:r>
    </w:p>
    <w:p>
      <w:pPr>
        <w:pStyle w:val="ListParagraph"/>
        <w:numPr>
          <w:ilvl w:val="0"/>
          <w:numId w:val="2"/>
        </w:numPr>
        <w:spacing w:after="80" w:line="280"/>
      </w:pPr>
      <w:r>
        <w:rPr>
          <w:b/>
          <w:bCs/>
        </w:rPr>
        <w:t xml:space="preserve">Validación de permisos: </w:t>
      </w:r>
      <w:r>
        <w:t xml:space="preserve">verificar que los grupos M365 asignados dan el acceso esperado (probar con usuarios reales de cada rol).</w:t>
      </w:r>
    </w:p>
    <w:p>
      <w:pPr>
        <w:pStyle w:val="ListParagraph"/>
        <w:numPr>
          <w:ilvl w:val="0"/>
          <w:numId w:val="2"/>
        </w:numPr>
        <w:spacing w:after="80" w:line="280"/>
      </w:pPr>
      <w:r>
        <w:rPr>
          <w:b/>
          <w:bCs/>
        </w:rPr>
        <w:t xml:space="preserve">Validación de contenido: </w:t>
      </w:r>
      <w:r>
        <w:t xml:space="preserve">abrir 30–50 archivos representativos (Word, Excel, PowerPoint, PDF, imágenes, videos) y confirmar que abren correctamente.</w:t>
      </w:r>
    </w:p>
    <w:p>
      <w:pPr>
        <w:pStyle w:val="ListParagraph"/>
        <w:numPr>
          <w:ilvl w:val="0"/>
          <w:numId w:val="2"/>
        </w:numPr>
        <w:spacing w:after="80" w:line="280"/>
      </w:pPr>
      <w:r>
        <w:rPr>
          <w:b/>
          <w:bCs/>
        </w:rPr>
        <w:t xml:space="preserve">Validación de metadatos: </w:t>
      </w:r>
      <w:r>
        <w:t xml:space="preserve">fechas de creación y modificación preservadas, autor original visible.</w:t>
      </w:r>
    </w:p>
    <w:p>
      <w:pPr>
        <w:pStyle w:val="ListParagraph"/>
        <w:numPr>
          <w:ilvl w:val="0"/>
          <w:numId w:val="2"/>
        </w:numPr>
        <w:spacing w:after="80" w:line="280"/>
      </w:pPr>
      <w:r>
        <w:rPr>
          <w:b/>
          <w:bCs/>
        </w:rPr>
        <w:t xml:space="preserve">Validación de dependencias: </w:t>
      </w:r>
      <w:r>
        <w:t xml:space="preserve">si hay hojas de Excel con vínculos, macros o plantillas que referencien otros archivos, probar que funcionan (o documentar la ruptura para tratarla).</w:t>
      </w:r>
    </w:p>
    <w:p>
      <w:pPr>
        <w:pStyle w:val="ListParagraph"/>
        <w:numPr>
          <w:ilvl w:val="0"/>
          <w:numId w:val="2"/>
        </w:numPr>
        <w:spacing w:after="80" w:line="280"/>
      </w:pPr>
      <w:r>
        <w:rPr>
          <w:b/>
          <w:bCs/>
        </w:rPr>
        <w:t xml:space="preserve">Feedback del usuario piloto: </w:t>
      </w:r>
      <w:r>
        <w:t xml:space="preserve">encuesta corta al área piloto sobre experiencia, dolor, sugerencias.</w:t>
      </w:r>
    </w:p>
    <w:p>
      <w:pPr>
        <w:spacing w:after="100"/>
      </w:pPr>
      <w:r>
        <w:t xml:space="preserve"/>
      </w:r>
    </w:p>
    <w:p>
      <w:pPr>
        <w:pStyle w:val="Heading2"/>
        <w:spacing w:after="160" w:before="280"/>
      </w:pPr>
      <w:r>
        <w:t xml:space="preserve">7.5 Criterios de éxito del piloto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E2EFDA" w:val="clear"/>
            <w:tcMar>
              <w:top w:type="dxa" w:w="160"/>
              <w:left w:type="dxa" w:w="200"/>
              <w:bottom w:type="dxa" w:w="160"/>
              <w:right w:type="dxa" w:w="200"/>
            </w:tcMar>
          </w:tcPr>
          <w:p>
            <w:pPr>
              <w:spacing w:after="80"/>
            </w:pPr>
            <w:r>
              <w:rPr>
                <w:b/>
                <w:bCs/>
                <w:color w:val="1F4E79"/>
                <w:sz w:val="22"/>
                <w:szCs w:val="22"/>
              </w:rPr>
              <w:t xml:space="preserve">El piloto se considera exitoso si...</w:t>
            </w:r>
          </w:p>
          <w:p>
            <w:pPr>
              <w:pStyle w:val="ListParagraph"/>
              <w:numPr>
                <w:ilvl w:val="0"/>
                <w:numId w:val="2"/>
              </w:numPr>
              <w:spacing w:after="80" w:line="280"/>
            </w:pPr>
            <w:r>
              <w:t xml:space="preserve">&gt;99% de los archivos migrados correctamente (los errores restantes son documentables y explicables).</w:t>
            </w:r>
          </w:p>
          <w:p>
            <w:pPr>
              <w:pStyle w:val="ListParagraph"/>
              <w:numPr>
                <w:ilvl w:val="0"/>
                <w:numId w:val="2"/>
              </w:numPr>
              <w:spacing w:after="80" w:line="280"/>
            </w:pPr>
            <w:r>
              <w:t xml:space="preserve">100% de las estructuras de carpetas se preservaron o se transformaron según el mapeo diseñado.</w:t>
            </w:r>
          </w:p>
          <w:p>
            <w:pPr>
              <w:pStyle w:val="ListParagraph"/>
              <w:numPr>
                <w:ilvl w:val="0"/>
                <w:numId w:val="2"/>
              </w:numPr>
              <w:spacing w:after="80" w:line="280"/>
            </w:pPr>
            <w:r>
              <w:t xml:space="preserve">Los usuarios piloto pueden acceder a su contenido con los permisos esperados.</w:t>
            </w:r>
          </w:p>
          <w:p>
            <w:pPr>
              <w:pStyle w:val="ListParagraph"/>
              <w:numPr>
                <w:ilvl w:val="0"/>
                <w:numId w:val="2"/>
              </w:numPr>
              <w:spacing w:after="80" w:line="280"/>
            </w:pPr>
            <w:r>
              <w:t xml:space="preserve">El throughput real por agente permite proyectar el tiempo total de migración dentro de la ventana planeada.</w:t>
            </w:r>
          </w:p>
          <w:p>
            <w:pPr>
              <w:pStyle w:val="ListParagraph"/>
              <w:numPr>
                <w:ilvl w:val="0"/>
                <w:numId w:val="2"/>
              </w:numPr>
              <w:spacing w:after="80" w:line="280"/>
            </w:pPr>
            <w:r>
              <w:t xml:space="preserve">No se identifican bloqueadores técnicos no previstos.</w:t>
            </w:r>
          </w:p>
        </w:tc>
      </w:tr>
    </w:tbl>
    <w:p>
      <w:pPr>
        <w:spacing w:after="100"/>
      </w:pPr>
      <w:r>
        <w:t xml:space="preserve"/>
      </w:r>
    </w:p>
    <w:p>
      <w:pPr>
        <w:pStyle w:val="Heading2"/>
        <w:spacing w:after="160" w:before="280"/>
      </w:pPr>
      <w:r>
        <w:t xml:space="preserve">7.6 Ajustes antes de la producción</w:t>
      </w:r>
    </w:p>
    <w:p>
      <w:pPr>
        <w:spacing w:after="120" w:before="0" w:line="300"/>
      </w:pPr>
      <w:r>
        <w:t xml:space="preserve">Con base en el aprendizaje del piloto, se ajustan:</w:t>
      </w:r>
    </w:p>
    <w:p>
      <w:pPr>
        <w:pStyle w:val="ListParagraph"/>
        <w:numPr>
          <w:ilvl w:val="0"/>
          <w:numId w:val="2"/>
        </w:numPr>
        <w:spacing w:after="80" w:line="280"/>
      </w:pPr>
      <w:r>
        <w:t xml:space="preserve">Número de agentes final (basado en throughput medido).</w:t>
      </w:r>
    </w:p>
    <w:p>
      <w:pPr>
        <w:pStyle w:val="ListParagraph"/>
        <w:numPr>
          <w:ilvl w:val="0"/>
          <w:numId w:val="2"/>
        </w:numPr>
        <w:spacing w:after="80" w:line="280"/>
      </w:pPr>
      <w:r>
        <w:t xml:space="preserve">Ventanas horarias de ejecución.</w:t>
      </w:r>
    </w:p>
    <w:p>
      <w:pPr>
        <w:pStyle w:val="ListParagraph"/>
        <w:numPr>
          <w:ilvl w:val="0"/>
          <w:numId w:val="2"/>
        </w:numPr>
        <w:spacing w:after="80" w:line="280"/>
      </w:pPr>
      <w:r>
        <w:t xml:space="preserve">Filtros de exclusión (si aparecieron nuevos patrones a excluir).</w:t>
      </w:r>
    </w:p>
    <w:p>
      <w:pPr>
        <w:pStyle w:val="ListParagraph"/>
        <w:numPr>
          <w:ilvl w:val="0"/>
          <w:numId w:val="2"/>
        </w:numPr>
        <w:spacing w:after="80" w:line="280"/>
      </w:pPr>
      <w:r>
        <w:t xml:space="preserve">Configuración de bibliotecas destino (metadatos, versiones, vistas).</w:t>
      </w:r>
    </w:p>
    <w:p>
      <w:pPr>
        <w:pStyle w:val="ListParagraph"/>
        <w:numPr>
          <w:ilvl w:val="0"/>
          <w:numId w:val="2"/>
        </w:numPr>
        <w:spacing w:after="80" w:line="280"/>
      </w:pPr>
      <w:r>
        <w:t xml:space="preserve">Comunicación a usuarios finales.</w:t>
      </w:r>
    </w:p>
    <w:p>
      <w:pPr>
        <w:pStyle w:val="ListParagraph"/>
        <w:numPr>
          <w:ilvl w:val="0"/>
          <w:numId w:val="2"/>
        </w:numPr>
        <w:spacing w:after="80" w:line="280"/>
      </w:pPr>
      <w:r>
        <w:t xml:space="preserve">Plan de capacitación.</w:t>
      </w:r>
    </w:p>
    <w:p>
      <w:r>
        <w:br w:type="page"/>
      </w:r>
    </w:p>
    <w:p>
      <w:pPr>
        <w:pStyle w:val="Heading1"/>
        <w:spacing w:after="200" w:before="360"/>
      </w:pPr>
      <w:r>
        <w:t xml:space="preserve">8. Fase 5 — Migración por olas (waves)</w:t>
      </w:r>
    </w:p>
    <w:p>
      <w:pPr>
        <w:spacing w:after="120" w:before="0" w:line="300"/>
      </w:pPr>
      <w:r>
        <w:t xml:space="preserve">La migración masiva de los 2 TB restantes se ejecuta en olas o lotes, típicamente por departamento o área funcional. Este enfoque limita el impacto a un grupo controlado de usuarios cada vez, facilita el soporte, y permite corregir problemas antes de propagarlos.</w:t>
      </w:r>
    </w:p>
    <w:p>
      <w:pPr>
        <w:spacing w:after="100"/>
      </w:pPr>
      <w:r>
        <w:t xml:space="preserve"/>
      </w:r>
    </w:p>
    <w:p>
      <w:pPr>
        <w:pStyle w:val="Heading2"/>
        <w:spacing w:after="160" w:before="280"/>
      </w:pPr>
      <w:r>
        <w:t xml:space="preserve">8.1 Planificación de olas</w:t>
      </w:r>
    </w:p>
    <w:p>
      <w:pPr>
        <w:spacing w:after="120" w:before="0" w:line="300"/>
      </w:pPr>
      <w:r>
        <w:t xml:space="preserve">La cantidad y composición de las olas depende del volumen total, el número de departamentos y la ventana total del proyecto. Un patrón típico para 2 TB en un cliente mediano: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1800"/>
        <w:gridCol w:w="1500"/>
        <w:gridCol w:w="2560"/>
      </w:tblGrid>
      <w:tr>
        <w:trPr>
          <w:tblHeader/>
        </w:trPr>
        <w:tc>
          <w:tcPr>
            <w:tcW w:type="dxa" w:w="10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Ola</w:t>
            </w:r>
          </w:p>
        </w:tc>
        <w:tc>
          <w:tcPr>
            <w:tcW w:type="dxa" w:w="25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Áreas incluidas</w:t>
            </w:r>
          </w:p>
        </w:tc>
        <w:tc>
          <w:tcPr>
            <w:tcW w:type="dxa" w:w="18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Volumen aprox.</w:t>
            </w:r>
          </w:p>
        </w:tc>
        <w:tc>
          <w:tcPr>
            <w:tcW w:type="dxa" w:w="15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Duración</w:t>
            </w:r>
          </w:p>
        </w:tc>
        <w:tc>
          <w:tcPr>
            <w:tcW w:type="dxa" w:w="25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Notas</w:t>
            </w:r>
          </w:p>
        </w:tc>
      </w:tr>
      <w:tr>
        <w:tc>
          <w:tcPr>
            <w:tcW w:type="dxa" w:w="1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Piloto</w:t>
            </w:r>
          </w:p>
        </w:tc>
        <w:tc>
          <w:tcPr>
            <w:tcW w:type="dxa" w:w="25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TI</w:t>
            </w:r>
          </w:p>
        </w:tc>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80 GB</w:t>
            </w:r>
          </w:p>
        </w:tc>
        <w:tc>
          <w:tcPr>
            <w:tcW w:type="dxa" w:w="15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1 semana</w:t>
            </w:r>
          </w:p>
        </w:tc>
        <w:tc>
          <w:tcPr>
            <w:tcW w:type="dxa" w:w="2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Ejecutada en Fase 4.</w:t>
            </w:r>
          </w:p>
        </w:tc>
      </w:tr>
      <w:tr>
        <w:tc>
          <w:tcPr>
            <w:tcW w:type="dxa" w:w="1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Ola 1</w:t>
            </w:r>
          </w:p>
        </w:tc>
        <w:tc>
          <w:tcPr>
            <w:tcW w:type="dxa" w:w="25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Recursos Humanos, Legal</w:t>
            </w:r>
          </w:p>
        </w:tc>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250 GB</w:t>
            </w:r>
          </w:p>
        </w:tc>
        <w:tc>
          <w:tcPr>
            <w:tcW w:type="dxa" w:w="15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1 semana</w:t>
            </w:r>
          </w:p>
        </w:tc>
        <w:tc>
          <w:tcPr>
            <w:tcW w:type="dxa" w:w="2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Áreas con requerimientos regulatorios estrictos, prioridad alta.</w:t>
            </w:r>
          </w:p>
        </w:tc>
      </w:tr>
      <w:tr>
        <w:tc>
          <w:tcPr>
            <w:tcW w:type="dxa" w:w="1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Ola 2</w:t>
            </w:r>
          </w:p>
        </w:tc>
        <w:tc>
          <w:tcPr>
            <w:tcW w:type="dxa" w:w="25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Finanzas, Contabilidad</w:t>
            </w:r>
          </w:p>
        </w:tc>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400 GB</w:t>
            </w:r>
          </w:p>
        </w:tc>
        <w:tc>
          <w:tcPr>
            <w:tcW w:type="dxa" w:w="15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1–2 semanas</w:t>
            </w:r>
          </w:p>
        </w:tc>
        <w:tc>
          <w:tcPr>
            <w:tcW w:type="dxa" w:w="2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Volúmenes grandes, retención de 10 años.</w:t>
            </w:r>
          </w:p>
        </w:tc>
      </w:tr>
      <w:tr>
        <w:tc>
          <w:tcPr>
            <w:tcW w:type="dxa" w:w="1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Ola 3</w:t>
            </w:r>
          </w:p>
        </w:tc>
        <w:tc>
          <w:tcPr>
            <w:tcW w:type="dxa" w:w="25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Ventas, Marketing</w:t>
            </w:r>
          </w:p>
        </w:tc>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500 GB</w:t>
            </w:r>
          </w:p>
        </w:tc>
        <w:tc>
          <w:tcPr>
            <w:tcW w:type="dxa" w:w="15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2 semanas</w:t>
            </w:r>
          </w:p>
        </w:tc>
        <w:tc>
          <w:tcPr>
            <w:tcW w:type="dxa" w:w="2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Puede contener videos y material pesado.</w:t>
            </w:r>
          </w:p>
        </w:tc>
      </w:tr>
      <w:tr>
        <w:tc>
          <w:tcPr>
            <w:tcW w:type="dxa" w:w="1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Ola 4</w:t>
            </w:r>
          </w:p>
        </w:tc>
        <w:tc>
          <w:tcPr>
            <w:tcW w:type="dxa" w:w="25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Operaciones, Compras</w:t>
            </w:r>
          </w:p>
        </w:tc>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450 GB</w:t>
            </w:r>
          </w:p>
        </w:tc>
        <w:tc>
          <w:tcPr>
            <w:tcW w:type="dxa" w:w="15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1–2 semanas</w:t>
            </w:r>
          </w:p>
        </w:tc>
        <w:tc>
          <w:tcPr>
            <w:tcW w:type="dxa" w:w="2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Estructuras complejas por proyecto/cliente.</w:t>
            </w:r>
          </w:p>
        </w:tc>
      </w:tr>
      <w:tr>
        <w:tc>
          <w:tcPr>
            <w:tcW w:type="dxa" w:w="1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Ola 5</w:t>
            </w:r>
          </w:p>
        </w:tc>
        <w:tc>
          <w:tcPr>
            <w:tcW w:type="dxa" w:w="25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Compartidos, Archivo histórico</w:t>
            </w:r>
          </w:p>
        </w:tc>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320 GB</w:t>
            </w:r>
          </w:p>
        </w:tc>
        <w:tc>
          <w:tcPr>
            <w:tcW w:type="dxa" w:w="15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1 semana</w:t>
            </w:r>
          </w:p>
        </w:tc>
        <w:tc>
          <w:tcPr>
            <w:tcW w:type="dxa" w:w="2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Contenido de baja actividad, sin urgencia.</w:t>
            </w:r>
          </w:p>
        </w:tc>
      </w:tr>
    </w:tbl>
    <w:p>
      <w:pPr>
        <w:spacing w:after="100"/>
      </w:pPr>
      <w:r>
        <w:t xml:space="preserve"/>
      </w:r>
    </w:p>
    <w:p>
      <w:pPr>
        <w:pStyle w:val="Heading2"/>
        <w:spacing w:after="160" w:before="280"/>
      </w:pPr>
      <w:r>
        <w:t xml:space="preserve">8.2 Ejecución de cada ola</w:t>
      </w:r>
    </w:p>
    <w:p>
      <w:pPr>
        <w:spacing w:after="120" w:before="0" w:line="300"/>
      </w:pPr>
      <w:r>
        <w:t xml:space="preserve">Cada ola sigue el mismo patrón, refinado con lo aprendido en el piloto:</w:t>
      </w:r>
    </w:p>
    <w:p>
      <w:pPr>
        <w:pStyle w:val="ListParagraph"/>
        <w:numPr>
          <w:ilvl w:val="0"/>
          <w:numId w:val="3"/>
        </w:numPr>
        <w:spacing w:after="100" w:line="280"/>
      </w:pPr>
      <w:r>
        <w:t xml:space="preserve">Comunicar al área con 5 días de anticipación: fecha, ventana, impacto, canal de soporte.</w:t>
      </w:r>
    </w:p>
    <w:p>
      <w:pPr>
        <w:pStyle w:val="ListParagraph"/>
        <w:numPr>
          <w:ilvl w:val="0"/>
          <w:numId w:val="3"/>
        </w:numPr>
        <w:spacing w:after="100" w:line="280"/>
      </w:pPr>
      <w:r>
        <w:t xml:space="preserve">Ejecutar prescan sobre las tareas de la ola. Resolver issues.</w:t>
      </w:r>
    </w:p>
    <w:p>
      <w:pPr>
        <w:pStyle w:val="ListParagraph"/>
        <w:numPr>
          <w:ilvl w:val="0"/>
          <w:numId w:val="3"/>
        </w:numPr>
        <w:spacing w:after="100" w:line="280"/>
      </w:pPr>
      <w:r>
        <w:t xml:space="preserve">Iniciar la migración (idealmente en ventana nocturna o de fin de semana).</w:t>
      </w:r>
    </w:p>
    <w:p>
      <w:pPr>
        <w:pStyle w:val="ListParagraph"/>
        <w:numPr>
          <w:ilvl w:val="0"/>
          <w:numId w:val="3"/>
        </w:numPr>
        <w:spacing w:after="100" w:line="280"/>
      </w:pPr>
      <w:r>
        <w:t xml:space="preserve">Monitorear el dashboard cada 2–4 horas durante la ejecución.</w:t>
      </w:r>
    </w:p>
    <w:p>
      <w:pPr>
        <w:pStyle w:val="ListParagraph"/>
        <w:numPr>
          <w:ilvl w:val="0"/>
          <w:numId w:val="3"/>
        </w:numPr>
        <w:spacing w:after="100" w:line="280"/>
      </w:pPr>
      <w:r>
        <w:t xml:space="preserve">Al finalizar, ejecutar validación cuantitativa automatizada (script comparador).</w:t>
      </w:r>
    </w:p>
    <w:p>
      <w:pPr>
        <w:pStyle w:val="ListParagraph"/>
        <w:numPr>
          <w:ilvl w:val="0"/>
          <w:numId w:val="3"/>
        </w:numPr>
        <w:spacing w:after="100" w:line="280"/>
      </w:pPr>
      <w:r>
        <w:t xml:space="preserve">Notificar al área que ya pueden empezar a usar SharePoint, dejando el origen aún accesible en modo lectura por 5–7 días.</w:t>
      </w:r>
    </w:p>
    <w:p>
      <w:pPr>
        <w:pStyle w:val="ListParagraph"/>
        <w:numPr>
          <w:ilvl w:val="0"/>
          <w:numId w:val="3"/>
        </w:numPr>
        <w:spacing w:after="100" w:line="280"/>
      </w:pPr>
      <w:r>
        <w:t xml:space="preserve">Capturar feedback y errores reportados durante esos 5–7 días.</w:t>
      </w:r>
    </w:p>
    <w:p>
      <w:pPr>
        <w:pStyle w:val="ListParagraph"/>
        <w:numPr>
          <w:ilvl w:val="0"/>
          <w:numId w:val="3"/>
        </w:numPr>
        <w:spacing w:after="100" w:line="280"/>
      </w:pPr>
      <w:r>
        <w:t xml:space="preserve">Cerrar formalmente la ola con acta de aceptación del dueño del área.</w:t>
      </w:r>
    </w:p>
    <w:p>
      <w:pPr>
        <w:spacing w:after="100"/>
      </w:pPr>
      <w:r>
        <w:t xml:space="preserve"/>
      </w:r>
    </w:p>
    <w:p>
      <w:pPr>
        <w:pStyle w:val="Heading2"/>
        <w:spacing w:after="160" w:before="280"/>
      </w:pPr>
      <w:r>
        <w:t xml:space="preserve">8.3 Sincronización delta (incremental)</w:t>
      </w:r>
    </w:p>
    <w:p>
      <w:pPr>
        <w:spacing w:after="120" w:before="0" w:line="300"/>
      </w:pPr>
      <w:r>
        <w:t xml:space="preserve">Migration Manager soporta sincronización incremental: si se re-ejecuta una tarea, solo copia los archivos nuevos o modificados desde la última corrida. Esto es especialmente útil cuando:</w:t>
      </w:r>
    </w:p>
    <w:p>
      <w:pPr>
        <w:pStyle w:val="ListParagraph"/>
        <w:numPr>
          <w:ilvl w:val="0"/>
          <w:numId w:val="2"/>
        </w:numPr>
        <w:spacing w:after="80" w:line="280"/>
      </w:pPr>
      <w:r>
        <w:t xml:space="preserve">La migración inicial se hizo con el file share aún operativo (usuarios siguen creando/editando).</w:t>
      </w:r>
    </w:p>
    <w:p>
      <w:pPr>
        <w:pStyle w:val="ListParagraph"/>
        <w:numPr>
          <w:ilvl w:val="0"/>
          <w:numId w:val="2"/>
        </w:numPr>
        <w:spacing w:after="80" w:line="280"/>
      </w:pPr>
      <w:r>
        <w:t xml:space="preserve">Hay una ventana entre la migración y el cutover donde el origen permanece activo.</w:t>
      </w:r>
    </w:p>
    <w:p>
      <w:pPr>
        <w:pStyle w:val="ListParagraph"/>
        <w:numPr>
          <w:ilvl w:val="0"/>
          <w:numId w:val="2"/>
        </w:numPr>
        <w:spacing w:after="80" w:line="280"/>
      </w:pPr>
      <w:r>
        <w:t xml:space="preserve">Se requiere validar sin interrumpir la operación.</w:t>
      </w:r>
    </w:p>
    <w:p>
      <w:pPr>
        <w:spacing w:after="100"/>
      </w:pPr>
      <w:r>
        <w:t xml:space="preserve"/>
      </w:r>
    </w:p>
    <w:p>
      <w:pPr>
        <w:spacing w:after="120" w:before="0" w:line="300"/>
      </w:pPr>
      <w:r>
        <w:t xml:space="preserve">Estrategia recomendada por ola:</w:t>
      </w:r>
    </w:p>
    <w:p>
      <w:pPr>
        <w:pStyle w:val="ListParagraph"/>
        <w:numPr>
          <w:ilvl w:val="0"/>
          <w:numId w:val="3"/>
        </w:numPr>
        <w:spacing w:after="100" w:line="280"/>
      </w:pPr>
      <w:r>
        <w:t xml:space="preserve">Corrida 1: migración completa (todo el contenido histórico). Duración: horas o días.</w:t>
      </w:r>
    </w:p>
    <w:p>
      <w:pPr>
        <w:pStyle w:val="ListParagraph"/>
        <w:numPr>
          <w:ilvl w:val="0"/>
          <w:numId w:val="3"/>
        </w:numPr>
        <w:spacing w:after="100" w:line="280"/>
      </w:pPr>
      <w:r>
        <w:t xml:space="preserve">Corrida 2 (delta): 24–48 h antes del cutover del área. Solo mueve deltas. Duración: minutos.</w:t>
      </w:r>
    </w:p>
    <w:p>
      <w:pPr>
        <w:pStyle w:val="ListParagraph"/>
        <w:numPr>
          <w:ilvl w:val="0"/>
          <w:numId w:val="3"/>
        </w:numPr>
        <w:spacing w:after="100" w:line="280"/>
      </w:pPr>
      <w:r>
        <w:t xml:space="preserve">Cutover: el origen pasa a modo lectura, los usuarios ya trabajan en SharePoint.</w:t>
      </w:r>
    </w:p>
    <w:p>
      <w:pPr>
        <w:pStyle w:val="ListParagraph"/>
        <w:numPr>
          <w:ilvl w:val="0"/>
          <w:numId w:val="3"/>
        </w:numPr>
        <w:spacing w:after="100" w:line="280"/>
      </w:pPr>
      <w:r>
        <w:t xml:space="preserve">Corrida 3 (delta final): 2 h antes del cutover, para capturar cualquier último cambio.</w:t>
      </w:r>
    </w:p>
    <w:p>
      <w:pPr>
        <w:spacing w:after="100"/>
      </w:pPr>
      <w:r>
        <w:t xml:space="preserve"/>
      </w:r>
    </w:p>
    <w:p>
      <w:pPr>
        <w:pStyle w:val="Heading2"/>
        <w:spacing w:after="160" w:before="280"/>
      </w:pPr>
      <w:r>
        <w:t xml:space="preserve">8.4 Manejo de conflictos</w:t>
      </w:r>
    </w:p>
    <w:p>
      <w:pPr>
        <w:spacing w:after="120" w:before="0" w:line="300"/>
      </w:pPr>
      <w:r>
        <w:t xml:space="preserve">Al hacer sincronización incremental, si un archivo cambió en ambos lados (aunque no debería si el origen ya está en modo lectura), el comportamiento por defecto es Sobrescribir destino con origen. Configurable en las opciones de la tarea.</w:t>
      </w:r>
    </w:p>
    <w:p>
      <w:pPr>
        <w:spacing w:after="100"/>
      </w:pPr>
      <w:r>
        <w:t xml:space="preserve"/>
      </w:r>
    </w:p>
    <w:p>
      <w:pPr>
        <w:pStyle w:val="Heading2"/>
        <w:spacing w:after="160" w:before="280"/>
      </w:pPr>
      <w:r>
        <w:t xml:space="preserve">8.5 Comunicación durante las olas</w:t>
      </w:r>
    </w:p>
    <w:p>
      <w:pPr>
        <w:pStyle w:val="ListParagraph"/>
        <w:numPr>
          <w:ilvl w:val="0"/>
          <w:numId w:val="2"/>
        </w:numPr>
        <w:spacing w:after="80" w:line="280"/>
      </w:pPr>
      <w:r>
        <w:rPr>
          <w:b/>
          <w:bCs/>
        </w:rPr>
        <w:t xml:space="preserve">T-5 días: </w:t>
      </w:r>
      <w:r>
        <w:t xml:space="preserve">correo anuncio con fecha, ventana y qué esperar.</w:t>
      </w:r>
    </w:p>
    <w:p>
      <w:pPr>
        <w:pStyle w:val="ListParagraph"/>
        <w:numPr>
          <w:ilvl w:val="0"/>
          <w:numId w:val="2"/>
        </w:numPr>
        <w:spacing w:after="80" w:line="280"/>
      </w:pPr>
      <w:r>
        <w:rPr>
          <w:b/>
          <w:bCs/>
        </w:rPr>
        <w:t xml:space="preserve">T-1 día: </w:t>
      </w:r>
      <w:r>
        <w:t xml:space="preserve">recordatorio + link a documentación de "cómo usar SharePoint".</w:t>
      </w:r>
    </w:p>
    <w:p>
      <w:pPr>
        <w:pStyle w:val="ListParagraph"/>
        <w:numPr>
          <w:ilvl w:val="0"/>
          <w:numId w:val="2"/>
        </w:numPr>
        <w:spacing w:after="80" w:line="280"/>
      </w:pPr>
      <w:r>
        <w:rPr>
          <w:b/>
          <w:bCs/>
        </w:rPr>
        <w:t xml:space="preserve">T-0 (inicio): </w:t>
      </w:r>
      <w:r>
        <w:t xml:space="preserve">notificación de inicio + canal de soporte activo (Teams / mesa de ayuda).</w:t>
      </w:r>
    </w:p>
    <w:p>
      <w:pPr>
        <w:pStyle w:val="ListParagraph"/>
        <w:numPr>
          <w:ilvl w:val="0"/>
          <w:numId w:val="2"/>
        </w:numPr>
        <w:spacing w:after="80" w:line="280"/>
      </w:pPr>
      <w:r>
        <w:rPr>
          <w:b/>
          <w:bCs/>
        </w:rPr>
        <w:t xml:space="preserve">T+0 (fin): </w:t>
      </w:r>
      <w:r>
        <w:t xml:space="preserve">notificación de que el contenido ya está disponible + enlaces a los sitios.</w:t>
      </w:r>
    </w:p>
    <w:p>
      <w:pPr>
        <w:pStyle w:val="ListParagraph"/>
        <w:numPr>
          <w:ilvl w:val="0"/>
          <w:numId w:val="2"/>
        </w:numPr>
        <w:spacing w:after="80" w:line="280"/>
      </w:pPr>
      <w:r>
        <w:rPr>
          <w:b/>
          <w:bCs/>
        </w:rPr>
        <w:t xml:space="preserve">T+5 días: </w:t>
      </w:r>
      <w:r>
        <w:t xml:space="preserve">encuesta de satisfacción + recordatorio de fecha de baja del origen.</w:t>
      </w:r>
    </w:p>
    <w:p>
      <w:r>
        <w:br w:type="page"/>
      </w:r>
    </w:p>
    <w:p>
      <w:pPr>
        <w:pStyle w:val="Heading1"/>
        <w:spacing w:after="200" w:before="360"/>
      </w:pPr>
      <w:r>
        <w:t xml:space="preserve">9. Fase 6 — Cutover, validación y post-migración</w:t>
      </w:r>
    </w:p>
    <w:p>
      <w:pPr>
        <w:spacing w:after="120" w:before="0" w:line="300"/>
      </w:pPr>
      <w:r>
        <w:t xml:space="preserve">Terminadas todas las olas, se ejecuta el cutover definitivo: el momento en que el file share on-premises se desactiva formalmente y SharePoint se convierte en el único repositorio operativo. Esta fase también cubre la validación final, la adopción por parte de los usuarios y el desmantelamiento ordenado del origen.</w:t>
      </w:r>
    </w:p>
    <w:p>
      <w:pPr>
        <w:spacing w:after="100"/>
      </w:pPr>
      <w:r>
        <w:t xml:space="preserve"/>
      </w:r>
    </w:p>
    <w:p>
      <w:pPr>
        <w:pStyle w:val="Heading2"/>
        <w:spacing w:after="160" w:before="280"/>
      </w:pPr>
      <w:r>
        <w:t xml:space="preserve">9.1 Modo solo lectura del origen</w:t>
      </w:r>
    </w:p>
    <w:p>
      <w:pPr>
        <w:spacing w:after="120" w:before="0" w:line="300"/>
      </w:pPr>
      <w:r>
        <w:t xml:space="preserve">Antes del cutover total, se recomienda operar el file share en modo solo lectura durante 15–30 días como red de seguridad.</w:t>
      </w:r>
    </w:p>
    <w:p>
      <w:pPr>
        <w:pStyle w:val="ListParagraph"/>
        <w:numPr>
          <w:ilvl w:val="0"/>
          <w:numId w:val="3"/>
        </w:numPr>
        <w:spacing w:after="100" w:line="280"/>
      </w:pPr>
      <w:r>
        <w:t xml:space="preserve">Cambiar los permisos NTFS del file share raíz a Read-only para todos los grupos.</w:t>
      </w:r>
    </w:p>
    <w:p>
      <w:pPr>
        <w:pStyle w:val="ListParagraph"/>
        <w:numPr>
          <w:ilvl w:val="0"/>
          <w:numId w:val="3"/>
        </w:numPr>
        <w:spacing w:after="100" w:line="280"/>
      </w:pPr>
      <w:r>
        <w:t xml:space="preserve">Publicar aviso claro a los usuarios: "Este repositorio ya está en modo lectura. Cualquier documento nuevo o modificación debe hacerse en SharePoint."</w:t>
      </w:r>
    </w:p>
    <w:p>
      <w:pPr>
        <w:pStyle w:val="ListParagraph"/>
        <w:numPr>
          <w:ilvl w:val="0"/>
          <w:numId w:val="3"/>
        </w:numPr>
        <w:spacing w:after="100" w:line="280"/>
      </w:pPr>
      <w:r>
        <w:t xml:space="preserve">Habilitar auditoría intensa para detectar cualquier intento de escritura.</w:t>
      </w:r>
    </w:p>
    <w:p>
      <w:pPr>
        <w:pStyle w:val="ListParagraph"/>
        <w:numPr>
          <w:ilvl w:val="0"/>
          <w:numId w:val="3"/>
        </w:numPr>
        <w:spacing w:after="100" w:line="280"/>
      </w:pPr>
      <w:r>
        <w:t xml:space="preserve">Ejecutar una última sincronización delta con Migration Manager.</w:t>
      </w:r>
    </w:p>
    <w:p>
      <w:pPr>
        <w:spacing w:after="100"/>
      </w:pPr>
      <w:r>
        <w:t xml:space="preserve"/>
      </w:r>
    </w:p>
    <w:p>
      <w:pPr>
        <w:pStyle w:val="Heading2"/>
        <w:spacing w:after="160" w:before="280"/>
      </w:pPr>
      <w:r>
        <w:t xml:space="preserve">9.2 Cutover definitivo</w:t>
      </w:r>
    </w:p>
    <w:p>
      <w:pPr>
        <w:pStyle w:val="ListParagraph"/>
        <w:numPr>
          <w:ilvl w:val="0"/>
          <w:numId w:val="3"/>
        </w:numPr>
        <w:spacing w:after="100" w:line="280"/>
      </w:pPr>
      <w:r>
        <w:t xml:space="preserve">Desmontar el file share de las rutas mapeadas (unidad H:, unidad Z:, etc.) desde las estaciones de trabajo mediante GPO o script.</w:t>
      </w:r>
    </w:p>
    <w:p>
      <w:pPr>
        <w:pStyle w:val="ListParagraph"/>
        <w:numPr>
          <w:ilvl w:val="0"/>
          <w:numId w:val="3"/>
        </w:numPr>
        <w:spacing w:after="100" w:line="280"/>
      </w:pPr>
      <w:r>
        <w:t xml:space="preserve">Deshabilitar el servicio de recurso compartido en el servidor origen.</w:t>
      </w:r>
    </w:p>
    <w:p>
      <w:pPr>
        <w:pStyle w:val="ListParagraph"/>
        <w:numPr>
          <w:ilvl w:val="0"/>
          <w:numId w:val="3"/>
        </w:numPr>
        <w:spacing w:after="100" w:line="280"/>
      </w:pPr>
      <w:r>
        <w:t xml:space="preserve">Notificar formalmente el cutover completado a todos los usuarios.</w:t>
      </w:r>
    </w:p>
    <w:p>
      <w:pPr>
        <w:pStyle w:val="ListParagraph"/>
        <w:numPr>
          <w:ilvl w:val="0"/>
          <w:numId w:val="3"/>
        </w:numPr>
        <w:spacing w:after="100" w:line="280"/>
      </w:pPr>
      <w:r>
        <w:t xml:space="preserve">Confirmar con áreas críticas (Finanzas, Contabilidad, Legal) que no queda dependencia técnica.</w:t>
      </w:r>
    </w:p>
    <w:p>
      <w:pPr>
        <w:pStyle w:val="ListParagraph"/>
        <w:numPr>
          <w:ilvl w:val="0"/>
          <w:numId w:val="3"/>
        </w:numPr>
        <w:spacing w:after="100" w:line="280"/>
      </w:pPr>
      <w:r>
        <w:t xml:space="preserve">Reapuntar cualquier aplicación LOB (ERP, CRM) que consumiera archivos, hacia SharePoint (usando Graph API, sync agent, o Power Automate).</w:t>
      </w:r>
    </w:p>
    <w:p>
      <w:pPr>
        <w:spacing w:after="100"/>
      </w:pPr>
      <w:r>
        <w:t xml:space="preserve"/>
      </w:r>
    </w:p>
    <w:p>
      <w:pPr>
        <w:pStyle w:val="Heading2"/>
        <w:spacing w:after="160" w:before="280"/>
      </w:pPr>
      <w:r>
        <w:t xml:space="preserve">9.3 Validación final consolidada</w:t>
      </w:r>
    </w:p>
    <w:p>
      <w:pPr>
        <w:pStyle w:val="ListParagraph"/>
        <w:numPr>
          <w:ilvl w:val="0"/>
          <w:numId w:val="2"/>
        </w:numPr>
        <w:spacing w:after="80" w:line="280"/>
      </w:pPr>
      <w:r>
        <w:t xml:space="preserve">Reporte consolidado de todas las olas: total de archivos migrados, errores, tamaño.</w:t>
      </w:r>
    </w:p>
    <w:p>
      <w:pPr>
        <w:pStyle w:val="ListParagraph"/>
        <w:numPr>
          <w:ilvl w:val="0"/>
          <w:numId w:val="2"/>
        </w:numPr>
        <w:spacing w:after="80" w:line="280"/>
      </w:pPr>
      <w:r>
        <w:t xml:space="preserve">Auditoría cruzada: script que compare inventario origen (backup pre-migración) vs inventario destino final.</w:t>
      </w:r>
    </w:p>
    <w:p>
      <w:pPr>
        <w:pStyle w:val="ListParagraph"/>
        <w:numPr>
          <w:ilvl w:val="0"/>
          <w:numId w:val="2"/>
        </w:numPr>
        <w:spacing w:after="80" w:line="280"/>
      </w:pPr>
      <w:r>
        <w:t xml:space="preserve">Validación con dueños de datos por área: firma de acta de aceptación.</w:t>
      </w:r>
    </w:p>
    <w:p>
      <w:pPr>
        <w:pStyle w:val="ListParagraph"/>
        <w:numPr>
          <w:ilvl w:val="0"/>
          <w:numId w:val="2"/>
        </w:numPr>
        <w:spacing w:after="80" w:line="280"/>
      </w:pPr>
      <w:r>
        <w:t xml:space="preserve">Prueba de restauración desde papelera de SharePoint (documentar procedimiento).</w:t>
      </w:r>
    </w:p>
    <w:p>
      <w:pPr>
        <w:pStyle w:val="ListParagraph"/>
        <w:numPr>
          <w:ilvl w:val="0"/>
          <w:numId w:val="2"/>
        </w:numPr>
        <w:spacing w:after="80" w:line="280"/>
      </w:pPr>
      <w:r>
        <w:t xml:space="preserve">Prueba de acceso desde dispositivos móviles y externos.</w:t>
      </w:r>
    </w:p>
    <w:p>
      <w:pPr>
        <w:pStyle w:val="ListParagraph"/>
        <w:numPr>
          <w:ilvl w:val="0"/>
          <w:numId w:val="2"/>
        </w:numPr>
        <w:spacing w:after="80" w:line="280"/>
      </w:pPr>
      <w:r>
        <w:t xml:space="preserve">Auditoría de permisos: reporte con quién tiene acceso a qué, revisado por seguridad.</w:t>
      </w:r>
    </w:p>
    <w:p>
      <w:pPr>
        <w:spacing w:after="100"/>
      </w:pPr>
      <w:r>
        <w:t xml:space="preserve"/>
      </w:r>
    </w:p>
    <w:p>
      <w:pPr>
        <w:pStyle w:val="Heading2"/>
        <w:spacing w:after="160" w:before="280"/>
      </w:pPr>
      <w:r>
        <w:t xml:space="preserve">9.4 Adopción y capacitación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DEEBF6" w:val="clear"/>
            <w:tcMar>
              <w:top w:type="dxa" w:w="160"/>
              <w:left w:type="dxa" w:w="200"/>
              <w:bottom w:type="dxa" w:w="160"/>
              <w:right w:type="dxa" w:w="200"/>
            </w:tcMar>
          </w:tcPr>
          <w:p>
            <w:pPr>
              <w:spacing w:after="80"/>
            </w:pPr>
            <w:r>
              <w:rPr>
                <w:b/>
                <w:bCs/>
                <w:color w:val="1F4E79"/>
                <w:sz w:val="22"/>
                <w:szCs w:val="22"/>
              </w:rPr>
              <w:t xml:space="preserve">La migración técnica no es el final del proyecto</w:t>
            </w:r>
          </w:p>
          <w:p>
            <w:pPr>
              <w:spacing w:after="0" w:before="0" w:line="300"/>
            </w:pPr>
            <w:r>
              <w:t xml:space="preserve">Si los usuarios no adoptan SharePoint como su nuevo entorno de trabajo, seguirán buscando alternativas (compartir por correo, USB, servicios externos). La adopción efectiva requiere un plan estructurado paralelo a la migración técnica.</w:t>
            </w:r>
          </w:p>
        </w:tc>
      </w:tr>
    </w:tbl>
    <w:p>
      <w:pPr>
        <w:spacing w:after="100"/>
      </w:pPr>
      <w:r>
        <w:t xml:space="preserve"/>
      </w:r>
    </w:p>
    <w:p>
      <w:pPr>
        <w:pStyle w:val="Heading3"/>
        <w:spacing w:after="120" w:before="220"/>
      </w:pPr>
      <w:r>
        <w:t xml:space="preserve">9.4.1 Plan de capacitación</w:t>
      </w:r>
    </w:p>
    <w:p>
      <w:pPr>
        <w:pStyle w:val="ListParagraph"/>
        <w:numPr>
          <w:ilvl w:val="0"/>
          <w:numId w:val="2"/>
        </w:numPr>
        <w:spacing w:after="80" w:line="280"/>
      </w:pPr>
      <w:r>
        <w:t xml:space="preserve">Sesiones básicas (60 min) por área: navegación, subir/descargar, búsqueda, compartir, sincronizar con OneDrive.</w:t>
      </w:r>
    </w:p>
    <w:p>
      <w:pPr>
        <w:pStyle w:val="ListParagraph"/>
        <w:numPr>
          <w:ilvl w:val="0"/>
          <w:numId w:val="2"/>
        </w:numPr>
        <w:spacing w:after="80" w:line="280"/>
      </w:pPr>
      <w:r>
        <w:t xml:space="preserve">Sesiones avanzadas (90 min) para usuarios clave / campeones: metadatos, vistas, permisos, gobierno.</w:t>
      </w:r>
    </w:p>
    <w:p>
      <w:pPr>
        <w:pStyle w:val="ListParagraph"/>
        <w:numPr>
          <w:ilvl w:val="0"/>
          <w:numId w:val="2"/>
        </w:numPr>
        <w:spacing w:after="80" w:line="280"/>
      </w:pPr>
      <w:r>
        <w:t xml:space="preserve">Documentación breve: guías de 1 página por caso de uso (subir archivo, compartir con externos, restaurar de papelera).</w:t>
      </w:r>
    </w:p>
    <w:p>
      <w:pPr>
        <w:pStyle w:val="ListParagraph"/>
        <w:numPr>
          <w:ilvl w:val="0"/>
          <w:numId w:val="2"/>
        </w:numPr>
        <w:spacing w:after="80" w:line="280"/>
      </w:pPr>
      <w:r>
        <w:t xml:space="preserve">Videos cortos (2–3 min) para procedimientos frecuentes.</w:t>
      </w:r>
    </w:p>
    <w:p>
      <w:pPr>
        <w:pStyle w:val="ListParagraph"/>
        <w:numPr>
          <w:ilvl w:val="0"/>
          <w:numId w:val="2"/>
        </w:numPr>
        <w:spacing w:after="80" w:line="280"/>
      </w:pPr>
      <w:r>
        <w:t xml:space="preserve">Canal de Teams dedicado a soporte durante las primeras 4–6 semanas post-migración.</w:t>
      </w:r>
    </w:p>
    <w:p>
      <w:pPr>
        <w:spacing w:after="100"/>
      </w:pPr>
      <w:r>
        <w:t xml:space="preserve"/>
      </w:r>
    </w:p>
    <w:p>
      <w:pPr>
        <w:pStyle w:val="Heading3"/>
        <w:spacing w:after="120" w:before="220"/>
      </w:pPr>
      <w:r>
        <w:t xml:space="preserve">9.4.2 Red de campeones (champions)</w:t>
      </w:r>
    </w:p>
    <w:p>
      <w:pPr>
        <w:spacing w:after="120" w:before="0" w:line="300"/>
      </w:pPr>
      <w:r>
        <w:t xml:space="preserve">Identificar 1 o 2 usuarios por área que actúen como referentes locales. Se les da capacitación adicional y se convierten en el primer nivel de soporte informal.</w:t>
      </w:r>
    </w:p>
    <w:p>
      <w:pPr>
        <w:spacing w:after="100"/>
      </w:pPr>
      <w:r>
        <w:t xml:space="preserve"/>
      </w:r>
    </w:p>
    <w:p>
      <w:pPr>
        <w:pStyle w:val="Heading2"/>
        <w:spacing w:after="160" w:before="280"/>
      </w:pPr>
      <w:r>
        <w:t xml:space="preserve">9.5 Desmantelamiento del servidor origen</w:t>
      </w:r>
    </w:p>
    <w:p>
      <w:pPr>
        <w:pStyle w:val="ListParagraph"/>
        <w:numPr>
          <w:ilvl w:val="0"/>
          <w:numId w:val="3"/>
        </w:numPr>
        <w:spacing w:after="100" w:line="280"/>
      </w:pPr>
      <w:r>
        <w:t xml:space="preserve">Esperar al menos 30 días desde el cutover sin incidencias de acceso a los datos.</w:t>
      </w:r>
    </w:p>
    <w:p>
      <w:pPr>
        <w:pStyle w:val="ListParagraph"/>
        <w:numPr>
          <w:ilvl w:val="0"/>
          <w:numId w:val="3"/>
        </w:numPr>
        <w:spacing w:after="100" w:line="280"/>
      </w:pPr>
      <w:r>
        <w:t xml:space="preserve">Realizar un respaldo completo final del file share, guardado en almacenamiento frío (Azure Blob Archive, cinta, o disco offline).</w:t>
      </w:r>
    </w:p>
    <w:p>
      <w:pPr>
        <w:pStyle w:val="ListParagraph"/>
        <w:numPr>
          <w:ilvl w:val="0"/>
          <w:numId w:val="3"/>
        </w:numPr>
        <w:spacing w:after="100" w:line="280"/>
      </w:pPr>
      <w:r>
        <w:t xml:space="preserve">Retener el respaldo el tiempo que dicten las políticas legales/regulatorias del cliente (típico: 5–7 años).</w:t>
      </w:r>
    </w:p>
    <w:p>
      <w:pPr>
        <w:pStyle w:val="ListParagraph"/>
        <w:numPr>
          <w:ilvl w:val="0"/>
          <w:numId w:val="3"/>
        </w:numPr>
        <w:spacing w:after="100" w:line="280"/>
      </w:pPr>
      <w:r>
        <w:t xml:space="preserve">Documentar la ubicación y el procedimiento de recuperación del respaldo.</w:t>
      </w:r>
    </w:p>
    <w:p>
      <w:pPr>
        <w:pStyle w:val="ListParagraph"/>
        <w:numPr>
          <w:ilvl w:val="0"/>
          <w:numId w:val="3"/>
        </w:numPr>
        <w:spacing w:after="100" w:line="280"/>
      </w:pPr>
      <w:r>
        <w:t xml:space="preserve">Apagar el servidor origen o repurposarlo.</w:t>
      </w:r>
    </w:p>
    <w:p>
      <w:pPr>
        <w:pStyle w:val="ListParagraph"/>
        <w:numPr>
          <w:ilvl w:val="0"/>
          <w:numId w:val="3"/>
        </w:numPr>
        <w:spacing w:after="100" w:line="280"/>
      </w:pPr>
      <w:r>
        <w:t xml:space="preserve">Cancelar contratos de mantenimiento, licencias de backup asociadas, etc.</w:t>
      </w:r>
    </w:p>
    <w:p>
      <w:pPr>
        <w:spacing w:after="100"/>
      </w:pPr>
      <w:r>
        <w:t xml:space="preserve"/>
      </w:r>
    </w:p>
    <w:p>
      <w:pPr>
        <w:pStyle w:val="Heading2"/>
        <w:spacing w:after="160" w:before="280"/>
      </w:pPr>
      <w:r>
        <w:t xml:space="preserve">9.6 Gobierno continuo (BAU)</w:t>
      </w:r>
    </w:p>
    <w:p>
      <w:pPr>
        <w:spacing w:after="120" w:before="0" w:line="300"/>
      </w:pPr>
      <w:r>
        <w:t xml:space="preserve">Post-migración, SharePoint requiere gobierno activo o rápidamente se convierte en el mismo caos del file share anterior:</w:t>
      </w:r>
    </w:p>
    <w:p>
      <w:pPr>
        <w:pStyle w:val="ListParagraph"/>
        <w:numPr>
          <w:ilvl w:val="0"/>
          <w:numId w:val="2"/>
        </w:numPr>
        <w:spacing w:after="80" w:line="280"/>
      </w:pPr>
      <w:r>
        <w:t xml:space="preserve">Revisiones trimestrales de permisos (Access Reviews en Entra ID).</w:t>
      </w:r>
    </w:p>
    <w:p>
      <w:pPr>
        <w:pStyle w:val="ListParagraph"/>
        <w:numPr>
          <w:ilvl w:val="0"/>
          <w:numId w:val="2"/>
        </w:numPr>
        <w:spacing w:after="80" w:line="280"/>
      </w:pPr>
      <w:r>
        <w:t xml:space="preserve">Detección de sitios inactivos o sin propietario (informes de administrador de SharePoint).</w:t>
      </w:r>
    </w:p>
    <w:p>
      <w:pPr>
        <w:pStyle w:val="ListParagraph"/>
        <w:numPr>
          <w:ilvl w:val="0"/>
          <w:numId w:val="2"/>
        </w:numPr>
        <w:spacing w:after="80" w:line="280"/>
      </w:pPr>
      <w:r>
        <w:t xml:space="preserve">Aplicación consistente de políticas de retención.</w:t>
      </w:r>
    </w:p>
    <w:p>
      <w:pPr>
        <w:pStyle w:val="ListParagraph"/>
        <w:numPr>
          <w:ilvl w:val="0"/>
          <w:numId w:val="2"/>
        </w:numPr>
        <w:spacing w:after="80" w:line="280"/>
      </w:pPr>
      <w:r>
        <w:t xml:space="preserve">Monitoreo de compartición externa y expiración de invitados.</w:t>
      </w:r>
    </w:p>
    <w:p>
      <w:pPr>
        <w:pStyle w:val="ListParagraph"/>
        <w:numPr>
          <w:ilvl w:val="0"/>
          <w:numId w:val="2"/>
        </w:numPr>
        <w:spacing w:after="80" w:line="280"/>
      </w:pPr>
      <w:r>
        <w:t xml:space="preserve">Métricas de adopción: sitios usados, búsqueda, colaboración, contenido nuevo por semana.</w:t>
      </w:r>
    </w:p>
    <w:p>
      <w:pPr>
        <w:pStyle w:val="ListParagraph"/>
        <w:numPr>
          <w:ilvl w:val="0"/>
          <w:numId w:val="2"/>
        </w:numPr>
        <w:spacing w:after="80" w:line="280"/>
      </w:pPr>
      <w:r>
        <w:t xml:space="preserve">Ciclo de mejora continua: encuestas semestrales y ajustes al modelo.</w:t>
      </w:r>
    </w:p>
    <w:p>
      <w:pPr>
        <w:spacing w:after="100"/>
      </w:pPr>
      <w:r>
        <w:t xml:space="preserve"/>
      </w:r>
    </w:p>
    <w:p>
      <w:pPr>
        <w:pStyle w:val="Heading2"/>
        <w:spacing w:after="160" w:before="280"/>
      </w:pPr>
      <w:r>
        <w:t xml:space="preserve">9.7 Entregables finales del proyecto</w:t>
      </w:r>
    </w:p>
    <w:p>
      <w:pPr>
        <w:pStyle w:val="ListParagraph"/>
        <w:numPr>
          <w:ilvl w:val="0"/>
          <w:numId w:val="2"/>
        </w:numPr>
        <w:spacing w:after="80" w:line="280"/>
      </w:pPr>
      <w:r>
        <w:t xml:space="preserve">Reporte de migración consolidado (todas las olas).</w:t>
      </w:r>
    </w:p>
    <w:p>
      <w:pPr>
        <w:pStyle w:val="ListParagraph"/>
        <w:numPr>
          <w:ilvl w:val="0"/>
          <w:numId w:val="2"/>
        </w:numPr>
        <w:spacing w:after="80" w:line="280"/>
      </w:pPr>
      <w:r>
        <w:t xml:space="preserve">Inventario final origen vs destino.</w:t>
      </w:r>
    </w:p>
    <w:p>
      <w:pPr>
        <w:pStyle w:val="ListParagraph"/>
        <w:numPr>
          <w:ilvl w:val="0"/>
          <w:numId w:val="2"/>
        </w:numPr>
        <w:spacing w:after="80" w:line="280"/>
      </w:pPr>
      <w:r>
        <w:t xml:space="preserve">Documentación de la arquitectura SharePoint entregada.</w:t>
      </w:r>
    </w:p>
    <w:p>
      <w:pPr>
        <w:pStyle w:val="ListParagraph"/>
        <w:numPr>
          <w:ilvl w:val="0"/>
          <w:numId w:val="2"/>
        </w:numPr>
        <w:spacing w:after="80" w:line="280"/>
      </w:pPr>
      <w:r>
        <w:t xml:space="preserve">Matriz de permisos final.</w:t>
      </w:r>
    </w:p>
    <w:p>
      <w:pPr>
        <w:pStyle w:val="ListParagraph"/>
        <w:numPr>
          <w:ilvl w:val="0"/>
          <w:numId w:val="2"/>
        </w:numPr>
        <w:spacing w:after="80" w:line="280"/>
      </w:pPr>
      <w:r>
        <w:t xml:space="preserve">Manual del administrador de SharePoint del cliente.</w:t>
      </w:r>
    </w:p>
    <w:p>
      <w:pPr>
        <w:pStyle w:val="ListParagraph"/>
        <w:numPr>
          <w:ilvl w:val="0"/>
          <w:numId w:val="2"/>
        </w:numPr>
        <w:spacing w:after="80" w:line="280"/>
      </w:pPr>
      <w:r>
        <w:t xml:space="preserve">Manual del usuario final.</w:t>
      </w:r>
    </w:p>
    <w:p>
      <w:pPr>
        <w:pStyle w:val="ListParagraph"/>
        <w:numPr>
          <w:ilvl w:val="0"/>
          <w:numId w:val="2"/>
        </w:numPr>
        <w:spacing w:after="80" w:line="280"/>
      </w:pPr>
      <w:r>
        <w:t xml:space="preserve">Plan de gobierno continuo (BAU).</w:t>
      </w:r>
    </w:p>
    <w:p>
      <w:pPr>
        <w:pStyle w:val="ListParagraph"/>
        <w:numPr>
          <w:ilvl w:val="0"/>
          <w:numId w:val="2"/>
        </w:numPr>
        <w:spacing w:after="80" w:line="280"/>
      </w:pPr>
      <w:r>
        <w:t xml:space="preserve">Actas de aceptación firmadas por dueños de área.</w:t>
      </w:r>
    </w:p>
    <w:p>
      <w:pPr>
        <w:pStyle w:val="ListParagraph"/>
        <w:numPr>
          <w:ilvl w:val="0"/>
          <w:numId w:val="2"/>
        </w:numPr>
        <w:spacing w:after="80" w:line="280"/>
      </w:pPr>
      <w:r>
        <w:t xml:space="preserve">Esta guía técnica como evidencia del procedimiento.</w:t>
      </w:r>
    </w:p>
    <w:p>
      <w:r>
        <w:br w:type="page"/>
      </w:r>
    </w:p>
    <w:p>
      <w:pPr>
        <w:pStyle w:val="Heading1"/>
        <w:spacing w:after="200" w:before="360"/>
      </w:pPr>
      <w:r>
        <w:t xml:space="preserve">10. Apéndice A — Cuestionario de descubrimiento (para el cliente)</w:t>
      </w:r>
    </w:p>
    <w:p>
      <w:pPr>
        <w:spacing w:after="120" w:before="0" w:line="300"/>
      </w:pPr>
      <w:r>
        <w:t xml:space="preserve">Este cuestionario debe aplicarse durante la Fase 0 en sesiones de entrevista. Se recomienda dividirlo por audiencia: TI/Infraestructura, dueños de datos por área, seguridad/compliance, usuarios finales representativos.</w:t>
      </w:r>
    </w:p>
    <w:p>
      <w:pPr>
        <w:spacing w:after="100"/>
      </w:pPr>
      <w:r>
        <w:t xml:space="preserve"/>
      </w:r>
    </w:p>
    <w:p>
      <w:pPr>
        <w:pStyle w:val="Heading2"/>
        <w:spacing w:after="160" w:before="280"/>
      </w:pPr>
      <w:r>
        <w:t xml:space="preserve">A.1 Sección 1 — Infraestructura y entorno técnico (para 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w:t>
            </w:r>
          </w:p>
        </w:tc>
        <w:tc>
          <w:tcPr>
            <w:tcW w:type="dxa" w:w="51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Pregunta</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1.1</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¿Qué plataforma aloja el repositorio? (Windows Server, NAS Synology/QNAP, Linux Samba, otro)</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1.2</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¿Qué versión de sistema operativo tiene el servidor?</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1.3</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¿Qué protocolo se usa para acceder? (SMB v2, SMB v3, NFS)</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1.4</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¿Cuál es la capacidad total y ocupada del repositorio?</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1.5</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¿Hay más de un file share o servidor? ¿Cuántos?</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1.6</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¿Qué ancho de banda tiene la salida a Internet del servidor?</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1.7</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¿Existe backup del repositorio? ¿Con qué herramienta y frecuencia?</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1.8</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¿RPO y RTO definidos? ¿Cuáles son?</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1.9</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¿Se sincroniza Active Directory con Entra ID? ¿Con qué herramienta (Entra Connect)?</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1.10</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¿Hay antivirus, DLP o EDR corriendo sobre el file share?</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1.11</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¿Existe registro de auditoría de acceso a archivos? ¿Se conserva cuánto tiempo?</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1.12</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¿Hay firewalls o proxies que puedan interferir con conexiones salientes a Azure/M365?</w:t>
            </w:r>
          </w:p>
        </w:tc>
      </w:tr>
    </w:tbl>
    <w:p>
      <w:pPr>
        <w:spacing w:after="100"/>
      </w:pPr>
      <w:r>
        <w:t xml:space="preserve"/>
      </w:r>
    </w:p>
    <w:p>
      <w:pPr>
        <w:pStyle w:val="Heading2"/>
        <w:spacing w:after="160" w:before="280"/>
      </w:pPr>
      <w:r>
        <w:t xml:space="preserve">A.2 Sección 2 — Estructura y contenido (para TI + dueños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w:t>
            </w:r>
          </w:p>
        </w:tc>
        <w:tc>
          <w:tcPr>
            <w:tcW w:type="dxa" w:w="51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Pregunta</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2.1</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¿Cómo está organizada la información en la raíz del repositorio? ¿Departamentos, proyectos, otros?</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2.2</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¿Existe un mapa documentado de la estructura?</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2.3</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¿Cuántos niveles de profundidad tiene en promedio? ¿Cuál es la ruta más profunda?</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2.4</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¿Hay convenciones de nomenclatura para carpetas y archivos?</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2.5</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¿Qué tipos de archivo predominan? (Office, PDF, imágenes, videos, CAD, otros)</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2.6</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¿Existen archivos muy grandes (&gt;1 GB)? ¿Cuántos y de qué tipo?</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2.7</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¿Qué % del contenido considera activo, histórico y obsoleto?</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2.8</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¿Se guarda contenido personal de empleados en el repositorio corporativo?</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2.9</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¿Existe contenido duplicado intencionalmente?</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2.10</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¿Hay archivos abiertos permanentemente por aplicaciones (bases de datos, hojas compartidas)?</w:t>
            </w:r>
          </w:p>
        </w:tc>
      </w:tr>
    </w:tbl>
    <w:p>
      <w:pPr>
        <w:spacing w:after="100"/>
      </w:pPr>
      <w:r>
        <w:t xml:space="preserve"/>
      </w:r>
    </w:p>
    <w:p>
      <w:pPr>
        <w:pStyle w:val="Heading2"/>
        <w:spacing w:after="160" w:before="280"/>
      </w:pPr>
      <w:r>
        <w:t xml:space="preserve">A.3 Sección 3 — Permisos, roles y RBAC (para TI +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w:t>
            </w:r>
          </w:p>
        </w:tc>
        <w:tc>
          <w:tcPr>
            <w:tcW w:type="dxa" w:w="51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Pregunta</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3.1</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¿Los permisos se gestionan por NTFS, por ACL de share, o ambos?</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3.2</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¿Los permisos se asignan por grupos de AD o directamente a usuarios?</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3.3</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¿Cuántos grupos de seguridad de AD están asociados al file share?</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3.4</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¿Hay un modelo RBAC documentado (roles definidos formalmente)?</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3.5</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¿Cuántas carpetas tienen permisos únicos (herencia rota)?</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3.6</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¿Existen usuarios externos, contratistas o proveedores con acceso hoy?</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3.7</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¿Hay carpetas administradas por el equipo directivo con acceso restringido?</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3.8</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¿Los permisos se revisan periódicamente? ¿Con qué frecuencia?</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3.9</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¿Qué proceso siguen hoy para dar/revocar acceso a un usuario?</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3.10</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¿Hay auditoría activa sobre accesos a información sensible?</w:t>
            </w:r>
          </w:p>
        </w:tc>
      </w:tr>
    </w:tbl>
    <w:p>
      <w:pPr>
        <w:spacing w:after="100"/>
      </w:pPr>
      <w:r>
        <w:t xml:space="preserve"/>
      </w:r>
    </w:p>
    <w:p>
      <w:pPr>
        <w:pStyle w:val="Heading2"/>
        <w:spacing w:after="160" w:before="280"/>
      </w:pPr>
      <w:r>
        <w:t xml:space="preserve">A.4 Sección 4 — Gobierno, riesgos y cumplimiento (para seguridad +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w:t>
            </w:r>
          </w:p>
        </w:tc>
        <w:tc>
          <w:tcPr>
            <w:tcW w:type="dxa" w:w="51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Pregunta</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4.1</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¿Qué regulaciones aplican al contenido? (LFPDPPP, GDPR, SOX, HIPAA, etc.)</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4.2</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¿Existen políticas de retención definidas? ¿Cuáles y para qué contenido?</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4.3</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¿Hay contenido con obligación de retención permanente (legal, contable)?</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4.4</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¿Existe una clasificación de sensibilidad de la información?</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4.5</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¿Qué % del contenido contiene datos personales o financieros sensibles?</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4.6</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¿Se han presentado incidentes de fuga de información en el pasado?</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4.7</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¿Qué pasa hoy si un usuario borra información por error?</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4.8</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¿Cuánto tiempo se conservan los respaldos y la papelera del sistema?</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4.9</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¿Hay contenido bajo litigio o retención legal (legal hold)?</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4.10</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¿La compartición externa está permitida o restringida hoy?</w:t>
            </w:r>
          </w:p>
        </w:tc>
      </w:tr>
    </w:tbl>
    <w:p>
      <w:pPr>
        <w:spacing w:after="100"/>
      </w:pPr>
      <w:r>
        <w:t xml:space="preserve"/>
      </w:r>
    </w:p>
    <w:p>
      <w:pPr>
        <w:pStyle w:val="Heading2"/>
        <w:spacing w:after="160" w:before="280"/>
      </w:pPr>
      <w:r>
        <w:t xml:space="preserve">A.5 Sección 5 — Uso operativo y dependencias (para TI + áreas usuarias)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w:t>
            </w:r>
          </w:p>
        </w:tc>
        <w:tc>
          <w:tcPr>
            <w:tcW w:type="dxa" w:w="51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Pregunta</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5.1</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¿Cuántos usuarios activos consumen el repositorio?</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5.2</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¿Cuáles son los horarios pico de uso?</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5.3</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¿Hay aplicaciones LOB (ERP, CRM) que lean o escriban archivos en el repositorio?</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5.4</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¿Hay tareas programadas, scripts o robots que consuman archivos?</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5.5</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¿Existen hojas de Excel con vínculos a rutas de red? ¿Macros?</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5.6</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¿Se usan plantillas con paths hardcodeados?</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5.7</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¿Qué ventana de mantenimiento es aceptable para el cutover?</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5.8</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¿Los usuarios acceden desde fuera de la oficina hoy? ¿Cómo?</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5.9</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¿Se usa OneDrive o SharePoint hoy para algún fin?</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5.10</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¿Hay Microsoft Teams activo? ¿Con qué uso?</w:t>
            </w:r>
          </w:p>
        </w:tc>
      </w:tr>
    </w:tbl>
    <w:p>
      <w:pPr>
        <w:spacing w:after="100"/>
      </w:pPr>
      <w:r>
        <w:t xml:space="preserve"/>
      </w:r>
    </w:p>
    <w:p>
      <w:pPr>
        <w:pStyle w:val="Heading2"/>
        <w:spacing w:after="160" w:before="280"/>
      </w:pPr>
      <w:r>
        <w:t xml:space="preserve">A.6 Sección 6 — Expectativas y visión (para patrocinador + dirección)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w:t>
            </w:r>
          </w:p>
        </w:tc>
        <w:tc>
          <w:tcPr>
            <w:tcW w:type="dxa" w:w="51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Pregunta</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6.1</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¿Por qué se decidió migrar a SharePoint Online?</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6.2</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¿Qué beneficios espera obtener?</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6.3</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¿Se desea replicar la estructura actual o reorganizarla?</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6.4</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¿Qué áreas son prioritarias para migrar primero?</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6.5</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¿Existe una fecha objetivo o límite para completar la migración?</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6.6</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¿Cuál es el presupuesto asignado al proyecto?</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6.7</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¿Hay un patrocinador ejecutivo identificado?</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6.8</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¿Se desea integrar la migración con Microsoft Teams?</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6.9</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¿Se contempla usar Copilot / IA generativa sobre el contenido migrado?</w:t>
            </w:r>
          </w:p>
        </w:tc>
      </w:tr>
      <w:tr>
        <w:tc>
          <w:tcPr>
            <w:tcW w:type="dxa" w:w="4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6.10</w:t>
            </w:r>
          </w:p>
        </w:tc>
        <w:tc>
          <w:tcPr>
            <w:tcW w:type="dxa" w:w="5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¿Qué considera un éxito para este proyecto?</w:t>
            </w:r>
          </w:p>
        </w:tc>
      </w:tr>
    </w:tbl>
    <w:p>
      <w:r>
        <w:br w:type="page"/>
      </w:r>
    </w:p>
    <w:p>
      <w:pPr>
        <w:pStyle w:val="Heading1"/>
        <w:spacing w:after="200" w:before="360"/>
      </w:pPr>
      <w:r>
        <w:t xml:space="preserve">11. Apéndice B — Plantilla de mapeo origen → destino</w:t>
      </w:r>
    </w:p>
    <w:p>
      <w:pPr>
        <w:spacing w:after="120" w:before="0" w:line="300"/>
      </w:pPr>
      <w:r>
        <w:t xml:space="preserve">Esta plantilla es el documento maestro de la migración. Debe completarse durante la Fase 1 (diseño) con base en el descubrimiento de la Fase 0, y usarse como referencia durante toda la ejecución. Se recomienda mantenerla en un archivo Excel compartido con control de versiones.</w:t>
      </w:r>
    </w:p>
    <w:p>
      <w:pPr>
        <w:spacing w:after="100"/>
      </w:pPr>
      <w:r>
        <w:t xml:space="preserve"/>
      </w:r>
    </w:p>
    <w:p>
      <w:pPr>
        <w:pStyle w:val="Heading2"/>
        <w:spacing w:after="160" w:before="280"/>
      </w:pPr>
      <w:r>
        <w:t xml:space="preserve">B.1 Estructura de la plantilla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rPr>
          <w:tblHeader/>
        </w:trPr>
        <w:tc>
          <w:tcPr>
            <w:tcW w:type="dxa" w:w="18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Columna</w:t>
            </w:r>
          </w:p>
        </w:tc>
        <w:tc>
          <w:tcPr>
            <w:tcW w:type="dxa" w:w="35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Tipo</w:t>
            </w:r>
          </w:p>
        </w:tc>
        <w:tc>
          <w:tcPr>
            <w:tcW w:type="dxa" w:w="40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Descripción</w:t>
            </w:r>
          </w:p>
        </w:tc>
      </w:tr>
      <w:tr>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ID</w:t>
            </w:r>
          </w:p>
        </w:tc>
        <w:tc>
          <w:tcPr>
            <w:tcW w:type="dxa" w:w="3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Texto</w:t>
            </w:r>
          </w:p>
        </w:tc>
        <w:tc>
          <w:tcPr>
            <w:tcW w:type="dxa" w:w="4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Identificador único (ej: MAP-001)</w:t>
            </w:r>
          </w:p>
        </w:tc>
      </w:tr>
      <w:tr>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Área/Departamento</w:t>
            </w:r>
          </w:p>
        </w:tc>
        <w:tc>
          <w:tcPr>
            <w:tcW w:type="dxa" w:w="3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Texto</w:t>
            </w:r>
          </w:p>
        </w:tc>
        <w:tc>
          <w:tcPr>
            <w:tcW w:type="dxa" w:w="4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Área funcional dueña del contenido</w:t>
            </w:r>
          </w:p>
        </w:tc>
      </w:tr>
      <w:tr>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Ruta origen</w:t>
            </w:r>
          </w:p>
        </w:tc>
        <w:tc>
          <w:tcPr>
            <w:tcW w:type="dxa" w:w="3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Texto</w:t>
            </w:r>
          </w:p>
        </w:tc>
        <w:tc>
          <w:tcPr>
            <w:tcW w:type="dxa" w:w="4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Ruta UNC completa (ej: \\srv\Finanzas\2024)</w:t>
            </w:r>
          </w:p>
        </w:tc>
      </w:tr>
      <w:tr>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Tamaño (GB)</w:t>
            </w:r>
          </w:p>
        </w:tc>
        <w:tc>
          <w:tcPr>
            <w:tcW w:type="dxa" w:w="3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Número</w:t>
            </w:r>
          </w:p>
        </w:tc>
        <w:tc>
          <w:tcPr>
            <w:tcW w:type="dxa" w:w="4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Tamaño estimado en GB</w:t>
            </w:r>
          </w:p>
        </w:tc>
      </w:tr>
      <w:tr>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archivos</w:t>
            </w:r>
          </w:p>
        </w:tc>
        <w:tc>
          <w:tcPr>
            <w:tcW w:type="dxa" w:w="3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Número</w:t>
            </w:r>
          </w:p>
        </w:tc>
        <w:tc>
          <w:tcPr>
            <w:tcW w:type="dxa" w:w="4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Cantidad estimada de archivos</w:t>
            </w:r>
          </w:p>
        </w:tc>
      </w:tr>
      <w:tr>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Sitio destino</w:t>
            </w:r>
          </w:p>
        </w:tc>
        <w:tc>
          <w:tcPr>
            <w:tcW w:type="dxa" w:w="3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Texto</w:t>
            </w:r>
          </w:p>
        </w:tc>
        <w:tc>
          <w:tcPr>
            <w:tcW w:type="dxa" w:w="4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URL del sitio SharePoint (ej: /sites/Finanzas)</w:t>
            </w:r>
          </w:p>
        </w:tc>
      </w:tr>
      <w:tr>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Biblioteca destino</w:t>
            </w:r>
          </w:p>
        </w:tc>
        <w:tc>
          <w:tcPr>
            <w:tcW w:type="dxa" w:w="3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Texto</w:t>
            </w:r>
          </w:p>
        </w:tc>
        <w:tc>
          <w:tcPr>
            <w:tcW w:type="dxa" w:w="4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Nombre de biblioteca (Documents, 2024, etc.)</w:t>
            </w:r>
          </w:p>
        </w:tc>
      </w:tr>
      <w:tr>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Ola de migración</w:t>
            </w:r>
          </w:p>
        </w:tc>
        <w:tc>
          <w:tcPr>
            <w:tcW w:type="dxa" w:w="3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Número</w:t>
            </w:r>
          </w:p>
        </w:tc>
        <w:tc>
          <w:tcPr>
            <w:tcW w:type="dxa" w:w="4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Número de ola (Piloto, 1, 2, 3, ...)</w:t>
            </w:r>
          </w:p>
        </w:tc>
      </w:tr>
      <w:tr>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Owner Group (SharePoint)</w:t>
            </w:r>
          </w:p>
        </w:tc>
        <w:tc>
          <w:tcPr>
            <w:tcW w:type="dxa" w:w="3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Texto</w:t>
            </w:r>
          </w:p>
        </w:tc>
        <w:tc>
          <w:tcPr>
            <w:tcW w:type="dxa" w:w="4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Grupo que será Owners del sitio</w:t>
            </w:r>
          </w:p>
        </w:tc>
      </w:tr>
      <w:tr>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Members Group</w:t>
            </w:r>
          </w:p>
        </w:tc>
        <w:tc>
          <w:tcPr>
            <w:tcW w:type="dxa" w:w="3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Texto</w:t>
            </w:r>
          </w:p>
        </w:tc>
        <w:tc>
          <w:tcPr>
            <w:tcW w:type="dxa" w:w="4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Grupo que será Members</w:t>
            </w:r>
          </w:p>
        </w:tc>
      </w:tr>
      <w:tr>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Visitors Group</w:t>
            </w:r>
          </w:p>
        </w:tc>
        <w:tc>
          <w:tcPr>
            <w:tcW w:type="dxa" w:w="3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Texto</w:t>
            </w:r>
          </w:p>
        </w:tc>
        <w:tc>
          <w:tcPr>
            <w:tcW w:type="dxa" w:w="4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Grupo que será Visitors (si aplica)</w:t>
            </w:r>
          </w:p>
        </w:tc>
      </w:tr>
      <w:tr>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Sensibilidad</w:t>
            </w:r>
          </w:p>
        </w:tc>
        <w:tc>
          <w:tcPr>
            <w:tcW w:type="dxa" w:w="3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Enum</w:t>
            </w:r>
          </w:p>
        </w:tc>
        <w:tc>
          <w:tcPr>
            <w:tcW w:type="dxa" w:w="4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Pública / Interna / Confidencial / Restringida</w:t>
            </w:r>
          </w:p>
        </w:tc>
      </w:tr>
      <w:tr>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Retención (años)</w:t>
            </w:r>
          </w:p>
        </w:tc>
        <w:tc>
          <w:tcPr>
            <w:tcW w:type="dxa" w:w="3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Número</w:t>
            </w:r>
          </w:p>
        </w:tc>
        <w:tc>
          <w:tcPr>
            <w:tcW w:type="dxa" w:w="4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Política de retención aplicable</w:t>
            </w:r>
          </w:p>
        </w:tc>
      </w:tr>
      <w:tr>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Compartición externa</w:t>
            </w:r>
          </w:p>
        </w:tc>
        <w:tc>
          <w:tcPr>
            <w:tcW w:type="dxa" w:w="3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Enum</w:t>
            </w:r>
          </w:p>
        </w:tc>
        <w:tc>
          <w:tcPr>
            <w:tcW w:type="dxa" w:w="4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Permitida / Denegada</w:t>
            </w:r>
          </w:p>
        </w:tc>
      </w:tr>
      <w:tr>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Observaciones</w:t>
            </w:r>
          </w:p>
        </w:tc>
        <w:tc>
          <w:tcPr>
            <w:tcW w:type="dxa" w:w="3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Texto</w:t>
            </w:r>
          </w:p>
        </w:tc>
        <w:tc>
          <w:tcPr>
            <w:tcW w:type="dxa" w:w="4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Notas: metadata custom, permisos únicos, riesgos</w:t>
            </w:r>
          </w:p>
        </w:tc>
      </w:tr>
      <w:tr>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Estatus</w:t>
            </w:r>
          </w:p>
        </w:tc>
        <w:tc>
          <w:tcPr>
            <w:tcW w:type="dxa" w:w="3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Enum</w:t>
            </w:r>
          </w:p>
        </w:tc>
        <w:tc>
          <w:tcPr>
            <w:tcW w:type="dxa" w:w="4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Pendiente / Prescan / Migrado / Validado / Cerrado</w:t>
            </w:r>
          </w:p>
        </w:tc>
      </w:tr>
    </w:tbl>
    <w:p>
      <w:pPr>
        <w:spacing w:after="100"/>
      </w:pPr>
      <w:r>
        <w:t xml:space="preserve"/>
      </w:r>
    </w:p>
    <w:p>
      <w:pPr>
        <w:pStyle w:val="Heading2"/>
        <w:spacing w:after="160" w:before="280"/>
      </w:pPr>
      <w:r>
        <w:t xml:space="preserve">B.2 Ejemplo completo (5 filas)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8C8C" w:sz="4"/>
              <w:left w:val="single" w:color="8C8C8C" w:sz="4"/>
              <w:bottom w:val="single" w:color="8C8C8C" w:sz="4"/>
              <w:right w:val="single" w:color="8C8C8C" w:sz="4"/>
            </w:tcBorders>
            <w:shd w:fill="F2F2F2" w:val="clear"/>
            <w:tcMar>
              <w:top w:type="dxa" w:w="120"/>
              <w:left w:type="dxa" w:w="160"/>
              <w:bottom w:type="dxa" w:w="120"/>
              <w:right w:type="dxa" w:w="160"/>
            </w:tcMar>
          </w:tcPr>
          <w:p>
            <w:pPr>
              <w:spacing w:after="40" w:line="260"/>
            </w:pPr>
            <w:r>
              <w:rPr>
                <w:rFonts w:ascii="Consolas" w:cs="Consolas" w:eastAsia="Consolas" w:hAnsi="Consolas"/>
                <w:color w:val="262626"/>
                <w:sz w:val="20"/>
                <w:szCs w:val="20"/>
              </w:rPr>
              <w:t xml:space="preserve">ID       | Área      | Ruta origen                     | GB   | Sitio destino    | Biblioteca | Ola | Sensibilidad | Retención</w:t>
            </w:r>
          </w:p>
          <w:p>
            <w:pPr>
              <w:spacing w:after="40" w:line="260"/>
            </w:pPr>
            <w:r>
              <w:rPr>
                <w:rFonts w:ascii="Consolas" w:cs="Consolas" w:eastAsia="Consolas" w:hAnsi="Consolas"/>
                <w:color w:val="262626"/>
                <w:sz w:val="20"/>
                <w:szCs w:val="20"/>
              </w:rPr>
              <w:t xml:space="preserve">---------|-----------|----------------------------------|------|------------------|------------|-----|--------------|----------</w:t>
            </w:r>
          </w:p>
          <w:p>
            <w:pPr>
              <w:spacing w:after="40" w:line="260"/>
            </w:pPr>
            <w:r>
              <w:rPr>
                <w:rFonts w:ascii="Consolas" w:cs="Consolas" w:eastAsia="Consolas" w:hAnsi="Consolas"/>
                <w:color w:val="262626"/>
                <w:sz w:val="20"/>
                <w:szCs w:val="20"/>
              </w:rPr>
              <w:t xml:space="preserve">MAP-001  | RH        | \\srv\RRHH\Expedientes         | 120  | /sites/RH        | Expedientes| 1   | Confidencial | 10 años</w:t>
            </w:r>
          </w:p>
          <w:p>
            <w:pPr>
              <w:spacing w:after="40" w:line="260"/>
            </w:pPr>
            <w:r>
              <w:rPr>
                <w:rFonts w:ascii="Consolas" w:cs="Consolas" w:eastAsia="Consolas" w:hAnsi="Consolas"/>
                <w:color w:val="262626"/>
                <w:sz w:val="20"/>
                <w:szCs w:val="20"/>
              </w:rPr>
              <w:t xml:space="preserve">MAP-002  | RH        | \\srv\RRHH\Politicas           | 5    | /sites/RH        | Políticas  | 1   | Interna      | 5 años</w:t>
            </w:r>
          </w:p>
          <w:p>
            <w:pPr>
              <w:spacing w:after="40" w:line="260"/>
            </w:pPr>
            <w:r>
              <w:rPr>
                <w:rFonts w:ascii="Consolas" w:cs="Consolas" w:eastAsia="Consolas" w:hAnsi="Consolas"/>
                <w:color w:val="262626"/>
                <w:sz w:val="20"/>
                <w:szCs w:val="20"/>
              </w:rPr>
              <w:t xml:space="preserve">MAP-003  | Finanzas  | \\srv\Finanzas\2024            | 180  | /sites/Finanzas  | 2024       | 2   | Confidencial | 10 años</w:t>
            </w:r>
          </w:p>
          <w:p>
            <w:pPr>
              <w:spacing w:after="40" w:line="260"/>
            </w:pPr>
            <w:r>
              <w:rPr>
                <w:rFonts w:ascii="Consolas" w:cs="Consolas" w:eastAsia="Consolas" w:hAnsi="Consolas"/>
                <w:color w:val="262626"/>
                <w:sz w:val="20"/>
                <w:szCs w:val="20"/>
              </w:rPr>
              <w:t xml:space="preserve">MAP-004  | Ventas    | \\srv\Ventas\Clientes          | 250  | /sites/Ventas    | Clientes   | 3   | Interna      | 7 años</w:t>
            </w:r>
          </w:p>
          <w:p>
            <w:pPr>
              <w:spacing w:after="40" w:line="260"/>
            </w:pPr>
            <w:r>
              <w:rPr>
                <w:rFonts w:ascii="Consolas" w:cs="Consolas" w:eastAsia="Consolas" w:hAnsi="Consolas"/>
                <w:color w:val="262626"/>
                <w:sz w:val="20"/>
                <w:szCs w:val="20"/>
              </w:rPr>
              <w:t xml:space="preserve">MAP-005  | -         | \\srv\TEMP                     | 80   | NO MIGRAR        | -          | -   | -            | Purgar</w:t>
            </w:r>
          </w:p>
        </w:tc>
      </w:tr>
    </w:tbl>
    <w:p>
      <w:pPr>
        <w:spacing w:after="100"/>
      </w:pPr>
      <w:r>
        <w:t xml:space="preserve"/>
      </w:r>
    </w:p>
    <w:p>
      <w:pPr>
        <w:pStyle w:val="Heading2"/>
        <w:spacing w:after="160" w:before="280"/>
      </w:pPr>
      <w:r>
        <w:t xml:space="preserve">B.3 Buenas prácticas para el mapeo</w:t>
      </w:r>
    </w:p>
    <w:p>
      <w:pPr>
        <w:pStyle w:val="ListParagraph"/>
        <w:numPr>
          <w:ilvl w:val="0"/>
          <w:numId w:val="2"/>
        </w:numPr>
        <w:spacing w:after="80" w:line="280"/>
      </w:pPr>
      <w:r>
        <w:t xml:space="preserve">No mapear a ciegas: cada línea debe haber sido validada con el dueño de datos del área.</w:t>
      </w:r>
    </w:p>
    <w:p>
      <w:pPr>
        <w:pStyle w:val="ListParagraph"/>
        <w:numPr>
          <w:ilvl w:val="0"/>
          <w:numId w:val="2"/>
        </w:numPr>
        <w:spacing w:after="80" w:line="280"/>
      </w:pPr>
      <w:r>
        <w:t xml:space="preserve">Consolidar cuando sea posible: 20 carpetas raíz de un departamento pueden convertirse en 3 bibliotecas con metadatos.</w:t>
      </w:r>
    </w:p>
    <w:p>
      <w:pPr>
        <w:pStyle w:val="ListParagraph"/>
        <w:numPr>
          <w:ilvl w:val="0"/>
          <w:numId w:val="2"/>
        </w:numPr>
        <w:spacing w:after="80" w:line="280"/>
      </w:pPr>
      <w:r>
        <w:t xml:space="preserve">Documentar decisiones controversiales (ej: por qué se eliminó tal carpeta) con firma del dueño.</w:t>
      </w:r>
    </w:p>
    <w:p>
      <w:pPr>
        <w:pStyle w:val="ListParagraph"/>
        <w:numPr>
          <w:ilvl w:val="0"/>
          <w:numId w:val="2"/>
        </w:numPr>
        <w:spacing w:after="80" w:line="280"/>
      </w:pPr>
      <w:r>
        <w:t xml:space="preserve">Mantener versiones de la plantilla y trazabilidad de cambios.</w:t>
      </w:r>
    </w:p>
    <w:p>
      <w:pPr>
        <w:pStyle w:val="ListParagraph"/>
        <w:numPr>
          <w:ilvl w:val="0"/>
          <w:numId w:val="2"/>
        </w:numPr>
        <w:spacing w:after="80" w:line="280"/>
      </w:pPr>
      <w:r>
        <w:t xml:space="preserve">Etiquetar claramente el contenido a NO migrar y guardar evidencia del acuerdo con el cliente.</w:t>
      </w:r>
    </w:p>
    <w:p>
      <w:r>
        <w:br w:type="page"/>
      </w:r>
    </w:p>
    <w:p>
      <w:pPr>
        <w:pStyle w:val="Heading1"/>
        <w:spacing w:after="200" w:before="360"/>
      </w:pPr>
      <w:r>
        <w:t xml:space="preserve">12. Apéndice C — Matriz de permisos y modelo de grupos</w:t>
      </w:r>
    </w:p>
    <w:p>
      <w:pPr>
        <w:spacing w:after="120" w:before="0" w:line="300"/>
      </w:pPr>
      <w:r>
        <w:t xml:space="preserve">Este apéndice documenta el modelo de permisos completo del proyecto: qué grupos existen, quiénes los conforman, qué acceso otorgan, y cuál es el proceso para modificarlos. Es el documento de referencia para el equipo de seguridad y para futuras auditorías.</w:t>
      </w:r>
    </w:p>
    <w:p>
      <w:pPr>
        <w:spacing w:after="100"/>
      </w:pPr>
      <w:r>
        <w:t xml:space="preserve"/>
      </w:r>
    </w:p>
    <w:p>
      <w:pPr>
        <w:pStyle w:val="Heading2"/>
        <w:spacing w:after="160" w:before="280"/>
      </w:pPr>
      <w:r>
        <w:t xml:space="preserve">C.1 Nomenclatura de grupos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8C8C" w:sz="4"/>
              <w:left w:val="single" w:color="8C8C8C" w:sz="4"/>
              <w:bottom w:val="single" w:color="8C8C8C" w:sz="4"/>
              <w:right w:val="single" w:color="8C8C8C" w:sz="4"/>
            </w:tcBorders>
            <w:shd w:fill="F2F2F2" w:val="clear"/>
            <w:tcMar>
              <w:top w:type="dxa" w:w="120"/>
              <w:left w:type="dxa" w:w="160"/>
              <w:bottom w:type="dxa" w:w="120"/>
              <w:right w:type="dxa" w:w="160"/>
            </w:tcMar>
          </w:tcPr>
          <w:p>
            <w:pPr>
              <w:spacing w:after="40" w:line="260"/>
            </w:pPr>
            <w:r>
              <w:rPr>
                <w:rFonts w:ascii="Consolas" w:cs="Consolas" w:eastAsia="Consolas" w:hAnsi="Consolas"/>
                <w:color w:val="262626"/>
                <w:sz w:val="20"/>
                <w:szCs w:val="20"/>
              </w:rPr>
              <w:t xml:space="preserve">Formato general:  SP-&lt;Área&gt;-&lt;Rol&gt;</w:t>
            </w:r>
          </w:p>
          <w:p>
            <w:pPr>
              <w:spacing w:after="40" w:line="260"/>
            </w:pPr>
            <w:r>
              <w:rPr>
                <w:rFonts w:ascii="Consolas" w:cs="Consolas" w:eastAsia="Consolas" w:hAnsi="Consolas"/>
                <w:color w:val="262626"/>
                <w:sz w:val="20"/>
                <w:szCs w:val="20"/>
              </w:rPr>
              <w:t xml:space="preserve"/>
            </w:r>
          </w:p>
          <w:p>
            <w:pPr>
              <w:spacing w:after="40" w:line="260"/>
            </w:pPr>
            <w:r>
              <w:rPr>
                <w:rFonts w:ascii="Consolas" w:cs="Consolas" w:eastAsia="Consolas" w:hAnsi="Consolas"/>
                <w:color w:val="262626"/>
                <w:sz w:val="20"/>
                <w:szCs w:val="20"/>
              </w:rPr>
              <w:t xml:space="preserve">Roles estándar:</w:t>
            </w:r>
          </w:p>
          <w:p>
            <w:pPr>
              <w:spacing w:after="40" w:line="260"/>
            </w:pPr>
            <w:r>
              <w:rPr>
                <w:rFonts w:ascii="Consolas" w:cs="Consolas" w:eastAsia="Consolas" w:hAnsi="Consolas"/>
                <w:color w:val="262626"/>
                <w:sz w:val="20"/>
                <w:szCs w:val="20"/>
              </w:rPr>
              <w:t xml:space="preserve">  Owners           Control total del sitio</w:t>
            </w:r>
          </w:p>
          <w:p>
            <w:pPr>
              <w:spacing w:after="40" w:line="260"/>
            </w:pPr>
            <w:r>
              <w:rPr>
                <w:rFonts w:ascii="Consolas" w:cs="Consolas" w:eastAsia="Consolas" w:hAnsi="Consolas"/>
                <w:color w:val="262626"/>
                <w:sz w:val="20"/>
                <w:szCs w:val="20"/>
              </w:rPr>
              <w:t xml:space="preserve">  Members          Editar (crear, modificar, eliminar)</w:t>
            </w:r>
          </w:p>
          <w:p>
            <w:pPr>
              <w:spacing w:after="40" w:line="260"/>
            </w:pPr>
            <w:r>
              <w:rPr>
                <w:rFonts w:ascii="Consolas" w:cs="Consolas" w:eastAsia="Consolas" w:hAnsi="Consolas"/>
                <w:color w:val="262626"/>
                <w:sz w:val="20"/>
                <w:szCs w:val="20"/>
              </w:rPr>
              <w:t xml:space="preserve">  Visitors         Solo lectura</w:t>
            </w:r>
          </w:p>
          <w:p>
            <w:pPr>
              <w:spacing w:after="40" w:line="260"/>
            </w:pPr>
            <w:r>
              <w:rPr>
                <w:rFonts w:ascii="Consolas" w:cs="Consolas" w:eastAsia="Consolas" w:hAnsi="Consolas"/>
                <w:color w:val="262626"/>
                <w:sz w:val="20"/>
                <w:szCs w:val="20"/>
              </w:rPr>
              <w:t xml:space="preserve"/>
            </w:r>
          </w:p>
          <w:p>
            <w:pPr>
              <w:spacing w:after="40" w:line="260"/>
            </w:pPr>
            <w:r>
              <w:rPr>
                <w:rFonts w:ascii="Consolas" w:cs="Consolas" w:eastAsia="Consolas" w:hAnsi="Consolas"/>
                <w:color w:val="262626"/>
                <w:sz w:val="20"/>
                <w:szCs w:val="20"/>
              </w:rPr>
              <w:t xml:space="preserve">Ejemplos:</w:t>
            </w:r>
          </w:p>
          <w:p>
            <w:pPr>
              <w:spacing w:after="40" w:line="260"/>
            </w:pPr>
            <w:r>
              <w:rPr>
                <w:rFonts w:ascii="Consolas" w:cs="Consolas" w:eastAsia="Consolas" w:hAnsi="Consolas"/>
                <w:color w:val="262626"/>
                <w:sz w:val="20"/>
                <w:szCs w:val="20"/>
              </w:rPr>
              <w:t xml:space="preserve">  SP-RH-Owners             Dueños del sitio de Recursos Humanos</w:t>
            </w:r>
          </w:p>
          <w:p>
            <w:pPr>
              <w:spacing w:after="40" w:line="260"/>
            </w:pPr>
            <w:r>
              <w:rPr>
                <w:rFonts w:ascii="Consolas" w:cs="Consolas" w:eastAsia="Consolas" w:hAnsi="Consolas"/>
                <w:color w:val="262626"/>
                <w:sz w:val="20"/>
                <w:szCs w:val="20"/>
              </w:rPr>
              <w:t xml:space="preserve">  SP-RH-Members            Miembros de RH con edición</w:t>
            </w:r>
          </w:p>
          <w:p>
            <w:pPr>
              <w:spacing w:after="40" w:line="260"/>
            </w:pPr>
            <w:r>
              <w:rPr>
                <w:rFonts w:ascii="Consolas" w:cs="Consolas" w:eastAsia="Consolas" w:hAnsi="Consolas"/>
                <w:color w:val="262626"/>
                <w:sz w:val="20"/>
                <w:szCs w:val="20"/>
              </w:rPr>
              <w:t xml:space="preserve">  SP-RH-Visitors           Áreas con acceso de lectura a RH</w:t>
            </w:r>
          </w:p>
          <w:p>
            <w:pPr>
              <w:spacing w:after="40" w:line="260"/>
            </w:pPr>
            <w:r>
              <w:rPr>
                <w:rFonts w:ascii="Consolas" w:cs="Consolas" w:eastAsia="Consolas" w:hAnsi="Consolas"/>
                <w:color w:val="262626"/>
                <w:sz w:val="20"/>
                <w:szCs w:val="20"/>
              </w:rPr>
              <w:t xml:space="preserve">  SP-Finanzas-Members-Contadores   Grupo especializado dentro de Finanzas</w:t>
            </w:r>
          </w:p>
          <w:p>
            <w:pPr>
              <w:spacing w:after="40" w:line="260"/>
            </w:pPr>
            <w:r>
              <w:rPr>
                <w:rFonts w:ascii="Consolas" w:cs="Consolas" w:eastAsia="Consolas" w:hAnsi="Consolas"/>
                <w:color w:val="262626"/>
                <w:sz w:val="20"/>
                <w:szCs w:val="20"/>
              </w:rPr>
              <w:t xml:space="preserve"/>
            </w:r>
          </w:p>
          <w:p>
            <w:pPr>
              <w:spacing w:after="40" w:line="260"/>
            </w:pPr>
            <w:r>
              <w:rPr>
                <w:rFonts w:ascii="Consolas" w:cs="Consolas" w:eastAsia="Consolas" w:hAnsi="Consolas"/>
                <w:color w:val="262626"/>
                <w:sz w:val="20"/>
                <w:szCs w:val="20"/>
              </w:rPr>
              <w:t xml:space="preserve">Prefijos especiales:</w:t>
            </w:r>
          </w:p>
          <w:p>
            <w:pPr>
              <w:spacing w:after="40" w:line="260"/>
            </w:pPr>
            <w:r>
              <w:rPr>
                <w:rFonts w:ascii="Consolas" w:cs="Consolas" w:eastAsia="Consolas" w:hAnsi="Consolas"/>
                <w:color w:val="262626"/>
                <w:sz w:val="20"/>
                <w:szCs w:val="20"/>
              </w:rPr>
              <w:t xml:space="preserve">  SEC-  Grupo de seguridad AD/Entra ID que se anida</w:t>
            </w:r>
          </w:p>
          <w:p>
            <w:pPr>
              <w:spacing w:after="40" w:line="260"/>
            </w:pPr>
            <w:r>
              <w:rPr>
                <w:rFonts w:ascii="Consolas" w:cs="Consolas" w:eastAsia="Consolas" w:hAnsi="Consolas"/>
                <w:color w:val="262626"/>
                <w:sz w:val="20"/>
                <w:szCs w:val="20"/>
              </w:rPr>
              <w:t xml:space="preserve">  M365- Grupo Microsoft 365 con buzón + Teams</w:t>
            </w:r>
          </w:p>
        </w:tc>
      </w:tr>
    </w:tbl>
    <w:p>
      <w:pPr>
        <w:spacing w:after="100"/>
      </w:pPr>
      <w:r>
        <w:t xml:space="preserve"/>
      </w:r>
    </w:p>
    <w:p>
      <w:pPr>
        <w:pStyle w:val="Heading2"/>
        <w:spacing w:after="160" w:before="280"/>
      </w:pPr>
      <w:r>
        <w:t xml:space="preserve">C.2 Matriz consolidada por sitio (ejemplo)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200"/>
        <w:gridCol w:w="1400"/>
        <w:gridCol w:w="1660"/>
      </w:tblGrid>
      <w:tr>
        <w:trPr>
          <w:tblHeader/>
        </w:trPr>
        <w:tc>
          <w:tcPr>
            <w:tcW w:type="dxa" w:w="19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Sitio</w:t>
            </w:r>
          </w:p>
        </w:tc>
        <w:tc>
          <w:tcPr>
            <w:tcW w:type="dxa" w:w="22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Grupo Owners</w:t>
            </w:r>
          </w:p>
        </w:tc>
        <w:tc>
          <w:tcPr>
            <w:tcW w:type="dxa" w:w="22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Grupo Members</w:t>
            </w:r>
          </w:p>
        </w:tc>
        <w:tc>
          <w:tcPr>
            <w:tcW w:type="dxa" w:w="14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Grupo Visitors</w:t>
            </w:r>
          </w:p>
        </w:tc>
        <w:tc>
          <w:tcPr>
            <w:tcW w:type="dxa" w:w="16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Externos</w:t>
            </w:r>
          </w:p>
        </w:tc>
      </w:tr>
      <w:tr>
        <w:tc>
          <w:tcPr>
            <w:tcW w:type="dxa" w:w="19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Intranet</w:t>
            </w:r>
          </w:p>
        </w:tc>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SP-Intranet-Owners</w:t>
            </w:r>
          </w:p>
        </w:tc>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SP-Intranet-Editores</w:t>
            </w:r>
          </w:p>
        </w:tc>
        <w:tc>
          <w:tcPr>
            <w:tcW w:type="dxa" w:w="1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M365-Todos</w:t>
            </w:r>
          </w:p>
        </w:tc>
        <w:tc>
          <w:tcPr>
            <w:tcW w:type="dxa" w:w="16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No</w:t>
            </w:r>
          </w:p>
        </w:tc>
      </w:tr>
      <w:tr>
        <w:tc>
          <w:tcPr>
            <w:tcW w:type="dxa" w:w="19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RH</w:t>
            </w:r>
          </w:p>
        </w:tc>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SP-RH-Owners</w:t>
            </w:r>
          </w:p>
        </w:tc>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SP-RH-Members</w:t>
            </w:r>
          </w:p>
        </w:tc>
        <w:tc>
          <w:tcPr>
            <w:tcW w:type="dxa" w:w="1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SP-Directivos-Read</w:t>
            </w:r>
          </w:p>
        </w:tc>
        <w:tc>
          <w:tcPr>
            <w:tcW w:type="dxa" w:w="16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No</w:t>
            </w:r>
          </w:p>
        </w:tc>
      </w:tr>
      <w:tr>
        <w:tc>
          <w:tcPr>
            <w:tcW w:type="dxa" w:w="19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Finanzas</w:t>
            </w:r>
          </w:p>
        </w:tc>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SP-Fin-Owners</w:t>
            </w:r>
          </w:p>
        </w:tc>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SP-Fin-Members</w:t>
            </w:r>
          </w:p>
        </w:tc>
        <w:tc>
          <w:tcPr>
            <w:tcW w:type="dxa" w:w="1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SP-Directivos-Read</w:t>
            </w:r>
          </w:p>
        </w:tc>
        <w:tc>
          <w:tcPr>
            <w:tcW w:type="dxa" w:w="16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No</w:t>
            </w:r>
          </w:p>
        </w:tc>
      </w:tr>
      <w:tr>
        <w:tc>
          <w:tcPr>
            <w:tcW w:type="dxa" w:w="19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Ventas</w:t>
            </w:r>
          </w:p>
        </w:tc>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SP-Ventas-Owners</w:t>
            </w:r>
          </w:p>
        </w:tc>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SP-Ventas-Members</w:t>
            </w:r>
          </w:p>
        </w:tc>
        <w:tc>
          <w:tcPr>
            <w:tcW w:type="dxa" w:w="1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SP-Marketing-Read</w:t>
            </w:r>
          </w:p>
        </w:tc>
        <w:tc>
          <w:tcPr>
            <w:tcW w:type="dxa" w:w="16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Sí (invitados con exp. 90 días)</w:t>
            </w:r>
          </w:p>
        </w:tc>
      </w:tr>
      <w:tr>
        <w:tc>
          <w:tcPr>
            <w:tcW w:type="dxa" w:w="19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Operaciones</w:t>
            </w:r>
          </w:p>
        </w:tc>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SP-Ops-Owners</w:t>
            </w:r>
          </w:p>
        </w:tc>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SP-Ops-Members</w:t>
            </w:r>
          </w:p>
        </w:tc>
        <w:tc>
          <w:tcPr>
            <w:tcW w:type="dxa" w:w="1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w:t>
            </w:r>
          </w:p>
        </w:tc>
        <w:tc>
          <w:tcPr>
            <w:tcW w:type="dxa" w:w="16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Sí (proveedores)</w:t>
            </w:r>
          </w:p>
        </w:tc>
      </w:tr>
      <w:tr>
        <w:tc>
          <w:tcPr>
            <w:tcW w:type="dxa" w:w="19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TI</w:t>
            </w:r>
          </w:p>
        </w:tc>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SP-TI-Owners</w:t>
            </w:r>
          </w:p>
        </w:tc>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SP-TI-Members</w:t>
            </w:r>
          </w:p>
        </w:tc>
        <w:tc>
          <w:tcPr>
            <w:tcW w:type="dxa" w:w="1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SP-TI-Read</w:t>
            </w:r>
          </w:p>
        </w:tc>
        <w:tc>
          <w:tcPr>
            <w:tcW w:type="dxa" w:w="16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No</w:t>
            </w:r>
          </w:p>
        </w:tc>
      </w:tr>
      <w:tr>
        <w:tc>
          <w:tcPr>
            <w:tcW w:type="dxa" w:w="19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Legal</w:t>
            </w:r>
          </w:p>
        </w:tc>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SP-Legal-Owners</w:t>
            </w:r>
          </w:p>
        </w:tc>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SP-Legal-Members</w:t>
            </w:r>
          </w:p>
        </w:tc>
        <w:tc>
          <w:tcPr>
            <w:tcW w:type="dxa" w:w="1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w:t>
            </w:r>
          </w:p>
        </w:tc>
        <w:tc>
          <w:tcPr>
            <w:tcW w:type="dxa" w:w="16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Sí (bufetes externos con exp. 30 días)</w:t>
            </w:r>
          </w:p>
        </w:tc>
      </w:tr>
    </w:tbl>
    <w:p>
      <w:pPr>
        <w:spacing w:after="100"/>
      </w:pPr>
      <w:r>
        <w:t xml:space="preserve"/>
      </w:r>
    </w:p>
    <w:p>
      <w:pPr>
        <w:pStyle w:val="Heading2"/>
        <w:spacing w:after="160" w:before="280"/>
      </w:pPr>
      <w:r>
        <w:t xml:space="preserve">C.3 Detalle de cada grupo</w:t>
      </w:r>
    </w:p>
    <w:p>
      <w:pPr>
        <w:spacing w:after="120" w:before="0" w:line="300"/>
      </w:pPr>
      <w:r>
        <w:t xml:space="preserve">Para cada grupo del proyecto, documentar en un archivo Excel maestro:</w:t>
      </w:r>
    </w:p>
    <w:p>
      <w:pPr>
        <w:pStyle w:val="ListParagraph"/>
        <w:numPr>
          <w:ilvl w:val="0"/>
          <w:numId w:val="2"/>
        </w:numPr>
        <w:spacing w:after="80" w:line="280"/>
      </w:pPr>
      <w:r>
        <w:t xml:space="preserve">Nombre exacto del grupo.</w:t>
      </w:r>
    </w:p>
    <w:p>
      <w:pPr>
        <w:pStyle w:val="ListParagraph"/>
        <w:numPr>
          <w:ilvl w:val="0"/>
          <w:numId w:val="2"/>
        </w:numPr>
        <w:spacing w:after="80" w:line="280"/>
      </w:pPr>
      <w:r>
        <w:t xml:space="preserve">Tipo (M365 o Seguridad).</w:t>
      </w:r>
    </w:p>
    <w:p>
      <w:pPr>
        <w:pStyle w:val="ListParagraph"/>
        <w:numPr>
          <w:ilvl w:val="0"/>
          <w:numId w:val="2"/>
        </w:numPr>
        <w:spacing w:after="80" w:line="280"/>
      </w:pPr>
      <w:r>
        <w:t xml:space="preserve">Dueño del grupo (responsable de agregar/quitar miembros).</w:t>
      </w:r>
    </w:p>
    <w:p>
      <w:pPr>
        <w:pStyle w:val="ListParagraph"/>
        <w:numPr>
          <w:ilvl w:val="0"/>
          <w:numId w:val="2"/>
        </w:numPr>
        <w:spacing w:after="80" w:line="280"/>
      </w:pPr>
      <w:r>
        <w:t xml:space="preserve">Descripción y propósito.</w:t>
      </w:r>
    </w:p>
    <w:p>
      <w:pPr>
        <w:pStyle w:val="ListParagraph"/>
        <w:numPr>
          <w:ilvl w:val="0"/>
          <w:numId w:val="2"/>
        </w:numPr>
        <w:spacing w:after="80" w:line="280"/>
      </w:pPr>
      <w:r>
        <w:t xml:space="preserve">Miembros iniciales.</w:t>
      </w:r>
    </w:p>
    <w:p>
      <w:pPr>
        <w:pStyle w:val="ListParagraph"/>
        <w:numPr>
          <w:ilvl w:val="0"/>
          <w:numId w:val="2"/>
        </w:numPr>
        <w:spacing w:after="80" w:line="280"/>
      </w:pPr>
      <w:r>
        <w:t xml:space="preserve">Sitios y bibliotecas a los que da acceso.</w:t>
      </w:r>
    </w:p>
    <w:p>
      <w:pPr>
        <w:pStyle w:val="ListParagraph"/>
        <w:numPr>
          <w:ilvl w:val="0"/>
          <w:numId w:val="2"/>
        </w:numPr>
        <w:spacing w:after="80" w:line="280"/>
      </w:pPr>
      <w:r>
        <w:t xml:space="preserve">Nivel de acceso otorgado.</w:t>
      </w:r>
    </w:p>
    <w:p>
      <w:pPr>
        <w:pStyle w:val="ListParagraph"/>
        <w:numPr>
          <w:ilvl w:val="0"/>
          <w:numId w:val="2"/>
        </w:numPr>
        <w:spacing w:after="80" w:line="280"/>
      </w:pPr>
      <w:r>
        <w:t xml:space="preserve">Fecha de creación y última revisión.</w:t>
      </w:r>
    </w:p>
    <w:p>
      <w:pPr>
        <w:spacing w:after="100"/>
      </w:pPr>
      <w:r>
        <w:t xml:space="preserve"/>
      </w:r>
    </w:p>
    <w:p>
      <w:pPr>
        <w:pStyle w:val="Heading2"/>
        <w:spacing w:after="160" w:before="280"/>
      </w:pPr>
      <w:r>
        <w:t xml:space="preserve">C.4 Proceso de gestión de accesos</w:t>
      </w:r>
    </w:p>
    <w:p>
      <w:pPr>
        <w:pStyle w:val="ListParagraph"/>
        <w:numPr>
          <w:ilvl w:val="0"/>
          <w:numId w:val="3"/>
        </w:numPr>
        <w:spacing w:after="100" w:line="280"/>
      </w:pPr>
      <w:r>
        <w:t xml:space="preserve">Solicitud: el usuario o su jefe solicita acceso a través del canal formal (ticket TI, formulario, correo autorizado).</w:t>
      </w:r>
    </w:p>
    <w:p>
      <w:pPr>
        <w:pStyle w:val="ListParagraph"/>
        <w:numPr>
          <w:ilvl w:val="0"/>
          <w:numId w:val="3"/>
        </w:numPr>
        <w:spacing w:after="100" w:line="280"/>
      </w:pPr>
      <w:r>
        <w:t xml:space="preserve">Aprobación: el dueño del grupo (definido en la matriz) aprueba o rechaza.</w:t>
      </w:r>
    </w:p>
    <w:p>
      <w:pPr>
        <w:pStyle w:val="ListParagraph"/>
        <w:numPr>
          <w:ilvl w:val="0"/>
          <w:numId w:val="3"/>
        </w:numPr>
        <w:spacing w:after="100" w:line="280"/>
      </w:pPr>
      <w:r>
        <w:t xml:space="preserve">Ejecución: TI agrega al usuario al grupo correspondiente en Entra ID (nunca al sitio directamente).</w:t>
      </w:r>
    </w:p>
    <w:p>
      <w:pPr>
        <w:pStyle w:val="ListParagraph"/>
        <w:numPr>
          <w:ilvl w:val="0"/>
          <w:numId w:val="3"/>
        </w:numPr>
        <w:spacing w:after="100" w:line="280"/>
      </w:pPr>
      <w:r>
        <w:t xml:space="preserve">Notificación: el solicitante recibe confirmación con enlace al sitio.</w:t>
      </w:r>
    </w:p>
    <w:p>
      <w:pPr>
        <w:pStyle w:val="ListParagraph"/>
        <w:numPr>
          <w:ilvl w:val="0"/>
          <w:numId w:val="3"/>
        </w:numPr>
        <w:spacing w:after="100" w:line="280"/>
      </w:pPr>
      <w:r>
        <w:t xml:space="preserve">Revisión periódica: cada 3 meses, Access Review automático en Entra ID a los dueños de grupo.</w:t>
      </w:r>
    </w:p>
    <w:p>
      <w:pPr>
        <w:pStyle w:val="ListParagraph"/>
        <w:numPr>
          <w:ilvl w:val="0"/>
          <w:numId w:val="3"/>
        </w:numPr>
        <w:spacing w:after="100" w:line="280"/>
      </w:pPr>
      <w:r>
        <w:t xml:space="preserve">Baja: cuando un usuario deja la empresa o cambia de rol, se quita del grupo en Entra ID.</w:t>
      </w:r>
    </w:p>
    <w:p>
      <w:pPr>
        <w:spacing w:after="100"/>
      </w:pPr>
      <w:r>
        <w:t xml:space="preserve"/>
      </w:r>
    </w:p>
    <w:p>
      <w:pPr>
        <w:pStyle w:val="Heading2"/>
        <w:spacing w:after="160" w:before="280"/>
      </w:pPr>
      <w:r>
        <w:t xml:space="preserve">C.5 Reglas de oro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E2EFDA" w:val="clear"/>
            <w:tcMar>
              <w:top w:type="dxa" w:w="160"/>
              <w:left w:type="dxa" w:w="200"/>
              <w:bottom w:type="dxa" w:w="160"/>
              <w:right w:type="dxa" w:w="200"/>
            </w:tcMar>
          </w:tcPr>
          <w:p>
            <w:pPr>
              <w:spacing w:after="80"/>
            </w:pPr>
            <w:r>
              <w:rPr>
                <w:b/>
                <w:bCs/>
                <w:color w:val="1F4E79"/>
                <w:sz w:val="22"/>
                <w:szCs w:val="22"/>
              </w:rPr>
              <w:t xml:space="preserve">Recordatorio permanente</w:t>
            </w:r>
          </w:p>
          <w:p>
            <w:pPr>
              <w:pStyle w:val="ListParagraph"/>
              <w:numPr>
                <w:ilvl w:val="0"/>
                <w:numId w:val="2"/>
              </w:numPr>
              <w:spacing w:after="80" w:line="280"/>
            </w:pPr>
            <w:r>
              <w:t xml:space="preserve">Los permisos se administran EN GRUPOS, nunca en usuarios individuales.</w:t>
            </w:r>
          </w:p>
          <w:p>
            <w:pPr>
              <w:pStyle w:val="ListParagraph"/>
              <w:numPr>
                <w:ilvl w:val="0"/>
                <w:numId w:val="2"/>
              </w:numPr>
              <w:spacing w:after="80" w:line="280"/>
            </w:pPr>
            <w:r>
              <w:t xml:space="preserve">Los permisos se otorgan A NIVEL DE SITIO / BIBLIOTECA, no a nivel de archivo.</w:t>
            </w:r>
          </w:p>
          <w:p>
            <w:pPr>
              <w:pStyle w:val="ListParagraph"/>
              <w:numPr>
                <w:ilvl w:val="0"/>
                <w:numId w:val="2"/>
              </w:numPr>
              <w:spacing w:after="80" w:line="280"/>
            </w:pPr>
            <w:r>
              <w:t xml:space="preserve">La herencia se rompe SOLO en casos excepcionales, documentados y aprobados.</w:t>
            </w:r>
          </w:p>
          <w:p>
            <w:pPr>
              <w:pStyle w:val="ListParagraph"/>
              <w:numPr>
                <w:ilvl w:val="0"/>
                <w:numId w:val="2"/>
              </w:numPr>
              <w:spacing w:after="80" w:line="280"/>
            </w:pPr>
            <w:r>
              <w:t xml:space="preserve">Los invitados externos SIEMPRE tienen expiración (30, 60 o 90 días máximo).</w:t>
            </w:r>
          </w:p>
          <w:p>
            <w:pPr>
              <w:pStyle w:val="ListParagraph"/>
              <w:numPr>
                <w:ilvl w:val="0"/>
                <w:numId w:val="2"/>
              </w:numPr>
              <w:spacing w:after="80" w:line="280"/>
            </w:pPr>
            <w:r>
              <w:t xml:space="preserve">Los grupos se revisan TRIMESTRALMENTE. Miembros inactivos &gt; 90 días se retiran.</w:t>
            </w:r>
          </w:p>
          <w:p>
            <w:pPr>
              <w:pStyle w:val="ListParagraph"/>
              <w:numPr>
                <w:ilvl w:val="0"/>
                <w:numId w:val="2"/>
              </w:numPr>
              <w:spacing w:after="80" w:line="280"/>
            </w:pPr>
            <w:r>
              <w:t xml:space="preserve">El grupo "Todos excepto usuarios externos" NO se usa como default; se reserva para contenido genuinamente público.</w:t>
            </w:r>
          </w:p>
        </w:tc>
      </w:tr>
    </w:tbl>
    <w:p>
      <w:r>
        <w:br w:type="page"/>
      </w:r>
    </w:p>
    <w:p>
      <w:pPr>
        <w:pStyle w:val="Heading1"/>
        <w:spacing w:after="200" w:before="360"/>
      </w:pPr>
      <w:r>
        <w:t xml:space="preserve">13. Apéndice D — Comparativo detallado de herramientas de migración</w:t>
      </w:r>
    </w:p>
    <w:p>
      <w:pPr>
        <w:spacing w:after="120" w:before="0" w:line="300"/>
      </w:pPr>
      <w:r>
        <w:t xml:space="preserve">Este apéndice profundiza en las opciones disponibles para migración a SharePoint Online, con énfasis en las nativas de Microsoft (por lineamiento del cliente), y una mención objetiva de las opciones de terceros.</w:t>
      </w:r>
    </w:p>
    <w:p>
      <w:pPr>
        <w:spacing w:after="100"/>
      </w:pPr>
      <w:r>
        <w:t xml:space="preserve"/>
      </w:r>
    </w:p>
    <w:p>
      <w:pPr>
        <w:pStyle w:val="Heading2"/>
        <w:spacing w:after="160" w:before="280"/>
      </w:pPr>
      <w:r>
        <w:t xml:space="preserve">D.1 Migration Manager (nativo Microsoft)</w:t>
      </w:r>
    </w:p>
    <w:p>
      <w:pPr>
        <w:pStyle w:val="Heading3"/>
        <w:spacing w:after="120" w:before="220"/>
      </w:pPr>
      <w:r>
        <w:t xml:space="preserve">Fortalezas</w:t>
      </w:r>
    </w:p>
    <w:p>
      <w:pPr>
        <w:pStyle w:val="ListParagraph"/>
        <w:numPr>
          <w:ilvl w:val="0"/>
          <w:numId w:val="2"/>
        </w:numPr>
        <w:spacing w:after="80" w:line="280"/>
      </w:pPr>
      <w:r>
        <w:t xml:space="preserve">Nativo, sin costo adicional al licenciamiento M365.</w:t>
      </w:r>
    </w:p>
    <w:p>
      <w:pPr>
        <w:pStyle w:val="ListParagraph"/>
        <w:numPr>
          <w:ilvl w:val="0"/>
          <w:numId w:val="2"/>
        </w:numPr>
        <w:spacing w:after="80" w:line="280"/>
      </w:pPr>
      <w:r>
        <w:t xml:space="preserve">Basado en agentes distribuidos: escala horizontalmente.</w:t>
      </w:r>
    </w:p>
    <w:p>
      <w:pPr>
        <w:pStyle w:val="ListParagraph"/>
        <w:numPr>
          <w:ilvl w:val="0"/>
          <w:numId w:val="2"/>
        </w:numPr>
        <w:spacing w:after="80" w:line="280"/>
      </w:pPr>
      <w:r>
        <w:t xml:space="preserve">Dashboard centralizado en SharePoint Admin Center.</w:t>
      </w:r>
    </w:p>
    <w:p>
      <w:pPr>
        <w:pStyle w:val="ListParagraph"/>
        <w:numPr>
          <w:ilvl w:val="0"/>
          <w:numId w:val="2"/>
        </w:numPr>
        <w:spacing w:after="80" w:line="280"/>
      </w:pPr>
      <w:r>
        <w:t xml:space="preserve">Prescan integrado para detectar issues antes de migrar.</w:t>
      </w:r>
    </w:p>
    <w:p>
      <w:pPr>
        <w:pStyle w:val="ListParagraph"/>
        <w:numPr>
          <w:ilvl w:val="0"/>
          <w:numId w:val="2"/>
        </w:numPr>
        <w:spacing w:after="80" w:line="280"/>
      </w:pPr>
      <w:r>
        <w:t xml:space="preserve">Sincronización delta / incremental soportada.</w:t>
      </w:r>
    </w:p>
    <w:p>
      <w:pPr>
        <w:pStyle w:val="ListParagraph"/>
        <w:numPr>
          <w:ilvl w:val="0"/>
          <w:numId w:val="2"/>
        </w:numPr>
        <w:spacing w:after="80" w:line="280"/>
      </w:pPr>
      <w:r>
        <w:t xml:space="preserve">Reportes detallados por tarea y por agente.</w:t>
      </w:r>
    </w:p>
    <w:p>
      <w:pPr>
        <w:pStyle w:val="ListParagraph"/>
        <w:numPr>
          <w:ilvl w:val="0"/>
          <w:numId w:val="2"/>
        </w:numPr>
        <w:spacing w:after="80" w:line="280"/>
      </w:pPr>
      <w:r>
        <w:t xml:space="preserve">Soporta también migración de Google Workspace, Box, Dropbox y Egnyte.</w:t>
      </w:r>
    </w:p>
    <w:p>
      <w:pPr>
        <w:pStyle w:val="ListParagraph"/>
        <w:numPr>
          <w:ilvl w:val="0"/>
          <w:numId w:val="2"/>
        </w:numPr>
        <w:spacing w:after="80" w:line="280"/>
      </w:pPr>
      <w:r>
        <w:t xml:space="preserve">Datos cifrados en tránsito y en reposo (AES-256-CBC en Azure Blob temporal).</w:t>
      </w:r>
    </w:p>
    <w:p>
      <w:pPr>
        <w:spacing w:after="100"/>
      </w:pPr>
      <w:r>
        <w:t xml:space="preserve"/>
      </w:r>
    </w:p>
    <w:p>
      <w:pPr>
        <w:pStyle w:val="Heading3"/>
        <w:spacing w:after="120" w:before="220"/>
      </w:pPr>
      <w:r>
        <w:t xml:space="preserve">Limitaciones</w:t>
      </w:r>
    </w:p>
    <w:p>
      <w:pPr>
        <w:pStyle w:val="ListParagraph"/>
        <w:numPr>
          <w:ilvl w:val="0"/>
          <w:numId w:val="2"/>
        </w:numPr>
        <w:spacing w:after="80" w:line="280"/>
      </w:pPr>
      <w:r>
        <w:t xml:space="preserve">Requiere agentes en Windows Server o Windows 10/11.</w:t>
      </w:r>
    </w:p>
    <w:p>
      <w:pPr>
        <w:pStyle w:val="ListParagraph"/>
        <w:numPr>
          <w:ilvl w:val="0"/>
          <w:numId w:val="2"/>
        </w:numPr>
        <w:spacing w:after="80" w:line="280"/>
      </w:pPr>
      <w:r>
        <w:t xml:space="preserve">Archivos individuales limitados a 250 GB.</w:t>
      </w:r>
    </w:p>
    <w:p>
      <w:pPr>
        <w:pStyle w:val="ListParagraph"/>
        <w:numPr>
          <w:ilvl w:val="0"/>
          <w:numId w:val="2"/>
        </w:numPr>
        <w:spacing w:after="80" w:line="280"/>
      </w:pPr>
      <w:r>
        <w:t xml:space="preserve">Reportes de error a veces poco descriptivos.</w:t>
      </w:r>
    </w:p>
    <w:p>
      <w:pPr>
        <w:pStyle w:val="ListParagraph"/>
        <w:numPr>
          <w:ilvl w:val="0"/>
          <w:numId w:val="2"/>
        </w:numPr>
        <w:spacing w:after="80" w:line="280"/>
      </w:pPr>
      <w:r>
        <w:t xml:space="preserve">No migra workflows (SharePoint Designer, Nintex, InfoPath).</w:t>
      </w:r>
    </w:p>
    <w:p>
      <w:pPr>
        <w:pStyle w:val="ListParagraph"/>
        <w:numPr>
          <w:ilvl w:val="0"/>
          <w:numId w:val="2"/>
        </w:numPr>
        <w:spacing w:after="80" w:line="280"/>
      </w:pPr>
      <w:r>
        <w:t xml:space="preserve">Requiere planificación cuidadosa de permisos (no siempre traslada NTFS 1:1).</w:t>
      </w:r>
    </w:p>
    <w:p>
      <w:pPr>
        <w:spacing w:after="100"/>
      </w:pPr>
      <w:r>
        <w:t xml:space="preserve"/>
      </w:r>
    </w:p>
    <w:p>
      <w:pPr>
        <w:pStyle w:val="Heading3"/>
        <w:spacing w:after="120" w:before="220"/>
      </w:pPr>
      <w:r>
        <w:t xml:space="preserve">Recomendado para</w:t>
      </w:r>
    </w:p>
    <w:p>
      <w:pPr>
        <w:pStyle w:val="ListParagraph"/>
        <w:numPr>
          <w:ilvl w:val="0"/>
          <w:numId w:val="2"/>
        </w:numPr>
        <w:spacing w:after="80" w:line="280"/>
      </w:pPr>
      <w:r>
        <w:t xml:space="preserve">Migraciones de file share &gt; 500 GB. ✓ Aplica al proyecto.</w:t>
      </w:r>
    </w:p>
    <w:p>
      <w:pPr>
        <w:pStyle w:val="ListParagraph"/>
        <w:numPr>
          <w:ilvl w:val="0"/>
          <w:numId w:val="2"/>
        </w:numPr>
        <w:spacing w:after="80" w:line="280"/>
      </w:pPr>
      <w:r>
        <w:t xml:space="preserve">Múltiples orígenes distribuidos geográficamente.</w:t>
      </w:r>
    </w:p>
    <w:p>
      <w:pPr>
        <w:pStyle w:val="ListParagraph"/>
        <w:numPr>
          <w:ilvl w:val="0"/>
          <w:numId w:val="2"/>
        </w:numPr>
        <w:spacing w:after="80" w:line="280"/>
      </w:pPr>
      <w:r>
        <w:t xml:space="preserve">Migraciones que requieren monitoreo centralizado.</w:t>
      </w:r>
    </w:p>
    <w:p>
      <w:pPr>
        <w:pStyle w:val="ListParagraph"/>
        <w:numPr>
          <w:ilvl w:val="0"/>
          <w:numId w:val="2"/>
        </w:numPr>
        <w:spacing w:after="80" w:line="280"/>
      </w:pPr>
      <w:r>
        <w:t xml:space="preserve">Escenarios donde no se admite software de terceros.</w:t>
      </w:r>
    </w:p>
    <w:p>
      <w:pPr>
        <w:spacing w:after="100"/>
      </w:pPr>
      <w:r>
        <w:t xml:space="preserve"/>
      </w:r>
    </w:p>
    <w:p>
      <w:pPr>
        <w:pStyle w:val="Heading2"/>
        <w:spacing w:after="160" w:before="280"/>
      </w:pPr>
      <w:r>
        <w:t xml:space="preserve">D.2 SharePoint Migration Tool (SPMT) — nativo Microsoft</w:t>
      </w:r>
    </w:p>
    <w:p>
      <w:pPr>
        <w:pStyle w:val="Heading3"/>
        <w:spacing w:after="120" w:before="220"/>
      </w:pPr>
      <w:r>
        <w:t xml:space="preserve">Fortalezas</w:t>
      </w:r>
    </w:p>
    <w:p>
      <w:pPr>
        <w:pStyle w:val="ListParagraph"/>
        <w:numPr>
          <w:ilvl w:val="0"/>
          <w:numId w:val="2"/>
        </w:numPr>
        <w:spacing w:after="80" w:line="280"/>
      </w:pPr>
      <w:r>
        <w:t xml:space="preserve">Nativo, gratuito, muy simple de usar.</w:t>
      </w:r>
    </w:p>
    <w:p>
      <w:pPr>
        <w:pStyle w:val="ListParagraph"/>
        <w:numPr>
          <w:ilvl w:val="0"/>
          <w:numId w:val="2"/>
        </w:numPr>
        <w:spacing w:after="80" w:line="280"/>
      </w:pPr>
      <w:r>
        <w:t xml:space="preserve">Interfaz wizard fácil para operadores menos técnicos.</w:t>
      </w:r>
    </w:p>
    <w:p>
      <w:pPr>
        <w:pStyle w:val="ListParagraph"/>
        <w:numPr>
          <w:ilvl w:val="0"/>
          <w:numId w:val="2"/>
        </w:numPr>
        <w:spacing w:after="80" w:line="280"/>
      </w:pPr>
      <w:r>
        <w:t xml:space="preserve">Soporta file shares y SharePoint Server 2010/2013/2016/2019.</w:t>
      </w:r>
    </w:p>
    <w:p>
      <w:pPr>
        <w:pStyle w:val="ListParagraph"/>
        <w:numPr>
          <w:ilvl w:val="0"/>
          <w:numId w:val="2"/>
        </w:numPr>
        <w:spacing w:after="80" w:line="280"/>
      </w:pPr>
      <w:r>
        <w:t xml:space="preserve">Preserva metadatos, versiones, permisos básicos, taxonomías.</w:t>
      </w:r>
    </w:p>
    <w:p>
      <w:pPr>
        <w:pStyle w:val="ListParagraph"/>
        <w:numPr>
          <w:ilvl w:val="0"/>
          <w:numId w:val="2"/>
        </w:numPr>
        <w:spacing w:after="80" w:line="280"/>
      </w:pPr>
      <w:r>
        <w:t xml:space="preserve">SPMT 4.0+ incluye evaluación integrada.</w:t>
      </w:r>
    </w:p>
    <w:p>
      <w:pPr>
        <w:pStyle w:val="ListParagraph"/>
        <w:numPr>
          <w:ilvl w:val="0"/>
          <w:numId w:val="2"/>
        </w:numPr>
        <w:spacing w:after="80" w:line="280"/>
      </w:pPr>
      <w:r>
        <w:t xml:space="preserve">Todas las funciones disponibles vía PowerShell (scriptable).</w:t>
      </w:r>
    </w:p>
    <w:p>
      <w:pPr>
        <w:spacing w:after="100"/>
      </w:pPr>
      <w:r>
        <w:t xml:space="preserve"/>
      </w:r>
    </w:p>
    <w:p>
      <w:pPr>
        <w:pStyle w:val="Heading3"/>
        <w:spacing w:after="120" w:before="220"/>
      </w:pPr>
      <w:r>
        <w:t xml:space="preserve">Limitaciones</w:t>
      </w:r>
    </w:p>
    <w:p>
      <w:pPr>
        <w:pStyle w:val="ListParagraph"/>
        <w:numPr>
          <w:ilvl w:val="0"/>
          <w:numId w:val="2"/>
        </w:numPr>
        <w:spacing w:after="80" w:line="280"/>
      </w:pPr>
      <w:r>
        <w:t xml:space="preserve">Ejecución local: bottleneck en una sola máquina.</w:t>
      </w:r>
    </w:p>
    <w:p>
      <w:pPr>
        <w:pStyle w:val="ListParagraph"/>
        <w:numPr>
          <w:ilvl w:val="0"/>
          <w:numId w:val="2"/>
        </w:numPr>
        <w:spacing w:after="80" w:line="280"/>
      </w:pPr>
      <w:r>
        <w:t xml:space="preserve">Sin dashboard centralizado.</w:t>
      </w:r>
    </w:p>
    <w:p>
      <w:pPr>
        <w:pStyle w:val="ListParagraph"/>
        <w:numPr>
          <w:ilvl w:val="0"/>
          <w:numId w:val="2"/>
        </w:numPr>
        <w:spacing w:after="80" w:line="280"/>
      </w:pPr>
      <w:r>
        <w:t xml:space="preserve">Reportes menos completos que Migration Manager.</w:t>
      </w:r>
    </w:p>
    <w:p>
      <w:pPr>
        <w:pStyle w:val="ListParagraph"/>
        <w:numPr>
          <w:ilvl w:val="0"/>
          <w:numId w:val="2"/>
        </w:numPr>
        <w:spacing w:after="80" w:line="280"/>
      </w:pPr>
      <w:r>
        <w:t xml:space="preserve">No optimizado para volúmenes &gt; 500 GB por sesión.</w:t>
      </w:r>
    </w:p>
    <w:p>
      <w:pPr>
        <w:pStyle w:val="ListParagraph"/>
        <w:numPr>
          <w:ilvl w:val="0"/>
          <w:numId w:val="2"/>
        </w:numPr>
        <w:spacing w:after="80" w:line="280"/>
      </w:pPr>
      <w:r>
        <w:t xml:space="preserve">No maneja workflows ni customizaciones complejas.</w:t>
      </w:r>
    </w:p>
    <w:p>
      <w:pPr>
        <w:spacing w:after="100"/>
      </w:pPr>
      <w:r>
        <w:t xml:space="preserve"/>
      </w:r>
    </w:p>
    <w:p>
      <w:pPr>
        <w:pStyle w:val="Heading3"/>
        <w:spacing w:after="120" w:before="220"/>
      </w:pPr>
      <w:r>
        <w:t xml:space="preserve">Recomendado para</w:t>
      </w:r>
    </w:p>
    <w:p>
      <w:pPr>
        <w:pStyle w:val="ListParagraph"/>
        <w:numPr>
          <w:ilvl w:val="0"/>
          <w:numId w:val="2"/>
        </w:numPr>
        <w:spacing w:after="80" w:line="280"/>
      </w:pPr>
      <w:r>
        <w:t xml:space="preserve">Migraciones pequeñas y medianas (&lt; 500 GB).</w:t>
      </w:r>
    </w:p>
    <w:p>
      <w:pPr>
        <w:pStyle w:val="ListParagraph"/>
        <w:numPr>
          <w:ilvl w:val="0"/>
          <w:numId w:val="2"/>
        </w:numPr>
        <w:spacing w:after="80" w:line="280"/>
      </w:pPr>
      <w:r>
        <w:t xml:space="preserve">Casos puntuales o de nicho complementarios.</w:t>
      </w:r>
    </w:p>
    <w:p>
      <w:pPr>
        <w:pStyle w:val="ListParagraph"/>
        <w:numPr>
          <w:ilvl w:val="0"/>
          <w:numId w:val="2"/>
        </w:numPr>
        <w:spacing w:after="80" w:line="280"/>
      </w:pPr>
      <w:r>
        <w:t xml:space="preserve">Equipos que prefieran herramienta local sin infraestructura.</w:t>
      </w:r>
    </w:p>
    <w:p>
      <w:pPr>
        <w:pStyle w:val="ListParagraph"/>
        <w:numPr>
          <w:ilvl w:val="0"/>
          <w:numId w:val="2"/>
        </w:numPr>
        <w:spacing w:after="80" w:line="280"/>
      </w:pPr>
      <w:r>
        <w:t xml:space="preserve">Migración desde SharePoint Server on-premises.</w:t>
      </w:r>
    </w:p>
    <w:p>
      <w:pPr>
        <w:spacing w:after="100"/>
      </w:pPr>
      <w:r>
        <w:t xml:space="preserve"/>
      </w:r>
    </w:p>
    <w:p>
      <w:pPr>
        <w:pStyle w:val="Heading2"/>
        <w:spacing w:after="160" w:before="280"/>
      </w:pPr>
      <w:r>
        <w:t xml:space="preserve">D.3 Herramientas de terceros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Herramienta</w:t>
            </w:r>
          </w:p>
        </w:tc>
        <w:tc>
          <w:tcPr>
            <w:tcW w:type="dxa" w:w="34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Fortaleza principal</w:t>
            </w:r>
          </w:p>
        </w:tc>
        <w:tc>
          <w:tcPr>
            <w:tcW w:type="dxa" w:w="37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Costo aproximado</w:t>
            </w:r>
          </w:p>
        </w:tc>
      </w:tr>
      <w:tr>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ShareGate Migrate</w:t>
            </w:r>
          </w:p>
        </w:tc>
        <w:tc>
          <w:tcPr>
            <w:tcW w:type="dxa" w:w="3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Restructuración compleja, tenant-to-tenant, validación avanzada.</w:t>
            </w:r>
          </w:p>
        </w:tc>
        <w:tc>
          <w:tcPr>
            <w:tcW w:type="dxa" w:w="37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Desde $6,000 USD/año (Essentials)</w:t>
            </w:r>
          </w:p>
        </w:tc>
      </w:tr>
      <w:tr>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Quest Content Matrix</w:t>
            </w:r>
          </w:p>
        </w:tc>
        <w:tc>
          <w:tcPr>
            <w:tcW w:type="dxa" w:w="3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Enterprise / SharePoint legado con customizaciones profundas.</w:t>
            </w:r>
          </w:p>
        </w:tc>
        <w:tc>
          <w:tcPr>
            <w:tcW w:type="dxa" w:w="37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Por cotización</w:t>
            </w:r>
          </w:p>
        </w:tc>
      </w:tr>
      <w:tr>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AvePoint Fly / Elements</w:t>
            </w:r>
          </w:p>
        </w:tc>
        <w:tc>
          <w:tcPr>
            <w:tcW w:type="dxa" w:w="3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Migración + gobierno + backup en una plataforma.</w:t>
            </w:r>
          </w:p>
        </w:tc>
        <w:tc>
          <w:tcPr>
            <w:tcW w:type="dxa" w:w="37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Por cotización</w:t>
            </w:r>
          </w:p>
        </w:tc>
      </w:tr>
      <w:tr>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Metalogix (Quest)</w:t>
            </w:r>
          </w:p>
        </w:tc>
        <w:tc>
          <w:tcPr>
            <w:tcW w:type="dxa" w:w="3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Migraciones complejas de bases legadas.</w:t>
            </w:r>
          </w:p>
        </w:tc>
        <w:tc>
          <w:tcPr>
            <w:tcW w:type="dxa" w:w="37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Por cotización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DEEBF6" w:val="clear"/>
            <w:tcMar>
              <w:top w:type="dxa" w:w="160"/>
              <w:left w:type="dxa" w:w="200"/>
              <w:bottom w:type="dxa" w:w="160"/>
              <w:right w:type="dxa" w:w="200"/>
            </w:tcMar>
          </w:tcPr>
          <w:p>
            <w:pPr>
              <w:spacing w:after="80"/>
            </w:pPr>
            <w:r>
              <w:rPr>
                <w:b/>
                <w:bCs/>
                <w:color w:val="1F4E79"/>
                <w:sz w:val="22"/>
                <w:szCs w:val="22"/>
              </w:rPr>
              <w:t xml:space="preserve">¿Cuándo se justifica un tercero?</w:t>
            </w:r>
          </w:p>
          <w:p>
            <w:pPr>
              <w:spacing w:after="60" w:before="0" w:line="300"/>
            </w:pPr>
            <w:r>
              <w:t xml:space="preserve">Considerar herramienta de terceros SOLO si el descubrimiento (Fase 0) revela alguna de las siguientes condiciones:</w:t>
            </w:r>
          </w:p>
          <w:p>
            <w:pPr>
              <w:pStyle w:val="ListParagraph"/>
              <w:numPr>
                <w:ilvl w:val="0"/>
                <w:numId w:val="2"/>
              </w:numPr>
              <w:spacing w:after="80" w:line="280"/>
            </w:pPr>
            <w:r>
              <w:t xml:space="preserve">Workflows heredados (SharePoint Designer, Nintex, InfoPath) que deben preservarse.</w:t>
            </w:r>
          </w:p>
          <w:p>
            <w:pPr>
              <w:pStyle w:val="ListParagraph"/>
              <w:numPr>
                <w:ilvl w:val="0"/>
                <w:numId w:val="2"/>
              </w:numPr>
              <w:spacing w:after="80" w:line="280"/>
            </w:pPr>
            <w:r>
              <w:t xml:space="preserve">Estructura de permisos extremadamente compleja que requiere transformación durante la migración.</w:t>
            </w:r>
          </w:p>
          <w:p>
            <w:pPr>
              <w:pStyle w:val="ListParagraph"/>
              <w:numPr>
                <w:ilvl w:val="0"/>
                <w:numId w:val="2"/>
              </w:numPr>
              <w:spacing w:after="80" w:line="280"/>
            </w:pPr>
            <w:r>
              <w:t xml:space="preserve">Migración tenant-to-tenant (dos tenants de M365).</w:t>
            </w:r>
          </w:p>
          <w:p>
            <w:pPr>
              <w:pStyle w:val="ListParagraph"/>
              <w:numPr>
                <w:ilvl w:val="0"/>
                <w:numId w:val="2"/>
              </w:numPr>
              <w:spacing w:after="80" w:line="280"/>
            </w:pPr>
            <w:r>
              <w:t xml:space="preserve">Requerimiento de reportes de validación auditables muy detallados.</w:t>
            </w:r>
          </w:p>
          <w:p>
            <w:pPr>
              <w:pStyle w:val="ListParagraph"/>
              <w:numPr>
                <w:ilvl w:val="0"/>
                <w:numId w:val="2"/>
              </w:numPr>
              <w:spacing w:after="80" w:line="280"/>
            </w:pPr>
            <w:r>
              <w:t xml:space="preserve">Ventana de migración extremadamente ajustada y muy alto volumen (&gt;10 TB).</w:t>
            </w:r>
          </w:p>
          <w:p>
            <w:pPr>
              <w:spacing w:after="0" w:before="60" w:line="300"/>
            </w:pPr>
            <w:r>
              <w:t xml:space="preserve">Para el escenario actual (2 TB, file share on-premises, sin workflows heredados), las herramientas nativas son suficientes.</w:t>
            </w:r>
          </w:p>
        </w:tc>
      </w:tr>
    </w:tbl>
    <w:p>
      <w:pPr>
        <w:spacing w:after="100"/>
      </w:pPr>
      <w:r>
        <w:t xml:space="preserve"/>
      </w:r>
    </w:p>
    <w:p>
      <w:pPr>
        <w:pStyle w:val="Heading2"/>
        <w:spacing w:after="160" w:before="280"/>
      </w:pPr>
      <w:r>
        <w:t xml:space="preserve">D.4 Comparativo resumen para este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Criterio</w:t>
            </w:r>
          </w:p>
        </w:tc>
        <w:tc>
          <w:tcPr>
            <w:tcW w:type="dxa" w:w="22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Migration Manager</w:t>
            </w:r>
          </w:p>
        </w:tc>
        <w:tc>
          <w:tcPr>
            <w:tcW w:type="dxa" w:w="22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SPMT</w:t>
            </w:r>
          </w:p>
        </w:tc>
        <w:tc>
          <w:tcPr>
            <w:tcW w:type="dxa" w:w="23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Recomendación</w:t>
            </w:r>
          </w:p>
        </w:tc>
      </w:tr>
      <w:tr>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Volumen 2 TB</w:t>
            </w:r>
          </w:p>
        </w:tc>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Excelente</w:t>
            </w:r>
          </w:p>
        </w:tc>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Suficiente pero lento</w:t>
            </w:r>
          </w:p>
        </w:tc>
        <w:tc>
          <w:tcPr>
            <w:tcW w:type="dxa" w:w="2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Migration Manager</w:t>
            </w:r>
          </w:p>
        </w:tc>
      </w:tr>
      <w:tr>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Escalabilidad</w:t>
            </w:r>
          </w:p>
        </w:tc>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Alta (multi-agente)</w:t>
            </w:r>
          </w:p>
        </w:tc>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Baja</w:t>
            </w:r>
          </w:p>
        </w:tc>
        <w:tc>
          <w:tcPr>
            <w:tcW w:type="dxa" w:w="2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Migration Manager</w:t>
            </w:r>
          </w:p>
        </w:tc>
      </w:tr>
      <w:tr>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Monitoreo</w:t>
            </w:r>
          </w:p>
        </w:tc>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Dashboard centralizado</w:t>
            </w:r>
          </w:p>
        </w:tc>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Reportes locales</w:t>
            </w:r>
          </w:p>
        </w:tc>
        <w:tc>
          <w:tcPr>
            <w:tcW w:type="dxa" w:w="2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Migration Manager</w:t>
            </w:r>
          </w:p>
        </w:tc>
      </w:tr>
      <w:tr>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Sincronización delta</w:t>
            </w:r>
          </w:p>
        </w:tc>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Sí, robusta</w:t>
            </w:r>
          </w:p>
        </w:tc>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Sí, básica</w:t>
            </w:r>
          </w:p>
        </w:tc>
        <w:tc>
          <w:tcPr>
            <w:tcW w:type="dxa" w:w="2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Migration Manager</w:t>
            </w:r>
          </w:p>
        </w:tc>
      </w:tr>
      <w:tr>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Costo</w:t>
            </w:r>
          </w:p>
        </w:tc>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Gratuito</w:t>
            </w:r>
          </w:p>
        </w:tc>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Gratuito</w:t>
            </w:r>
          </w:p>
        </w:tc>
        <w:tc>
          <w:tcPr>
            <w:tcW w:type="dxa" w:w="2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Empate</w:t>
            </w:r>
          </w:p>
        </w:tc>
      </w:tr>
      <w:tr>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Complejidad de setup</w:t>
            </w:r>
          </w:p>
        </w:tc>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Media (agentes)</w:t>
            </w:r>
          </w:p>
        </w:tc>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Baja</w:t>
            </w:r>
          </w:p>
        </w:tc>
        <w:tc>
          <w:tcPr>
            <w:tcW w:type="dxa" w:w="2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SPMT solo para complementar</w:t>
            </w:r>
          </w:p>
        </w:tc>
      </w:tr>
      <w:tr>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Recomendación final</w:t>
            </w:r>
          </w:p>
        </w:tc>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Herramienta principal</w:t>
            </w:r>
          </w:p>
        </w:tc>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Complemento en casos puntuales</w:t>
            </w:r>
          </w:p>
        </w:tc>
        <w:tc>
          <w:tcPr>
            <w:tcW w:type="dxa" w:w="2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w:t>
            </w:r>
          </w:p>
        </w:tc>
      </w:tr>
    </w:tbl>
    <w:p>
      <w:r>
        <w:br w:type="page"/>
      </w:r>
    </w:p>
    <w:p>
      <w:pPr>
        <w:pStyle w:val="Heading1"/>
        <w:spacing w:after="200" w:before="360"/>
      </w:pPr>
      <w:r>
        <w:t xml:space="preserve">14. Apéndice E — Lista de verificación (checklist)</w:t>
      </w:r>
    </w:p>
    <w:p>
      <w:pPr>
        <w:spacing w:after="120" w:before="0" w:line="300"/>
      </w:pPr>
      <w:r>
        <w:t xml:space="preserve">Checklist operativo por fase, para uso durante la ejecución del proyecto.</w:t>
      </w:r>
    </w:p>
    <w:p>
      <w:pPr>
        <w:pStyle w:val="Heading2"/>
        <w:spacing w:after="160" w:before="280"/>
      </w:pPr>
      <w:r>
        <w:t xml:space="preserve">Fase 0 — Descubrimiento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w:t>
            </w:r>
          </w:p>
        </w:tc>
        <w:tc>
          <w:tcPr>
            <w:tcW w:type="dxa" w:w="55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Tarea</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Responsable</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Fecha</w:t>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Entrevistas realizadas con TI, dueños de datos, seguridad y usuarios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Cuestionario del Apéndice A completado</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Análisis con TreeSize o equivalente ejecutado</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Análisis de permisos NTFS con PowerShell ejecutado</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Inventario de contenido consolidado</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Análisis de ROT completado</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Riesgos técnicos identificados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Clasificación de contenido por sensibilidad</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bl>
    <w:p>
      <w:pPr>
        <w:spacing w:after="100"/>
      </w:pPr>
      <w:r>
        <w:t xml:space="preserve"/>
      </w:r>
    </w:p>
    <w:p>
      <w:pPr>
        <w:pStyle w:val="Heading2"/>
        <w:spacing w:after="160" w:before="280"/>
      </w:pPr>
      <w:r>
        <w:t xml:space="preserve">Fase 1 —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w:t>
            </w:r>
          </w:p>
        </w:tc>
        <w:tc>
          <w:tcPr>
            <w:tcW w:type="dxa" w:w="55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Tarea</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Responsable</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Fecha</w:t>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Modelo de arquitectura elegido (A, B o C)</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Sitios definidos (nombre, propósito, dueño)</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Modelo de permisos y grupos diseñado</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Nomenclatura estándar establecida</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Mapeo origen → destino completo (Apéndice B)</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Políticas de retención definidas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Etiquetas de sensibilidad definidas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Diseño aprobado por el cliente</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bl>
    <w:p>
      <w:pPr>
        <w:spacing w:after="100"/>
      </w:pPr>
      <w:r>
        <w:t xml:space="preserve"/>
      </w:r>
    </w:p>
    <w:p>
      <w:pPr>
        <w:pStyle w:val="Heading2"/>
        <w:spacing w:after="160" w:before="280"/>
      </w:pPr>
      <w:r>
        <w:t xml:space="preserve">Fase 2 — Preparación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w:t>
            </w:r>
          </w:p>
        </w:tc>
        <w:tc>
          <w:tcPr>
            <w:tcW w:type="dxa" w:w="55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Tarea</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Responsable</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Fecha</w:t>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Sitios provisionados en SharePoint</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Hub Site configurado y sitios asociados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Grupos de M365 y de seguridad creados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Permisos asignados a sitios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Bibliotecas y metadatos configurados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Etiquetas de retención publicadas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Etiquetas de sensibilidad publicadas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Configuración de compartición externa aplicada</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Limpieza del origen ejecutada</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Rutas largas y caracteres inválidos corregidos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bl>
    <w:p>
      <w:pPr>
        <w:spacing w:after="100"/>
      </w:pPr>
      <w:r>
        <w:t xml:space="preserve"/>
      </w:r>
    </w:p>
    <w:p>
      <w:pPr>
        <w:pStyle w:val="Heading2"/>
        <w:spacing w:after="160" w:before="280"/>
      </w:pPr>
      <w:r>
        <w:t xml:space="preserve">Fase 3 — Herramientas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w:t>
            </w:r>
          </w:p>
        </w:tc>
        <w:tc>
          <w:tcPr>
            <w:tcW w:type="dxa" w:w="55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Tarea</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Responsable</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Fecha</w:t>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Servidores para agentes provisionados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Endpoints de red validados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Cuenta de servicio Windows creada</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Cuenta SharePoint Admin dedicada creada</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Migration Manager agentes instalados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Agentes verificados en estado Online</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Grupos de agentes creados si aplica</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bl>
    <w:p>
      <w:pPr>
        <w:spacing w:after="100"/>
      </w:pPr>
      <w:r>
        <w:t xml:space="preserve"/>
      </w:r>
    </w:p>
    <w:p>
      <w:pPr>
        <w:pStyle w:val="Heading2"/>
        <w:spacing w:after="160" w:before="280"/>
      </w:pPr>
      <w:r>
        <w:t xml:space="preserve">Fase 4 — Piloto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w:t>
            </w:r>
          </w:p>
        </w:tc>
        <w:tc>
          <w:tcPr>
            <w:tcW w:type="dxa" w:w="55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Tarea</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Responsable</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Fecha</w:t>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Área piloto seleccionada y aprobada</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Tarea de migración piloto creada</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Prescan ejecutado, issues resueltos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Migración piloto ejecutada</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Validación cuantitativa exitosa (&gt;99%)</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Validación cualitativa exitosa (muestreo)</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Feedback del área piloto capturado</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Ajustes al plan aplicados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bl>
    <w:p>
      <w:pPr>
        <w:spacing w:after="100"/>
      </w:pPr>
      <w:r>
        <w:t xml:space="preserve"/>
      </w:r>
    </w:p>
    <w:p>
      <w:pPr>
        <w:pStyle w:val="Heading2"/>
        <w:spacing w:after="160" w:before="280"/>
      </w:pPr>
      <w:r>
        <w:t xml:space="preserve">Fase 5 — Olas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w:t>
            </w:r>
          </w:p>
        </w:tc>
        <w:tc>
          <w:tcPr>
            <w:tcW w:type="dxa" w:w="55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Tarea</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Responsable</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Fecha</w:t>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Plan de olas comunicado al cliente</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Ola 1 completada y aceptada</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Ola 2 completada y aceptada</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Ola 3 completada y aceptada</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Ola 4 completada y aceptada</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Ola 5 completada y aceptada</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Reportes por ola archivados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bl>
    <w:p>
      <w:pPr>
        <w:spacing w:after="100"/>
      </w:pPr>
      <w:r>
        <w:t xml:space="preserve"/>
      </w:r>
    </w:p>
    <w:p>
      <w:pPr>
        <w:pStyle w:val="Heading2"/>
        <w:spacing w:after="160" w:before="280"/>
      </w:pPr>
      <w:r>
        <w:t xml:space="preserve">Fase 6 — Cutover y Post-migración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w:t>
            </w:r>
          </w:p>
        </w:tc>
        <w:tc>
          <w:tcPr>
            <w:tcW w:type="dxa" w:w="55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Tarea</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Responsable</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Fecha</w:t>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Origen en modo solo lectura</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Sincronización delta final ejecutada</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Cutover definitivo ejecutado</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Unidades mapeadas desmontadas de estaciones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Aplicaciones LOB reapuntadas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Validación final consolidada</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Capacitación a usuarios completada</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Red de campeones activa</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Respaldo final del origen realizado</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Servidor origen desmantelado o repurposado</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Actas de aceptación firmadas por área</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Plan de gobierno continuo (BAU) transferido</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bl>
    <w:p>
      <w:r>
        <w:br w:type="page"/>
      </w:r>
    </w:p>
    <w:p>
      <w:pPr>
        <w:pStyle w:val="Heading1"/>
        <w:spacing w:after="200" w:before="360"/>
      </w:pPr>
      <w:r>
        <w:t xml:space="preserve">15. Apéndice F — Solución de problemas comunes</w:t>
      </w:r>
    </w:p>
    <w:p>
      <w:pPr>
        <w:pStyle w:val="Heading2"/>
        <w:spacing w:after="160" w:before="280"/>
      </w:pPr>
      <w:r>
        <w:t xml:space="preserve">F.1 Problemas con agentes de Migration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Síntoma</w:t>
            </w:r>
          </w:p>
        </w:tc>
        <w:tc>
          <w:tcPr>
            <w:tcW w:type="dxa" w:w="61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Causa probable y solución</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Agente no aparece en el dashboard</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Firewall bloqueando endpoints o expiró el token. Reautenticar y validar endpoints (sección 6.2.2).</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Agente en estado Offline</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Servicio detenido, expiración de credenciales, servidor apagado. Reiniciar servicio o reautenticar.</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Agent inactivity &gt; 7 days</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Microsoft desconecta agentes inactivos. Reautenticar el agente.</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Cannot access source file share</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Cuenta de servicio Windows sin permisos suficientes al share. Validar acceso con esa cuenta manualmente.</w:t>
            </w:r>
          </w:p>
        </w:tc>
      </w:tr>
    </w:tbl>
    <w:p>
      <w:pPr>
        <w:spacing w:after="100"/>
      </w:pPr>
      <w:r>
        <w:t xml:space="preserve"/>
      </w:r>
    </w:p>
    <w:p>
      <w:pPr>
        <w:pStyle w:val="Heading2"/>
        <w:spacing w:after="160" w:before="280"/>
      </w:pPr>
      <w:r>
        <w:t xml:space="preserve">F.2 Errores durante la migración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Síntoma / Error</w:t>
            </w:r>
          </w:p>
        </w:tc>
        <w:tc>
          <w:tcPr>
            <w:tcW w:type="dxa" w:w="61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Causa probable y solución</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Path too long (&gt;400 chars)</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SharePoint rechaza rutas mayores a 400 caracteres URL-encoded. Acortar en origen o reorganizar.</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Invalid characters in filename</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Caracteres * : " &lt; &gt; ? / \ | # % &amp; { } ~ no permitidos. Renombrar en origen.</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File is locked / in use</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Archivo abierto por usuario o aplicación. Reintentar en ventana de baja actividad.</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Throttling / 503 errors</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SharePoint limitando el ritmo. Reducir agentes concurrentes o esperar y reintentar.</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File size &gt; 250 GB</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Archivo individual excede límite. Dividir el archivo o excluirlo (raro en archivos ofimáticos).</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Permission mapping failed</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Grupo NTFS no encontrado en Entra ID o mapeo incorrecto. Aplicar permisos post-migración con grupos M365.</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Timeouts during scan</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File share lento o sobrecargado. Ejecutar en ventanas de baja carga.</w:t>
            </w:r>
          </w:p>
        </w:tc>
      </w:tr>
    </w:tbl>
    <w:p>
      <w:pPr>
        <w:spacing w:after="100"/>
      </w:pPr>
      <w:r>
        <w:t xml:space="preserve"/>
      </w:r>
    </w:p>
    <w:p>
      <w:pPr>
        <w:pStyle w:val="Heading2"/>
        <w:spacing w:after="160" w:before="280"/>
      </w:pPr>
      <w:r>
        <w:t xml:space="preserve">F.3 Problemas de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Síntoma</w:t>
            </w:r>
          </w:p>
        </w:tc>
        <w:tc>
          <w:tcPr>
            <w:tcW w:type="dxa" w:w="61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Causa y solución</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Throughput muy bajo (&lt;100 GB/día por agente)</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Disco lento en origen, RAM insuficiente en agente, antivirus interfiriendo. Optimizar hardware del agente.</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Throttling constante</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Demasiados agentes en paralelo. Reducir agentes concurrentes.</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Agente consume 100% CPU</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Recomendación: al menos 4 vCPU por agente. Escalar recursos.</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Red saturada</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Migración compitiendo con tráfico productivo. Programar en ventanas nocturnas o de fin de semana.</w:t>
            </w:r>
          </w:p>
        </w:tc>
      </w:tr>
    </w:tbl>
    <w:p>
      <w:pPr>
        <w:spacing w:after="100"/>
      </w:pPr>
      <w:r>
        <w:t xml:space="preserve"/>
      </w:r>
    </w:p>
    <w:p>
      <w:pPr>
        <w:pStyle w:val="Heading2"/>
        <w:spacing w:after="160" w:before="280"/>
      </w:pPr>
      <w:r>
        <w:t xml:space="preserve">F.4 Problemas post-migración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Síntoma</w:t>
            </w:r>
          </w:p>
        </w:tc>
        <w:tc>
          <w:tcPr>
            <w:tcW w:type="dxa" w:w="61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Causa y solución</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Usuarios reportan que "les faltan archivos"</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Verificar en papelera de reciclaje del sitio (93 días de retención). Verificar contra inventario origen.</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Enlaces de correo previos ya no funcionan</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Los enlaces UNC del file share dejan de funcionar. Reemplazar por links de SharePoint. Considerar redirección temporal.</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Macros de Excel fallan</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Rutas hardcodeadas al file share. Actualizar rutas a URLs de SharePoint (con soporte de OneDrive Sync si aplica).</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Búsqueda no encuentra contenido</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Indexación puede tardar 24–72 h post-migración. Esperar. Si persiste, forzar reindexación desde admin center.</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Usuarios sin acceso a lo que "antes sí tenían"</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Grupo M365 no fue asignado o el usuario no está en el grupo correcto. Validar contra la matriz del Apéndice C.</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DEEBF6" w:val="clear"/>
            <w:tcMar>
              <w:top w:type="dxa" w:w="160"/>
              <w:left w:type="dxa" w:w="200"/>
              <w:bottom w:type="dxa" w:w="160"/>
              <w:right w:type="dxa" w:w="200"/>
            </w:tcMar>
          </w:tcPr>
          <w:p>
            <w:pPr>
              <w:spacing w:after="80"/>
            </w:pPr>
            <w:r>
              <w:rPr>
                <w:b/>
                <w:bCs/>
                <w:color w:val="1F4E79"/>
                <w:sz w:val="22"/>
                <w:szCs w:val="22"/>
              </w:rPr>
              <w:t xml:space="preserve">Recursos de referencia oficial</w:t>
            </w:r>
          </w:p>
          <w:p>
            <w:pPr>
              <w:pStyle w:val="ListParagraph"/>
              <w:numPr>
                <w:ilvl w:val="0"/>
                <w:numId w:val="2"/>
              </w:numPr>
              <w:spacing w:after="80" w:line="280"/>
            </w:pPr>
            <w:r>
              <w:t xml:space="preserve">Migration Manager (documentación): learn.microsoft.com/sharepointmigration/mm-get-started</w:t>
            </w:r>
          </w:p>
          <w:p>
            <w:pPr>
              <w:pStyle w:val="ListParagraph"/>
              <w:numPr>
                <w:ilvl w:val="0"/>
                <w:numId w:val="2"/>
              </w:numPr>
              <w:spacing w:after="80" w:line="280"/>
            </w:pPr>
            <w:r>
              <w:t xml:space="preserve">SharePoint Migration Tool (SPMT): learn.microsoft.com/sharepointmigration/introducing-the-sharepoint-migration-tool</w:t>
            </w:r>
          </w:p>
          <w:p>
            <w:pPr>
              <w:pStyle w:val="ListParagraph"/>
              <w:numPr>
                <w:ilvl w:val="0"/>
                <w:numId w:val="2"/>
              </w:numPr>
              <w:spacing w:after="80" w:line="280"/>
            </w:pPr>
            <w:r>
              <w:t xml:space="preserve">Performance guide: learn.microsoft.com/sharepointmigration/sharepoint-online-and-onedrive-migration-speed</w:t>
            </w:r>
          </w:p>
          <w:p>
            <w:pPr>
              <w:pStyle w:val="ListParagraph"/>
              <w:numPr>
                <w:ilvl w:val="0"/>
                <w:numId w:val="2"/>
              </w:numPr>
              <w:spacing w:after="80" w:line="280"/>
            </w:pPr>
            <w:r>
              <w:t xml:space="preserve">Setup agents: learn.microsoft.com/sharepointmigration/mm-setup-clients</w:t>
            </w:r>
          </w:p>
          <w:p>
            <w:pPr>
              <w:pStyle w:val="ListParagraph"/>
              <w:numPr>
                <w:ilvl w:val="0"/>
                <w:numId w:val="2"/>
              </w:numPr>
              <w:spacing w:after="80" w:line="280"/>
            </w:pPr>
            <w:r>
              <w:t xml:space="preserve">SharePoint Admin Center: &lt;tenant&gt;-admin.sharepoint.com</w:t>
            </w:r>
          </w:p>
          <w:p>
            <w:pPr>
              <w:pStyle w:val="ListParagraph"/>
              <w:numPr>
                <w:ilvl w:val="0"/>
                <w:numId w:val="2"/>
              </w:numPr>
              <w:spacing w:after="80" w:line="280"/>
            </w:pPr>
            <w:r>
              <w:t xml:space="preserve">PnP PowerShell: pnp.github.io/powershell/</w:t>
            </w:r>
          </w:p>
          <w:p>
            <w:pPr>
              <w:pStyle w:val="ListParagraph"/>
              <w:numPr>
                <w:ilvl w:val="0"/>
                <w:numId w:val="2"/>
              </w:numPr>
              <w:spacing w:after="80" w:line="280"/>
            </w:pPr>
            <w:r>
              <w:t xml:space="preserve">Portal de cumplimiento (retención y sensibilidad): compliance.microsoft.com</w:t>
            </w:r>
          </w:p>
        </w:tc>
      </w:tr>
    </w:tbl>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Guía técnica de migración a SharePoint  |  Página </w:t>
    </w:r>
    <w:r>
      <w:rPr>
        <w:color w:val="595959"/>
        <w:sz w:val="18"/>
        <w:szCs w:val="18"/>
      </w:rPr>
      <w:fldChar w:fldCharType="begin"/>
      <w:instrText xml:space="preserve">PAGE</w:instrText>
      <w:fldChar w:fldCharType="separate"/>
      <w:fldChar w:fldCharType="end"/>
    </w:r>
    <w:r>
      <w:rPr>
        <w:color w:val="595959"/>
        <w:sz w:val="18"/>
        <w:szCs w:val="18"/>
      </w:rPr>
      <w:t xml:space="preserve"> de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Migración On-Premises → SharePoint Online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2626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Migración a SharePoint Online</dc:title>
  <dc:creator>Equipo de Migración TI</dc:creator>
  <dc:description>Guía técnica para migrar 2 TB de un repositorio on-premises a SharePoint Online.</dc:description>
  <cp:lastModifiedBy>Un-named</cp:lastModifiedBy>
  <cp:revision>1</cp:revision>
  <dcterms:created xsi:type="dcterms:W3CDTF">2026-07-01T02:04:24.907Z</dcterms:created>
  <dcterms:modified xsi:type="dcterms:W3CDTF">2026-07-01T02:04:24.920Z</dcterms:modified>
</cp:coreProperties>
</file>

<file path=docProps/custom.xml><?xml version="1.0" encoding="utf-8"?>
<Properties xmlns="http://schemas.openxmlformats.org/officeDocument/2006/custom-properties" xmlns:vt="http://schemas.openxmlformats.org/officeDocument/2006/docPropsVTypes"/>
</file>