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800"/>
        <w:jc w:val="center"/>
      </w:pPr>
      <w:r>
        <w:rPr>
          <w:b/>
          <w:bCs/>
          <w:color w:val="0C447C"/>
          <w:sz w:val="44"/>
          <w:szCs w:val="44"/>
        </w:rPr>
        <w:t xml:space="preserve">PROPUESTA DE SERVICIO</w:t>
      </w:r>
    </w:p>
    <w:p>
      <w:pPr>
        <w:spacing w:after="400"/>
        <w:jc w:val="center"/>
      </w:pPr>
      <w:r>
        <w:rPr>
          <w:color w:val="444444"/>
          <w:sz w:val="28"/>
          <w:szCs w:val="28"/>
        </w:rPr>
        <w:t xml:space="preserve">Modernización de la gestión y resguardo de video e imágenes quírúrgicas en Microsoft Azure</w:t>
      </w:r>
    </w:p>
    <w:p>
      <w:pPr>
        <w:spacing w:after="100"/>
        <w:jc w:val="center"/>
      </w:pPr>
      <w:r>
        <w:rPr>
          <w:i/>
          <w:iCs/>
          <w:color w:val="666666"/>
          <w:sz w:val="22"/>
          <w:szCs w:val="22"/>
        </w:rPr>
        <w:t xml:space="preserve">Migración de repositorio central on-premise (24 TB) hacia Azure Blob Storage con portal de acceso basado en roles</w:t>
      </w:r>
    </w:p>
    <w:p>
      <w:pPr>
        <w:spacing w:after="60" w:before="600"/>
        <w:jc w:val="center"/>
      </w:pPr>
      <w:r>
        <w:rPr>
          <w:sz w:val="22"/>
          <w:szCs w:val="22"/>
        </w:rPr>
        <w:t xml:space="preserve">Preparado para: Área de TI / Dirección Médica</w:t>
      </w:r>
    </w:p>
    <w:p>
      <w:pPr>
        <w:spacing w:after="60"/>
        <w:jc w:val="center"/>
      </w:pPr>
      <w:r>
        <w:rPr>
          <w:sz w:val="22"/>
          <w:szCs w:val="22"/>
        </w:rPr>
        <w:t xml:space="preserve">Fecha: 30 de junio de 2026</w:t>
      </w:r>
    </w:p>
    <w:p>
      <w:pPr>
        <w:spacing w:after="60"/>
        <w:jc w:val="center"/>
      </w:pPr>
      <w:r>
        <w:rPr>
          <w:sz w:val="22"/>
          <w:szCs w:val="22"/>
        </w:rPr>
        <w:t xml:space="preserve">Versión: 1.0</w:t>
      </w:r>
    </w:p>
    <w:p>
      <w:r>
        <w:br w:type="page"/>
      </w:r>
    </w:p>
    <w:p>
      <w:pPr>
        <w:pStyle w:val="Heading1"/>
      </w:pPr>
      <w:r>
        <w:t xml:space="preserve">1. Resumen ejecutivo</w:t>
      </w:r>
    </w:p>
    <w:p>
      <w:pPr>
        <w:spacing w:after="160"/>
      </w:pPr>
      <w:r>
        <w:t xml:space="preserve">El hospital cuenta con un equipo de video-grabación instalado en el quófano/sala de operaciones, utilizado por personal médico durante cirugías y análisis clínicos. Por razones de seguridad y aislamiento clínico, este equipo no está conectado a la red de datos del hospital; la única vía de extracción de las grabaciones es un puerto USB, desde donde la información se traslada manualmente a un servidor central que hoy almacena 24 TB de video e imágenes.</w:t>
      </w:r>
    </w:p>
    <w:p>
      <w:pPr>
        <w:spacing w:after="160"/>
      </w:pPr>
      <w:r>
        <w:t xml:space="preserve">Esta propuesta plantea sustituir el servidor central on-premise por una arquitectura en Microsoft Azure basada en Azure Blob Storage con políticas de ciclo de vida y un portal web (Azure App Service) para la consulta, renombrado y administración de archivos, con control de acceso diferenciado para tres perfiles de usuario: médico (consulta de histórico), usuario final (consulta) y administrador de TI (gestión completa).</w:t>
      </w:r>
    </w:p>
    <w:p>
      <w:pPr>
        <w:spacing w:after="160"/>
      </w:pPr>
      <w:r>
        <w:t xml:space="preserve">Tras evaluar dos alternativas — (A) una máquina virtual (VM) de gestión conectada a Blob Storage, y (B) un Azure App Service conectado a Blob Storage con ciclo de vida activado — se recomienda la opción B por su menor costo total de propiedad, menor carga operativa para el equipo de TI y mejor postura de seguridad. El detalle del análisis se presenta en la sección 4.</w:t>
      </w:r>
    </w:p>
    <w:p>
      <w:pPr>
        <w:pStyle w:val="Heading1"/>
      </w:pPr>
      <w:r>
        <w:t xml:space="preserve">2. Situación actual</w:t>
      </w:r>
    </w:p>
    <w:p>
      <w:pPr>
        <w:pStyle w:val="ListParagraph"/>
        <w:numPr>
          <w:ilvl w:val="0"/>
          <w:numId w:val="2"/>
        </w:numPr>
        <w:spacing w:after="80"/>
      </w:pPr>
      <w:r>
        <w:rPr>
          <w:b/>
          <w:bCs/>
        </w:rPr>
        <w:t xml:space="preserve">Equipo aislado: </w:t>
      </w:r>
      <w:r>
        <w:t xml:space="preserve">el video-grabador se encuentra en el quófano, deliberadamente aislado de la red de datos del hospital por política de seguridad clínica.</w:t>
      </w:r>
    </w:p>
    <w:p>
      <w:pPr>
        <w:pStyle w:val="ListParagraph"/>
        <w:numPr>
          <w:ilvl w:val="0"/>
          <w:numId w:val="2"/>
        </w:numPr>
        <w:spacing w:after="80"/>
      </w:pPr>
      <w:r>
        <w:rPr>
          <w:b/>
          <w:bCs/>
        </w:rPr>
        <w:t xml:space="preserve">Extracción manual: </w:t>
      </w:r>
      <w:r>
        <w:t xml:space="preserve">la única salida de datos es un puerto USB; el personal extrae periódicamente los archivos de video e imagen y los copia a un servidor central.</w:t>
      </w:r>
    </w:p>
    <w:p>
      <w:pPr>
        <w:pStyle w:val="ListParagraph"/>
        <w:numPr>
          <w:ilvl w:val="0"/>
          <w:numId w:val="2"/>
        </w:numPr>
        <w:spacing w:after="80"/>
      </w:pPr>
      <w:r>
        <w:rPr>
          <w:b/>
          <w:bCs/>
        </w:rPr>
        <w:t xml:space="preserve">Volumen actual: </w:t>
      </w:r>
      <w:r>
        <w:t xml:space="preserve">aproximadamente 24 TB almacenados en el servidor central, con crecimiento continuo derivado de nuevas cirugías y procedimientos.</w:t>
      </w:r>
    </w:p>
    <w:p>
      <w:pPr>
        <w:pStyle w:val="ListParagraph"/>
        <w:numPr>
          <w:ilvl w:val="0"/>
          <w:numId w:val="2"/>
        </w:numPr>
        <w:spacing w:after="80"/>
      </w:pPr>
      <w:r>
        <w:rPr>
          <w:b/>
          <w:bCs/>
        </w:rPr>
        <w:t xml:space="preserve">Gestión de archivos: </w:t>
      </w:r>
      <w:r>
        <w:t xml:space="preserve">en algunos casos los archivos deben renombrarse manualmente y ser accedidos por distintos tipos de usuario (médico, usuario final, administrador de TI), sin un esquema formal de permisos.</w:t>
      </w:r>
    </w:p>
    <w:p>
      <w:pPr>
        <w:pStyle w:val="ListParagraph"/>
        <w:numPr>
          <w:ilvl w:val="0"/>
          <w:numId w:val="2"/>
        </w:numPr>
        <w:spacing w:after="80"/>
      </w:pPr>
      <w:r>
        <w:rPr>
          <w:b/>
          <w:bCs/>
        </w:rPr>
        <w:t xml:space="preserve">Sin política de ciclo de vida: </w:t>
      </w:r>
      <w:r>
        <w:t xml:space="preserve">todo el volumen reside en almacenamiento de igual costo/nivel, independientemente de la frecuencia de acceso (archivos recientes vs. históricos).</w:t>
      </w:r>
    </w:p>
    <w:p>
      <w:pPr>
        <w:pStyle w:val="ListParagraph"/>
        <w:numPr>
          <w:ilvl w:val="0"/>
          <w:numId w:val="2"/>
        </w:numPr>
        <w:spacing w:after="80"/>
      </w:pPr>
      <w:r>
        <w:rPr>
          <w:b/>
          <w:bCs/>
        </w:rPr>
        <w:t xml:space="preserve">Riesgos identificados: </w:t>
      </w:r>
      <w:r>
        <w:t xml:space="preserve">capacidad de almacenamiento limitada y con crecimiento no planificado; ausencia de control de acceso granular; proceso de extracción manual propenso a error humano; sin trazabilidad/auditoría formal de accesos; sin estrategia documentada de respaldo o recuperación ante desastres (DR).</w:t>
      </w:r>
    </w:p>
    <w:p>
      <w:pPr>
        <w:pStyle w:val="Heading1"/>
      </w:pPr>
      <w:r>
        <w:t xml:space="preserve">3. Objetivo</w:t>
      </w:r>
    </w:p>
    <w:p>
      <w:pPr>
        <w:pStyle w:val="Heading2"/>
      </w:pPr>
      <w:r>
        <w:t xml:space="preserve">3.1 Objetivo general</w:t>
      </w:r>
    </w:p>
    <w:p>
      <w:pPr>
        <w:spacing w:after="160"/>
      </w:pPr>
      <w:r>
        <w:t xml:space="preserve">Diseñar e implementar una solución en Microsoft Azure que centralice, resguarde y controle el acceso a las grabaciones e imágenes generadas en el quófano, sustituyendo el servidor central on-premise por una arquitectura escalable, seguro y con costos optimizados mediante políticas de ciclo de vida de almacenamiento.</w:t>
      </w:r>
    </w:p>
    <w:p>
      <w:pPr>
        <w:pStyle w:val="Heading2"/>
      </w:pPr>
      <w:r>
        <w:t xml:space="preserve">3.2 Objetivos específicos</w:t>
      </w:r>
    </w:p>
    <w:p>
      <w:pPr>
        <w:pStyle w:val="ListParagraph"/>
        <w:numPr>
          <w:ilvl w:val="0"/>
          <w:numId w:val="3"/>
        </w:numPr>
        <w:spacing w:after="80"/>
      </w:pPr>
      <w:r>
        <w:t xml:space="preserve">Automatizar, hasta donde el aislamiento del equipo lo permita, la carga de archivos desde el punto de extracción USB hacia Azure.</w:t>
      </w:r>
    </w:p>
    <w:p>
      <w:pPr>
        <w:pStyle w:val="ListParagraph"/>
        <w:numPr>
          <w:ilvl w:val="0"/>
          <w:numId w:val="3"/>
        </w:numPr>
        <w:spacing w:after="80"/>
      </w:pPr>
      <w:r>
        <w:t xml:space="preserve">Establecer una convención de nomenclatura y metadatos (fecha, sala, procedimiento, médico, identificador de paciente anonimizado, etc.) para el renombrado y clasificación de archivos.</w:t>
      </w:r>
    </w:p>
    <w:p>
      <w:pPr>
        <w:pStyle w:val="ListParagraph"/>
        <w:numPr>
          <w:ilvl w:val="0"/>
          <w:numId w:val="3"/>
        </w:numPr>
        <w:spacing w:after="80"/>
      </w:pPr>
      <w:r>
        <w:t xml:space="preserve">Implementar control de acceso basado en roles (RBAC) para los tres perfiles: médico, usuario final y administrador de TI.</w:t>
      </w:r>
    </w:p>
    <w:p>
      <w:pPr>
        <w:pStyle w:val="ListParagraph"/>
        <w:numPr>
          <w:ilvl w:val="0"/>
          <w:numId w:val="3"/>
        </w:numPr>
        <w:spacing w:after="80"/>
      </w:pPr>
      <w:r>
        <w:t xml:space="preserve">Optimizar costos de almacenamiento mediante niveles Hot / Cool / Archive y políticas de ciclo de vida automáticas.</w:t>
      </w:r>
    </w:p>
    <w:p>
      <w:pPr>
        <w:pStyle w:val="ListParagraph"/>
        <w:numPr>
          <w:ilvl w:val="0"/>
          <w:numId w:val="3"/>
        </w:numPr>
        <w:spacing w:after="80"/>
      </w:pPr>
      <w:r>
        <w:t xml:space="preserve">Garantizar trazabilidad y auditoría de accesos y descargas, requisito habitual en entornos de salud.</w:t>
      </w:r>
    </w:p>
    <w:p>
      <w:pPr>
        <w:pStyle w:val="ListParagraph"/>
        <w:numPr>
          <w:ilvl w:val="0"/>
          <w:numId w:val="3"/>
        </w:numPr>
        <w:spacing w:after="80"/>
      </w:pPr>
      <w:r>
        <w:t xml:space="preserve">Proveer alta disponibilidad y durabilidad de los datos, con opción de redundancia geográfica.</w:t>
      </w:r>
    </w:p>
    <w:p>
      <w:pPr>
        <w:pStyle w:val="Heading1"/>
      </w:pPr>
      <w:r>
        <w:t xml:space="preserve">4. Análisis de alternativas: VM + Blob Storage vs. App Service + Blob Storage</w:t>
      </w:r>
    </w:p>
    <w:p>
      <w:pPr>
        <w:spacing w:after="160"/>
      </w:pPr>
      <w:r>
        <w:t xml:space="preserve">Se solicitó opinión sobre dos enfoques posibles. A continuación se presenta el comparativo: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rPr>
          <w:tblHeader/>
        </w:trPr>
        <w:tc>
          <w:tcPr>
            <w:tcW w:type="dxa" w:w="2400"/>
            <w:tcBorders>
              <w:top w:val="single" w:color="CCCCCC" w:sz="1"/>
              <w:left w:val="single" w:color="CCCCCC" w:sz="1"/>
              <w:bottom w:val="single" w:color="CCCCCC" w:sz="1"/>
              <w:right w:val="single" w:color="CCCCCC" w:sz="1"/>
            </w:tcBorders>
            <w:shd w:fill="0C447C" w:val="clear"/>
            <w:tcMar>
              <w:top w:type="dxa" w:w="80"/>
              <w:left w:type="dxa" w:w="120"/>
              <w:bottom w:type="dxa" w:w="80"/>
              <w:right w:type="dxa" w:w="120"/>
            </w:tcMar>
          </w:tcPr>
          <w:p>
            <w:pPr>
              <w:jc w:val="left"/>
            </w:pPr>
            <w:r>
              <w:rPr>
                <w:b/>
                <w:bCs/>
                <w:color w:val="FFFFFF"/>
                <w:sz w:val="20"/>
                <w:szCs w:val="20"/>
              </w:rPr>
              <w:t xml:space="preserve">Criterio</w:t>
            </w:r>
          </w:p>
        </w:tc>
        <w:tc>
          <w:tcPr>
            <w:tcW w:type="dxa" w:w="3480"/>
            <w:tcBorders>
              <w:top w:val="single" w:color="CCCCCC" w:sz="1"/>
              <w:left w:val="single" w:color="CCCCCC" w:sz="1"/>
              <w:bottom w:val="single" w:color="CCCCCC" w:sz="1"/>
              <w:right w:val="single" w:color="CCCCCC" w:sz="1"/>
            </w:tcBorders>
            <w:shd w:fill="0C447C" w:val="clear"/>
            <w:tcMar>
              <w:top w:type="dxa" w:w="80"/>
              <w:left w:type="dxa" w:w="120"/>
              <w:bottom w:type="dxa" w:w="80"/>
              <w:right w:type="dxa" w:w="120"/>
            </w:tcMar>
          </w:tcPr>
          <w:p>
            <w:pPr>
              <w:jc w:val="left"/>
            </w:pPr>
            <w:r>
              <w:rPr>
                <w:b/>
                <w:bCs/>
                <w:color w:val="FFFFFF"/>
                <w:sz w:val="20"/>
                <w:szCs w:val="20"/>
              </w:rPr>
              <w:t xml:space="preserve">Opción A: VM (Windows/Linux) + Blob Storage</w:t>
            </w:r>
          </w:p>
        </w:tc>
        <w:tc>
          <w:tcPr>
            <w:tcW w:type="dxa" w:w="3480"/>
            <w:tcBorders>
              <w:top w:val="single" w:color="CCCCCC" w:sz="1"/>
              <w:left w:val="single" w:color="CCCCCC" w:sz="1"/>
              <w:bottom w:val="single" w:color="CCCCCC" w:sz="1"/>
              <w:right w:val="single" w:color="CCCCCC" w:sz="1"/>
            </w:tcBorders>
            <w:shd w:fill="0C447C" w:val="clear"/>
            <w:tcMar>
              <w:top w:type="dxa" w:w="80"/>
              <w:left w:type="dxa" w:w="120"/>
              <w:bottom w:type="dxa" w:w="80"/>
              <w:right w:type="dxa" w:w="120"/>
            </w:tcMar>
          </w:tcPr>
          <w:p>
            <w:pPr>
              <w:jc w:val="left"/>
            </w:pPr>
            <w:r>
              <w:rPr>
                <w:b/>
                <w:bCs/>
                <w:color w:val="FFFFFF"/>
                <w:sz w:val="20"/>
                <w:szCs w:val="20"/>
              </w:rPr>
              <w:t xml:space="preserve">Opción B: App Service + Blob Storage (recomendada)</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Modelo de servicio</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IaaS – el cliente administra el sistema operativo</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PaaS – Azure administra el runtime y el sistema operativo</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b w:val="false"/>
                <w:bCs w:val="false"/>
                <w:sz w:val="20"/>
                <w:szCs w:val="20"/>
              </w:rPr>
              <w:t xml:space="preserve">Mantenimiento</w:t>
            </w:r>
          </w:p>
        </w:tc>
        <w:tc>
          <w:tcPr>
            <w:tcW w:type="dxa" w:w="34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b w:val="false"/>
                <w:bCs w:val="false"/>
                <w:sz w:val="20"/>
                <w:szCs w:val="20"/>
              </w:rPr>
              <w:t xml:space="preserve">Requiere parches de SO, antivirus, actualizaciones manuales</w:t>
            </w:r>
          </w:p>
        </w:tc>
        <w:tc>
          <w:tcPr>
            <w:tcW w:type="dxa" w:w="34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b w:val="false"/>
                <w:bCs w:val="false"/>
                <w:sz w:val="20"/>
                <w:szCs w:val="20"/>
              </w:rPr>
              <w:t xml:space="preserve">Parches y actualizaciones de plataforma gestionados por Azure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Escalamiento</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Manual o requiere configuración adicional (VMSS)</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Auto-scale nativo según CPU/memoria o agenda</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b w:val="false"/>
                <w:bCs w:val="false"/>
                <w:sz w:val="20"/>
                <w:szCs w:val="20"/>
              </w:rPr>
              <w:t xml:space="preserve">Seguridad / superficie de ataque</w:t>
            </w:r>
          </w:p>
        </w:tc>
        <w:tc>
          <w:tcPr>
            <w:tcW w:type="dxa" w:w="34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b w:val="false"/>
                <w:bCs w:val="false"/>
                <w:sz w:val="20"/>
                <w:szCs w:val="20"/>
              </w:rPr>
              <w:t xml:space="preserve">Mayor (puertos de administración RDP/SSH expuestos)</w:t>
            </w:r>
          </w:p>
        </w:tc>
        <w:tc>
          <w:tcPr>
            <w:tcW w:type="dxa" w:w="34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b w:val="false"/>
                <w:bCs w:val="false"/>
                <w:sz w:val="20"/>
                <w:szCs w:val="20"/>
              </w:rPr>
              <w:t xml:space="preserve">Menor (sin acceso directo al SO; integración nativa con Entra ID)</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Costo</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Fijo, se paga 24/7 esté o no en uso; puede requerir licenciamiento de SO</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Predecible por plan contratado; posibilidad de escalar a 0 en entornos no productivos</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b w:val="false"/>
                <w:bCs w:val="false"/>
                <w:sz w:val="20"/>
                <w:szCs w:val="20"/>
              </w:rPr>
              <w:t xml:space="preserve">Alta disponibilidad</w:t>
            </w:r>
          </w:p>
        </w:tc>
        <w:tc>
          <w:tcPr>
            <w:tcW w:type="dxa" w:w="34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b w:val="false"/>
                <w:bCs w:val="false"/>
                <w:sz w:val="20"/>
                <w:szCs w:val="20"/>
              </w:rPr>
              <w:t xml:space="preserve">Requiere configuración adicional (Availability Set/Zone, balanceador)</w:t>
            </w:r>
          </w:p>
        </w:tc>
        <w:tc>
          <w:tcPr>
            <w:tcW w:type="dxa" w:w="34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b w:val="false"/>
                <w:bCs w:val="false"/>
                <w:sz w:val="20"/>
                <w:szCs w:val="20"/>
              </w:rPr>
              <w:t xml:space="preserve">Incluida en planes Standard/Premium</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Curva de adopción para IT</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Familiar si ya administran servidores Windows/Linux</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Requiere adoptar un modelo de despliegue de aplicaciones web</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b w:val="false"/>
                <w:bCs w:val="false"/>
                <w:sz w:val="20"/>
                <w:szCs w:val="20"/>
              </w:rPr>
              <w:t xml:space="preserve">Idoneidad para este caso</w:t>
            </w:r>
          </w:p>
        </w:tc>
        <w:tc>
          <w:tcPr>
            <w:tcW w:type="dxa" w:w="34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b w:val="false"/>
                <w:bCs w:val="false"/>
                <w:sz w:val="20"/>
                <w:szCs w:val="20"/>
              </w:rPr>
              <w:t xml:space="preserve">Válida si se requiere ejecutar software específico del fabricante o procesos batch complejos</w:t>
            </w:r>
          </w:p>
        </w:tc>
        <w:tc>
          <w:tcPr>
            <w:tcW w:type="dxa" w:w="34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b w:val="false"/>
                <w:bCs w:val="false"/>
                <w:sz w:val="20"/>
                <w:szCs w:val="20"/>
              </w:rPr>
              <w:t xml:space="preserve">Adecuada: el caso de uso es un portal de consulta/gestión con reglas de acceso por rol</w:t>
            </w:r>
          </w:p>
        </w:tc>
      </w:tr>
    </w:tbl>
    <w:p>
      <w:pPr>
        <w:spacing w:before="200"/>
      </w:pPr>
    </w:p>
    <w:p>
      <w:pPr>
        <w:spacing w:after="160"/>
      </w:pPr>
      <w:r>
        <w:rPr>
          <w:b/>
          <w:bCs/>
        </w:rPr>
        <w:t xml:space="preserve">Recomendación: </w:t>
      </w:r>
      <w:r>
        <w:t xml:space="preserve">se propone la Opción B (Azure App Service en Linux + Blob Storage con ciclo de vida). El caso de uso no requiere procesamiento pesado ni dependencias específicas de sistema operativo; es, en esencia, un portal de consulta y administración de archivos con control de acceso por rol. Un App Service ofrece menor costo total de propiedad, menor carga operativa para el equipo de TI y una mejor postura de seguridad al integrarse de forma nativa con Microsoft Entra ID y Private Endpoint, evitando exponer credenciales o puertos de administración.</w:t>
      </w:r>
    </w:p>
    <w:p>
      <w:pPr>
        <w:spacing w:after="160"/>
      </w:pPr>
      <w:r>
        <w:rPr>
          <w:b/>
          <w:bCs/>
        </w:rPr>
        <w:t xml:space="preserve">Nota sobre la ingesta desde USB: </w:t>
      </w:r>
      <w:r>
        <w:t xml:space="preserve">dado que el grabador debe permanecer aislado de la red por razones clínicas, la extracción seguirá siendo manual (USB). Para automatizar el resto del flujo, se recomienda instalar en el equipo local ya utilizado para la extracción un agente ligero (AzCopy programado o Azure Storage Mover) que suba automáticamente los archivos nuevos a un contenedor de “landing” en Blob Storage. Este componente corre on-premise y no requiere una VM en Azure.</w:t>
      </w:r>
    </w:p>
    <w:p>
      <w:pPr>
        <w:pStyle w:val="Heading1"/>
      </w:pPr>
      <w:r>
        <w:t xml:space="preserve">5. Arquitectura propuesta</w:t>
      </w:r>
    </w:p>
    <w:p>
      <w:pPr>
        <w:spacing w:after="160"/>
      </w:pPr>
      <w:r>
        <w:t xml:space="preserve">La arquitectura recomendada consta de los siguientes componentes (ver diagrama compartido en la conversación):</w:t>
      </w:r>
    </w:p>
    <w:p>
      <w:pPr>
        <w:pStyle w:val="ListParagraph"/>
        <w:numPr>
          <w:ilvl w:val="0"/>
          <w:numId w:val="2"/>
        </w:numPr>
        <w:spacing w:after="80"/>
      </w:pPr>
      <w:r>
        <w:rPr>
          <w:b/>
          <w:bCs/>
        </w:rPr>
        <w:t xml:space="preserve">Capa de ingesta on-premise: </w:t>
      </w:r>
      <w:r>
        <w:t xml:space="preserve">estación de trabajo con acceso al puerto USB del grabador; ejecuta una tarea programada que sube los archivos nuevos a un contenedor “landing” en Blob Storage vía HTTPS, usando SAS de corta duración o Managed Identity.</w:t>
      </w:r>
    </w:p>
    <w:p>
      <w:pPr>
        <w:pStyle w:val="ListParagraph"/>
        <w:numPr>
          <w:ilvl w:val="0"/>
          <w:numId w:val="2"/>
        </w:numPr>
        <w:spacing w:after="80"/>
      </w:pPr>
      <w:r>
        <w:rPr>
          <w:b/>
          <w:bCs/>
        </w:rPr>
        <w:t xml:space="preserve">Azure Blob Storage: </w:t>
      </w:r>
      <w:r>
        <w:t xml:space="preserve">cuenta de almacenamiento de propósito general v2, con contenedores separados (landing / procesado / histórico); niveles de acceso Hot (0–30 días), Cool (30–180 días) y Archive (&gt;180 días) mediante política de ciclo de vida automática; cifrado en reposo (por defecto) y en tránsito (HTTPS obligatorio); soft delete y versionado activados para protección ante borrado accidental.</w:t>
      </w:r>
    </w:p>
    <w:p>
      <w:pPr>
        <w:pStyle w:val="ListParagraph"/>
        <w:numPr>
          <w:ilvl w:val="0"/>
          <w:numId w:val="2"/>
        </w:numPr>
        <w:spacing w:after="80"/>
      </w:pPr>
      <w:r>
        <w:rPr>
          <w:b/>
          <w:bCs/>
        </w:rPr>
        <w:t xml:space="preserve">Automatización de renombrado (Azure Function / WebJob): </w:t>
      </w:r>
      <w:r>
        <w:t xml:space="preserve">se dispara al llegar un archivo nuevo al contenedor “landing”; aplica la convención de nombres/metadatos y mueve el archivo al contenedor procesado; registra el evento en una base de datos ligera (Azure SQL o Table Storage) para indexado y búsqueda.</w:t>
      </w:r>
    </w:p>
    <w:p>
      <w:pPr>
        <w:pStyle w:val="ListParagraph"/>
        <w:numPr>
          <w:ilvl w:val="0"/>
          <w:numId w:val="2"/>
        </w:numPr>
        <w:spacing w:after="80"/>
      </w:pPr>
      <w:r>
        <w:rPr>
          <w:b/>
          <w:bCs/>
        </w:rPr>
        <w:t xml:space="preserve">Azure App Service (Linux): </w:t>
      </w:r>
      <w:r>
        <w:t xml:space="preserve">hospeda el portal web/API de consulta y gestión; autenticación mediante Microsoft Entra ID con roles de aplicación mapeados a los tres perfiles (médico, usuario final, administrador IT); conexión a Blob Storage mediante Managed Identity y Private Endpoint, sin exponer claves de acceso.</w:t>
      </w:r>
    </w:p>
    <w:p>
      <w:pPr>
        <w:pStyle w:val="ListParagraph"/>
        <w:numPr>
          <w:ilvl w:val="0"/>
          <w:numId w:val="2"/>
        </w:numPr>
        <w:spacing w:after="80"/>
      </w:pPr>
      <w:r>
        <w:rPr>
          <w:b/>
          <w:bCs/>
        </w:rPr>
        <w:t xml:space="preserve">Microsoft Entra ID (Azure AD): </w:t>
      </w:r>
      <w:r>
        <w:t xml:space="preserve">gestión de identidades y roles; integrable con el directorio activo del hospital si existe; soporta MFA y acceso condicional.</w:t>
      </w:r>
    </w:p>
    <w:p>
      <w:pPr>
        <w:pStyle w:val="ListParagraph"/>
        <w:numPr>
          <w:ilvl w:val="0"/>
          <w:numId w:val="2"/>
        </w:numPr>
        <w:spacing w:after="80"/>
      </w:pPr>
      <w:r>
        <w:rPr>
          <w:b/>
          <w:bCs/>
        </w:rPr>
        <w:t xml:space="preserve">Azure Key Vault: </w:t>
      </w:r>
      <w:r>
        <w:t xml:space="preserve">resguardo de cadenas de conexión y secretos de la aplicación.</w:t>
      </w:r>
    </w:p>
    <w:p>
      <w:pPr>
        <w:pStyle w:val="ListParagraph"/>
        <w:numPr>
          <w:ilvl w:val="0"/>
          <w:numId w:val="2"/>
        </w:numPr>
        <w:spacing w:after="80"/>
      </w:pPr>
      <w:r>
        <w:rPr>
          <w:b/>
          <w:bCs/>
        </w:rPr>
        <w:t xml:space="preserve">Azure Monitor y Log Analytics: </w:t>
      </w:r>
      <w:r>
        <w:t xml:space="preserve">auditoría de accesos, descargas y cambios; alertas ante actividad inusual.</w:t>
      </w:r>
    </w:p>
    <w:p>
      <w:pPr>
        <w:pStyle w:val="ListParagraph"/>
        <w:numPr>
          <w:ilvl w:val="0"/>
          <w:numId w:val="2"/>
        </w:numPr>
        <w:spacing w:after="80"/>
      </w:pPr>
      <w:r>
        <w:rPr>
          <w:b/>
          <w:bCs/>
        </w:rPr>
        <w:t xml:space="preserve">Red y seguridad: </w:t>
      </w:r>
      <w:r>
        <w:t xml:space="preserve">Private Endpoint y VNet Integration para que el tráfico entre el App Service y Blob Storage no transite por internet público; firewall de la cuenta de almacenamiento restringido a rangos IP conocidos; VPN site-to-site o ExpressRoute (si ya existe) para exponer el portal solo dentro de la red del hospital.</w:t>
      </w:r>
    </w:p>
    <w:p>
      <w:pPr>
        <w:pStyle w:val="Heading1"/>
      </w:pPr>
      <w:r>
        <w:t xml:space="preserve">6. Requerimientos técnicos y humanos</w:t>
      </w:r>
    </w:p>
    <w:p>
      <w:pPr>
        <w:pStyle w:val="Heading2"/>
      </w:pPr>
      <w:r>
        <w:t xml:space="preserve">6.1 Requerimientos técnicos</w:t>
      </w:r>
    </w:p>
    <w:p>
      <w:pPr>
        <w:pStyle w:val="ListParagraph"/>
        <w:numPr>
          <w:ilvl w:val="0"/>
          <w:numId w:val="2"/>
        </w:numPr>
        <w:spacing w:after="80"/>
      </w:pPr>
      <w:r>
        <w:t xml:space="preserve">Suscripción de Microsoft Azure activa, con permisos de Contributor/Owner en el grupo de recursos del proyecto.</w:t>
      </w:r>
    </w:p>
    <w:p>
      <w:pPr>
        <w:pStyle w:val="ListParagraph"/>
        <w:numPr>
          <w:ilvl w:val="0"/>
          <w:numId w:val="2"/>
        </w:numPr>
        <w:spacing w:after="80"/>
      </w:pPr>
      <w:r>
        <w:t xml:space="preserve">Cuenta de almacenamiento (Storage Account) de propósito general v2.</w:t>
      </w:r>
    </w:p>
    <w:p>
      <w:pPr>
        <w:pStyle w:val="ListParagraph"/>
        <w:numPr>
          <w:ilvl w:val="0"/>
          <w:numId w:val="2"/>
        </w:numPr>
        <w:spacing w:after="80"/>
      </w:pPr>
      <w:r>
        <w:t xml:space="preserve">Azure App Service Plan (Linux) — se recomienda Premium v3 para producción.</w:t>
      </w:r>
    </w:p>
    <w:p>
      <w:pPr>
        <w:pStyle w:val="ListParagraph"/>
        <w:numPr>
          <w:ilvl w:val="0"/>
          <w:numId w:val="2"/>
        </w:numPr>
        <w:spacing w:after="80"/>
      </w:pPr>
      <w:r>
        <w:t xml:space="preserve">Microsoft Entra ID; plan P1 si se requiere acceso condicional / MFA para los tres roles.</w:t>
      </w:r>
    </w:p>
    <w:p>
      <w:pPr>
        <w:pStyle w:val="ListParagraph"/>
        <w:numPr>
          <w:ilvl w:val="0"/>
          <w:numId w:val="2"/>
        </w:numPr>
        <w:spacing w:after="80"/>
      </w:pPr>
      <w:r>
        <w:t xml:space="preserve">Azure Key Vault y Azure Monitor / Log Analytics Workspace.</w:t>
      </w:r>
    </w:p>
    <w:p>
      <w:pPr>
        <w:pStyle w:val="ListParagraph"/>
        <w:numPr>
          <w:ilvl w:val="0"/>
          <w:numId w:val="2"/>
        </w:numPr>
        <w:spacing w:after="80"/>
      </w:pPr>
      <w:r>
        <w:t xml:space="preserve">Conectividad entre el hospital y Azure (VPN site-to-site, ExpressRoute, o exposición controlada con lista blanca de IP) para el portal y la sincronización de archivos.</w:t>
      </w:r>
    </w:p>
    <w:p>
      <w:pPr>
        <w:pStyle w:val="ListParagraph"/>
        <w:numPr>
          <w:ilvl w:val="0"/>
          <w:numId w:val="2"/>
        </w:numPr>
        <w:spacing w:after="80"/>
      </w:pPr>
      <w:r>
        <w:t xml:space="preserve">Equipo local (on-premise) para la tarea de sincronización — puede ser el mismo equipo hoy utilizado para la extracción USB; no se requiere hardware nuevo.</w:t>
      </w:r>
    </w:p>
    <w:p>
      <w:pPr>
        <w:pStyle w:val="ListParagraph"/>
        <w:numPr>
          <w:ilvl w:val="0"/>
          <w:numId w:val="2"/>
        </w:numPr>
        <w:spacing w:after="80"/>
      </w:pPr>
      <w:r>
        <w:t xml:space="preserve">Software AzCopy / Azure Storage Explorer, o script con el SDK de Azure Storage, para la carga programada.</w:t>
      </w:r>
    </w:p>
    <w:p>
      <w:pPr>
        <w:pStyle w:val="ListParagraph"/>
        <w:numPr>
          <w:ilvl w:val="0"/>
          <w:numId w:val="2"/>
        </w:numPr>
        <w:spacing w:after="80"/>
      </w:pPr>
      <w:r>
        <w:t xml:space="preserve">Validación normativa aplicable en México: NOM-024-SSA3 (interoperabilidad de expedientes clínicos electrónicos) y Ley Federal de Protección de Datos Personales en Posesión de los Particulares (LFPDPPP), además de políticas internas de resguardo de imágenes/video de pacientes.</w:t>
      </w:r>
    </w:p>
    <w:p>
      <w:pPr>
        <w:pStyle w:val="Heading2"/>
      </w:pPr>
      <w:r>
        <w:t xml:space="preserve">6.2 Requerimientos humanos (equipo del cliente)</w:t>
      </w:r>
    </w:p>
    <w:p>
      <w:pPr>
        <w:pStyle w:val="ListParagraph"/>
        <w:numPr>
          <w:ilvl w:val="0"/>
          <w:numId w:val="2"/>
        </w:numPr>
        <w:spacing w:after="80"/>
      </w:pPr>
      <w:r>
        <w:t xml:space="preserve">Sponsor / responsable del proyecto por parte del hospital.</w:t>
      </w:r>
    </w:p>
    <w:p>
      <w:pPr>
        <w:pStyle w:val="ListParagraph"/>
        <w:numPr>
          <w:ilvl w:val="0"/>
          <w:numId w:val="2"/>
        </w:numPr>
        <w:spacing w:after="80"/>
      </w:pPr>
      <w:r>
        <w:t xml:space="preserve">Administrador de red y firewall, para habilitar la conectividad hacia Azure.</w:t>
      </w:r>
    </w:p>
    <w:p>
      <w:pPr>
        <w:pStyle w:val="ListParagraph"/>
        <w:numPr>
          <w:ilvl w:val="0"/>
          <w:numId w:val="2"/>
        </w:numPr>
        <w:spacing w:after="80"/>
      </w:pPr>
      <w:r>
        <w:t xml:space="preserve">Administrador de Active Directory / Microsoft Entra ID.</w:t>
      </w:r>
    </w:p>
    <w:p>
      <w:pPr>
        <w:pStyle w:val="ListParagraph"/>
        <w:numPr>
          <w:ilvl w:val="0"/>
          <w:numId w:val="2"/>
        </w:numPr>
        <w:spacing w:after="80"/>
      </w:pPr>
      <w:r>
        <w:t xml:space="preserve">Representante del personal médico/clínico, para definir la convención de nombres y metadatos requeridos.</w:t>
      </w:r>
    </w:p>
    <w:p>
      <w:pPr>
        <w:pStyle w:val="ListParagraph"/>
        <w:numPr>
          <w:ilvl w:val="0"/>
          <w:numId w:val="2"/>
        </w:numPr>
        <w:spacing w:after="80"/>
      </w:pPr>
      <w:r>
        <w:t xml:space="preserve">Área legal / cumplimiento, para validar retención de datos y normativa de protección de datos de pacientes.</w:t>
      </w:r>
    </w:p>
    <w:p>
      <w:pPr>
        <w:pStyle w:val="ListParagraph"/>
        <w:numPr>
          <w:ilvl w:val="0"/>
          <w:numId w:val="2"/>
        </w:numPr>
        <w:spacing w:after="80"/>
      </w:pPr>
      <w:r>
        <w:t xml:space="preserve">Usuarios designados para pruebas de aceptación (UAT), uno por cada perfil (médico, usuario final, administrador).</w:t>
      </w:r>
    </w:p>
    <w:p>
      <w:pPr>
        <w:pStyle w:val="Heading1"/>
      </w:pPr>
      <w:r>
        <w:t xml:space="preserve">7. Alcances</w:t>
      </w:r>
    </w:p>
    <w:p>
      <w:pPr>
        <w:pStyle w:val="ListParagraph"/>
        <w:numPr>
          <w:ilvl w:val="0"/>
          <w:numId w:val="3"/>
        </w:numPr>
        <w:spacing w:after="80"/>
      </w:pPr>
      <w:r>
        <w:t xml:space="preserve">Diseño e implementación de la arquitectura en Azure descrita en la sección 5.</w:t>
      </w:r>
    </w:p>
    <w:p>
      <w:pPr>
        <w:pStyle w:val="ListParagraph"/>
        <w:numPr>
          <w:ilvl w:val="0"/>
          <w:numId w:val="3"/>
        </w:numPr>
        <w:spacing w:after="80"/>
      </w:pPr>
      <w:r>
        <w:t xml:space="preserve">Configuración del ciclo de vida de almacenamiento (Hot / Cool / Archive).</w:t>
      </w:r>
    </w:p>
    <w:p>
      <w:pPr>
        <w:pStyle w:val="ListParagraph"/>
        <w:numPr>
          <w:ilvl w:val="0"/>
          <w:numId w:val="3"/>
        </w:numPr>
        <w:spacing w:after="80"/>
      </w:pPr>
      <w:r>
        <w:t xml:space="preserve">Desarrollo y configuración del portal web con los tres roles de acceso (autenticación, autorización, consulta, descarga y renombrado por metadatos).</w:t>
      </w:r>
    </w:p>
    <w:p>
      <w:pPr>
        <w:pStyle w:val="ListParagraph"/>
        <w:numPr>
          <w:ilvl w:val="0"/>
          <w:numId w:val="3"/>
        </w:numPr>
        <w:spacing w:after="80"/>
      </w:pPr>
      <w:r>
        <w:t xml:space="preserve">Configuración del proceso de sincronización on-premise → Azure (agente de carga), sin modificar el grabador ni su firmware.</w:t>
      </w:r>
    </w:p>
    <w:p>
      <w:pPr>
        <w:pStyle w:val="ListParagraph"/>
        <w:numPr>
          <w:ilvl w:val="0"/>
          <w:numId w:val="3"/>
        </w:numPr>
        <w:spacing w:after="80"/>
      </w:pPr>
      <w:r>
        <w:t xml:space="preserve">Migración inicial de los 24 TB existentes desde el servidor central hacia Blob Storage, vía AzCopy o Azure Data Box según el ancho de banda disponible.</w:t>
      </w:r>
    </w:p>
    <w:p>
      <w:pPr>
        <w:pStyle w:val="ListParagraph"/>
        <w:numPr>
          <w:ilvl w:val="0"/>
          <w:numId w:val="3"/>
        </w:numPr>
        <w:spacing w:after="80"/>
      </w:pPr>
      <w:r>
        <w:t xml:space="preserve">Configuración de monitoreo, alertas y auditoría básica de accesos.</w:t>
      </w:r>
    </w:p>
    <w:p>
      <w:pPr>
        <w:pStyle w:val="ListParagraph"/>
        <w:numPr>
          <w:ilvl w:val="0"/>
          <w:numId w:val="3"/>
        </w:numPr>
        <w:spacing w:after="80"/>
      </w:pPr>
      <w:r>
        <w:t xml:space="preserve">Documentación técnica y capacitación al equipo de TI y a usuarios clave.</w:t>
      </w:r>
    </w:p>
    <w:p>
      <w:pPr>
        <w:pStyle w:val="ListParagraph"/>
        <w:numPr>
          <w:ilvl w:val="0"/>
          <w:numId w:val="3"/>
        </w:numPr>
        <w:spacing w:after="80"/>
      </w:pPr>
      <w:r>
        <w:t xml:space="preserve">Pruebas de aceptación (UAT) con el cliente.</w:t>
      </w:r>
    </w:p>
    <w:p>
      <w:pPr>
        <w:pStyle w:val="Heading1"/>
      </w:pPr>
      <w:r>
        <w:t xml:space="preserve">8. Fuera de alcance</w:t>
      </w:r>
    </w:p>
    <w:p>
      <w:pPr>
        <w:pStyle w:val="ListParagraph"/>
        <w:numPr>
          <w:ilvl w:val="0"/>
          <w:numId w:val="2"/>
        </w:numPr>
        <w:spacing w:after="80"/>
      </w:pPr>
      <w:r>
        <w:t xml:space="preserve">Modificación, actualización o soporte del grabador de video del quófano (hardware/firmware del fabricante).</w:t>
      </w:r>
    </w:p>
    <w:p>
      <w:pPr>
        <w:pStyle w:val="ListParagraph"/>
        <w:numPr>
          <w:ilvl w:val="0"/>
          <w:numId w:val="2"/>
        </w:numPr>
        <w:spacing w:after="80"/>
      </w:pPr>
      <w:r>
        <w:t xml:space="preserve">Conexión del grabador directamente a la red de datos del hospital; se mantiene aislado por política clínica/seguridad.</w:t>
      </w:r>
    </w:p>
    <w:p>
      <w:pPr>
        <w:pStyle w:val="ListParagraph"/>
        <w:numPr>
          <w:ilvl w:val="0"/>
          <w:numId w:val="2"/>
        </w:numPr>
        <w:spacing w:after="80"/>
      </w:pPr>
      <w:r>
        <w:t xml:space="preserve">Desarrollo de funcionalidades de edición o análisis de video/imagen (IA, diagnóstico asistido, etc.); el alcance es únicamente gestión y resguardo de archivos.</w:t>
      </w:r>
    </w:p>
    <w:p>
      <w:pPr>
        <w:pStyle w:val="ListParagraph"/>
        <w:numPr>
          <w:ilvl w:val="0"/>
          <w:numId w:val="2"/>
        </w:numPr>
        <w:spacing w:after="80"/>
      </w:pPr>
      <w:r>
        <w:t xml:space="preserve">Integración con sistemas HIS / RIS / PACS del hospital, salvo que se defina explícitamente como una fase 2.</w:t>
      </w:r>
    </w:p>
    <w:p>
      <w:pPr>
        <w:pStyle w:val="ListParagraph"/>
        <w:numPr>
          <w:ilvl w:val="0"/>
          <w:numId w:val="2"/>
        </w:numPr>
        <w:spacing w:after="80"/>
      </w:pPr>
      <w:r>
        <w:t xml:space="preserve">Contratación o costo del enlace de conectividad (VPN/ExpressRoute) con el proveedor de telecomunicaciones; se asume que el cliente ya cuenta con él o lo gestionará por separado.</w:t>
      </w:r>
    </w:p>
    <w:p>
      <w:pPr>
        <w:pStyle w:val="ListParagraph"/>
        <w:numPr>
          <w:ilvl w:val="0"/>
          <w:numId w:val="2"/>
        </w:numPr>
        <w:spacing w:after="80"/>
      </w:pPr>
      <w:r>
        <w:t xml:space="preserve">Migración de datos adicionales a los 24 TB reportados, en caso de detectarse otros repositorios no mencionados en esta propuesta.</w:t>
      </w:r>
    </w:p>
    <w:p>
      <w:pPr>
        <w:pStyle w:val="ListParagraph"/>
        <w:numPr>
          <w:ilvl w:val="0"/>
          <w:numId w:val="2"/>
        </w:numPr>
        <w:spacing w:after="80"/>
      </w:pPr>
      <w:r>
        <w:t xml:space="preserve">Auditorías formales de cumplimiento normativo (se puede recomendar un despacho especializado en protección de datos de salud).</w:t>
      </w:r>
    </w:p>
    <w:p>
      <w:pPr>
        <w:pStyle w:val="ListParagraph"/>
        <w:numPr>
          <w:ilvl w:val="0"/>
          <w:numId w:val="2"/>
        </w:numPr>
        <w:spacing w:after="80"/>
      </w:pPr>
      <w:r>
        <w:t xml:space="preserve">Soporte post-implementación más allá del periodo de garantía que se defina en el contrato de servicio.</w:t>
      </w:r>
    </w:p>
    <w:p>
      <w:pPr>
        <w:pStyle w:val="Heading1"/>
      </w:pPr>
      <w:r>
        <w:t xml:space="preserve">9. Supuestos</w:t>
      </w:r>
    </w:p>
    <w:p>
      <w:pPr>
        <w:pStyle w:val="ListParagraph"/>
        <w:numPr>
          <w:ilvl w:val="0"/>
          <w:numId w:val="2"/>
        </w:numPr>
        <w:spacing w:after="80"/>
      </w:pPr>
      <w:r>
        <w:t xml:space="preserve">El cliente cuenta con una suscripción de Azure activa, o autoriza su creación, incluyendo el método de pago correspondiente.</w:t>
      </w:r>
    </w:p>
    <w:p>
      <w:pPr>
        <w:pStyle w:val="ListParagraph"/>
        <w:numPr>
          <w:ilvl w:val="0"/>
          <w:numId w:val="2"/>
        </w:numPr>
        <w:spacing w:after="80"/>
      </w:pPr>
      <w:r>
        <w:t xml:space="preserve">El grabador continuará aislado de la red por decisión clínica/seguridad; la extracción vía USB seguirá siendo manual.</w:t>
      </w:r>
    </w:p>
    <w:p>
      <w:pPr>
        <w:pStyle w:val="ListParagraph"/>
        <w:numPr>
          <w:ilvl w:val="0"/>
          <w:numId w:val="2"/>
        </w:numPr>
        <w:spacing w:after="80"/>
      </w:pPr>
      <w:r>
        <w:t xml:space="preserve">El volumen de 24 TB reportado corresponde al histórico total y se contará con una estimación de la tasa de crecimiento mensual, a validar en el arranque del proyecto.</w:t>
      </w:r>
    </w:p>
    <w:p>
      <w:pPr>
        <w:pStyle w:val="ListParagraph"/>
        <w:numPr>
          <w:ilvl w:val="0"/>
          <w:numId w:val="2"/>
        </w:numPr>
        <w:spacing w:after="80"/>
      </w:pPr>
      <w:r>
        <w:t xml:space="preserve">Existe, o se puede gestionar, una conexión desde el hospital hacia Azure con ancho de banda suficiente para la sincronización periódica de archivos.</w:t>
      </w:r>
    </w:p>
    <w:p>
      <w:pPr>
        <w:pStyle w:val="ListParagraph"/>
        <w:numPr>
          <w:ilvl w:val="0"/>
          <w:numId w:val="2"/>
        </w:numPr>
        <w:spacing w:after="80"/>
      </w:pPr>
      <w:r>
        <w:t xml:space="preserve">El cliente cuenta con un directorio de usuarios (Active Directory local o Microsoft Entra ID) o autoriza la creación de identidades en Entra ID para los tres perfiles.</w:t>
      </w:r>
    </w:p>
    <w:p>
      <w:pPr>
        <w:pStyle w:val="ListParagraph"/>
        <w:numPr>
          <w:ilvl w:val="0"/>
          <w:numId w:val="2"/>
        </w:numPr>
        <w:spacing w:after="80"/>
      </w:pPr>
      <w:r>
        <w:t xml:space="preserve">El procesamiento de archivos no requiere tiempo real; un esquema por lotes (near real-time) es aceptable, dado que la extracción ya es manual.</w:t>
      </w:r>
    </w:p>
    <w:p>
      <w:pPr>
        <w:pStyle w:val="ListParagraph"/>
        <w:numPr>
          <w:ilvl w:val="0"/>
          <w:numId w:val="2"/>
        </w:numPr>
        <w:spacing w:after="80"/>
      </w:pPr>
      <w:r>
        <w:t xml:space="preserve">El cliente proveerá la convención de nomenclatura/metadatos deseada, o autoriza al equipo de proyecto a proponer una basada en mejores prácticas del sector salud.</w:t>
      </w:r>
    </w:p>
    <w:p>
      <w:pPr>
        <w:pStyle w:val="ListParagraph"/>
        <w:numPr>
          <w:ilvl w:val="0"/>
          <w:numId w:val="2"/>
        </w:numPr>
        <w:spacing w:after="80"/>
      </w:pPr>
      <w:r>
        <w:t xml:space="preserve">Los montos presentados en la sección 13 son estimados con base en precios públicos de Azure vigentes a la fecha de esta propuesta y pueden variar; se recomienda validar el costo final en la calculadora oficial de Azure antes de aprobar el presupuesto.</w:t>
      </w:r>
    </w:p>
    <w:p>
      <w:pPr>
        <w:pStyle w:val="Heading1"/>
      </w:pPr>
      <w:r>
        <w:t xml:space="preserve">10. Equipo de trabajo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4080"/>
        <w:gridCol w:w="2160"/>
      </w:tblGrid>
      <w:tr>
        <w:trPr>
          <w:tblHeader/>
        </w:trPr>
        <w:tc>
          <w:tcPr>
            <w:tcW w:type="dxa" w:w="3120"/>
            <w:tcBorders>
              <w:top w:val="single" w:color="CCCCCC" w:sz="1"/>
              <w:left w:val="single" w:color="CCCCCC" w:sz="1"/>
              <w:bottom w:val="single" w:color="CCCCCC" w:sz="1"/>
              <w:right w:val="single" w:color="CCCCCC" w:sz="1"/>
            </w:tcBorders>
            <w:shd w:fill="0C447C" w:val="clear"/>
            <w:tcMar>
              <w:top w:type="dxa" w:w="80"/>
              <w:left w:type="dxa" w:w="120"/>
              <w:bottom w:type="dxa" w:w="80"/>
              <w:right w:type="dxa" w:w="120"/>
            </w:tcMar>
          </w:tcPr>
          <w:p>
            <w:pPr>
              <w:jc w:val="left"/>
            </w:pPr>
            <w:r>
              <w:rPr>
                <w:b/>
                <w:bCs/>
                <w:color w:val="FFFFFF"/>
                <w:sz w:val="20"/>
                <w:szCs w:val="20"/>
              </w:rPr>
              <w:t xml:space="preserve">Rol</w:t>
            </w:r>
          </w:p>
        </w:tc>
        <w:tc>
          <w:tcPr>
            <w:tcW w:type="dxa" w:w="4080"/>
            <w:tcBorders>
              <w:top w:val="single" w:color="CCCCCC" w:sz="1"/>
              <w:left w:val="single" w:color="CCCCCC" w:sz="1"/>
              <w:bottom w:val="single" w:color="CCCCCC" w:sz="1"/>
              <w:right w:val="single" w:color="CCCCCC" w:sz="1"/>
            </w:tcBorders>
            <w:shd w:fill="0C447C" w:val="clear"/>
            <w:tcMar>
              <w:top w:type="dxa" w:w="80"/>
              <w:left w:type="dxa" w:w="120"/>
              <w:bottom w:type="dxa" w:w="80"/>
              <w:right w:type="dxa" w:w="120"/>
            </w:tcMar>
          </w:tcPr>
          <w:p>
            <w:pPr>
              <w:jc w:val="left"/>
            </w:pPr>
            <w:r>
              <w:rPr>
                <w:b/>
                <w:bCs/>
                <w:color w:val="FFFFFF"/>
                <w:sz w:val="20"/>
                <w:szCs w:val="20"/>
              </w:rPr>
              <w:t xml:space="preserve">Responsabilidad</w:t>
            </w:r>
          </w:p>
        </w:tc>
        <w:tc>
          <w:tcPr>
            <w:tcW w:type="dxa" w:w="2160"/>
            <w:tcBorders>
              <w:top w:val="single" w:color="CCCCCC" w:sz="1"/>
              <w:left w:val="single" w:color="CCCCCC" w:sz="1"/>
              <w:bottom w:val="single" w:color="CCCCCC" w:sz="1"/>
              <w:right w:val="single" w:color="CCCCCC" w:sz="1"/>
            </w:tcBorders>
            <w:shd w:fill="0C447C" w:val="clear"/>
            <w:tcMar>
              <w:top w:type="dxa" w:w="80"/>
              <w:left w:type="dxa" w:w="120"/>
              <w:bottom w:type="dxa" w:w="80"/>
              <w:right w:type="dxa" w:w="120"/>
            </w:tcMar>
          </w:tcPr>
          <w:p>
            <w:pPr>
              <w:jc w:val="left"/>
            </w:pPr>
            <w:r>
              <w:rPr>
                <w:b/>
                <w:bCs/>
                <w:color w:val="FFFFFF"/>
                <w:sz w:val="20"/>
                <w:szCs w:val="20"/>
              </w:rPr>
              <w:t xml:space="preserve">Dedicación estimada</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Líder de proyecto (PM)</w:t>
            </w:r>
          </w:p>
        </w:tc>
        <w:tc>
          <w:tcPr>
            <w:tcW w:type="dxa" w:w="40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Planeación, seguimiento, comunicación con el cliente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Parcial, todo el proyecto</w:t>
            </w:r>
          </w:p>
        </w:tc>
      </w:tr>
      <w:tr>
        <w:tc>
          <w:tcPr>
            <w:tcW w:type="dxa" w:w="312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b w:val="false"/>
                <w:bCs w:val="false"/>
                <w:sz w:val="20"/>
                <w:szCs w:val="20"/>
              </w:rPr>
              <w:t xml:space="preserve">Arquitecto de soluciones Azure</w:t>
            </w:r>
          </w:p>
        </w:tc>
        <w:tc>
          <w:tcPr>
            <w:tcW w:type="dxa" w:w="40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b w:val="false"/>
                <w:bCs w:val="false"/>
                <w:sz w:val="20"/>
                <w:szCs w:val="20"/>
              </w:rPr>
              <w:t xml:space="preserve">Diseño de la arquitectura, decisiones de seguridad y costos</w:t>
            </w:r>
          </w:p>
        </w:tc>
        <w:tc>
          <w:tcPr>
            <w:tcW w:type="dxa" w:w="21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b w:val="false"/>
                <w:bCs w:val="false"/>
                <w:sz w:val="20"/>
                <w:szCs w:val="20"/>
              </w:rPr>
              <w:t xml:space="preserve">Parcial, fases 1–3</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Ingeniero/desarrollador Cloud</w:t>
            </w:r>
          </w:p>
        </w:tc>
        <w:tc>
          <w:tcPr>
            <w:tcW w:type="dxa" w:w="40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Implementación de Blob Storage, App Service, automatización (IaC)</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Completa, fases 2–4</w:t>
            </w:r>
          </w:p>
        </w:tc>
      </w:tr>
      <w:tr>
        <w:tc>
          <w:tcPr>
            <w:tcW w:type="dxa" w:w="312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b w:val="false"/>
                <w:bCs w:val="false"/>
                <w:sz w:val="20"/>
                <w:szCs w:val="20"/>
              </w:rPr>
              <w:t xml:space="preserve">Especialista en identidad y seguridad</w:t>
            </w:r>
          </w:p>
        </w:tc>
        <w:tc>
          <w:tcPr>
            <w:tcW w:type="dxa" w:w="40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b w:val="false"/>
                <w:bCs w:val="false"/>
                <w:sz w:val="20"/>
                <w:szCs w:val="20"/>
              </w:rPr>
              <w:t xml:space="preserve">Configuración de Entra ID, RBAC, Private Endpoint</w:t>
            </w:r>
          </w:p>
        </w:tc>
        <w:tc>
          <w:tcPr>
            <w:tcW w:type="dxa" w:w="21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b w:val="false"/>
                <w:bCs w:val="false"/>
                <w:sz w:val="20"/>
                <w:szCs w:val="20"/>
              </w:rPr>
              <w:t xml:space="preserve">Parcial, fases 2–5</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Especialista en migración de datos</w:t>
            </w:r>
          </w:p>
        </w:tc>
        <w:tc>
          <w:tcPr>
            <w:tcW w:type="dxa" w:w="40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Migración inicial de los 24 TB</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Parcial, fase 4</w:t>
            </w:r>
          </w:p>
        </w:tc>
      </w:tr>
      <w:tr>
        <w:tc>
          <w:tcPr>
            <w:tcW w:type="dxa" w:w="312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b w:val="false"/>
                <w:bCs w:val="false"/>
                <w:sz w:val="20"/>
                <w:szCs w:val="20"/>
              </w:rPr>
              <w:t xml:space="preserve">QA / Tester</w:t>
            </w:r>
          </w:p>
        </w:tc>
        <w:tc>
          <w:tcPr>
            <w:tcW w:type="dxa" w:w="40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b w:val="false"/>
                <w:bCs w:val="false"/>
                <w:sz w:val="20"/>
                <w:szCs w:val="20"/>
              </w:rPr>
              <w:t xml:space="preserve">Pruebas funcionales y de seguridad, apoyo en UAT</w:t>
            </w:r>
          </w:p>
        </w:tc>
        <w:tc>
          <w:tcPr>
            <w:tcW w:type="dxa" w:w="21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b w:val="false"/>
                <w:bCs w:val="false"/>
                <w:sz w:val="20"/>
                <w:szCs w:val="20"/>
              </w:rPr>
              <w:t xml:space="preserve">Parcial, fases 4–5</w:t>
            </w:r>
          </w:p>
        </w:tc>
      </w:tr>
    </w:tbl>
    <w:p>
      <w:pPr>
        <w:pStyle w:val="Heading1"/>
      </w:pPr>
      <w:r>
        <w:t xml:space="preserve">11. Tiempo estimado de implementación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6360"/>
        <w:gridCol w:w="1800"/>
      </w:tblGrid>
      <w:tr>
        <w:trPr>
          <w:tblHeader/>
        </w:trPr>
        <w:tc>
          <w:tcPr>
            <w:tcW w:type="dxa" w:w="1200"/>
            <w:tcBorders>
              <w:top w:val="single" w:color="CCCCCC" w:sz="1"/>
              <w:left w:val="single" w:color="CCCCCC" w:sz="1"/>
              <w:bottom w:val="single" w:color="CCCCCC" w:sz="1"/>
              <w:right w:val="single" w:color="CCCCCC" w:sz="1"/>
            </w:tcBorders>
            <w:shd w:fill="0C447C" w:val="clear"/>
            <w:tcMar>
              <w:top w:type="dxa" w:w="80"/>
              <w:left w:type="dxa" w:w="120"/>
              <w:bottom w:type="dxa" w:w="80"/>
              <w:right w:type="dxa" w:w="120"/>
            </w:tcMar>
          </w:tcPr>
          <w:p>
            <w:pPr>
              <w:jc w:val="left"/>
            </w:pPr>
            <w:r>
              <w:rPr>
                <w:b/>
                <w:bCs/>
                <w:color w:val="FFFFFF"/>
                <w:sz w:val="20"/>
                <w:szCs w:val="20"/>
              </w:rPr>
              <w:t xml:space="preserve">Fase</w:t>
            </w:r>
          </w:p>
        </w:tc>
        <w:tc>
          <w:tcPr>
            <w:tcW w:type="dxa" w:w="6360"/>
            <w:tcBorders>
              <w:top w:val="single" w:color="CCCCCC" w:sz="1"/>
              <w:left w:val="single" w:color="CCCCCC" w:sz="1"/>
              <w:bottom w:val="single" w:color="CCCCCC" w:sz="1"/>
              <w:right w:val="single" w:color="CCCCCC" w:sz="1"/>
            </w:tcBorders>
            <w:shd w:fill="0C447C" w:val="clear"/>
            <w:tcMar>
              <w:top w:type="dxa" w:w="80"/>
              <w:left w:type="dxa" w:w="120"/>
              <w:bottom w:type="dxa" w:w="80"/>
              <w:right w:type="dxa" w:w="120"/>
            </w:tcMar>
          </w:tcPr>
          <w:p>
            <w:pPr>
              <w:jc w:val="left"/>
            </w:pPr>
            <w:r>
              <w:rPr>
                <w:b/>
                <w:bCs/>
                <w:color w:val="FFFFFF"/>
                <w:sz w:val="20"/>
                <w:szCs w:val="20"/>
              </w:rPr>
              <w:t xml:space="preserve">Actividad</w:t>
            </w:r>
          </w:p>
        </w:tc>
        <w:tc>
          <w:tcPr>
            <w:tcW w:type="dxa" w:w="1800"/>
            <w:tcBorders>
              <w:top w:val="single" w:color="CCCCCC" w:sz="1"/>
              <w:left w:val="single" w:color="CCCCCC" w:sz="1"/>
              <w:bottom w:val="single" w:color="CCCCCC" w:sz="1"/>
              <w:right w:val="single" w:color="CCCCCC" w:sz="1"/>
            </w:tcBorders>
            <w:shd w:fill="0C447C" w:val="clear"/>
            <w:tcMar>
              <w:top w:type="dxa" w:w="80"/>
              <w:left w:type="dxa" w:w="120"/>
              <w:bottom w:type="dxa" w:w="80"/>
              <w:right w:type="dxa" w:w="120"/>
            </w:tcMar>
          </w:tcPr>
          <w:p>
            <w:pPr>
              <w:jc w:val="left"/>
            </w:pPr>
            <w:r>
              <w:rPr>
                <w:b/>
                <w:bCs/>
                <w:color w:val="FFFFFF"/>
                <w:sz w:val="20"/>
                <w:szCs w:val="20"/>
              </w:rPr>
              <w:t xml:space="preserve">Duración estimada</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1</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Descubrimiento y diseño detallado de la arquitectura</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2 semanas</w:t>
            </w:r>
          </w:p>
        </w:tc>
      </w:tr>
      <w:tr>
        <w:tc>
          <w:tcPr>
            <w:tcW w:type="dxa" w:w="1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b w:val="false"/>
                <w:bCs w:val="false"/>
                <w:sz w:val="20"/>
                <w:szCs w:val="20"/>
              </w:rPr>
              <w:t xml:space="preserve">2</w:t>
            </w:r>
          </w:p>
        </w:tc>
        <w:tc>
          <w:tcPr>
            <w:tcW w:type="dxa" w:w="6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b w:val="false"/>
                <w:bCs w:val="false"/>
                <w:sz w:val="20"/>
                <w:szCs w:val="20"/>
              </w:rPr>
              <w:t xml:space="preserve">Aprovisionamiento de la infraestructura en Azure (Storage, App Service, Entra ID, red)</w:t>
            </w:r>
          </w:p>
        </w:tc>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b w:val="false"/>
                <w:bCs w:val="false"/>
                <w:sz w:val="20"/>
                <w:szCs w:val="20"/>
              </w:rPr>
              <w:t xml:space="preserve">1–2 semanas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3</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Desarrollo del portal web y automatización de la ingesta/renombrado</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3–4 semanas</w:t>
            </w:r>
          </w:p>
        </w:tc>
      </w:tr>
      <w:tr>
        <w:tc>
          <w:tcPr>
            <w:tcW w:type="dxa" w:w="1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b w:val="false"/>
                <w:bCs w:val="false"/>
                <w:sz w:val="20"/>
                <w:szCs w:val="20"/>
              </w:rPr>
              <w:t xml:space="preserve">4</w:t>
            </w:r>
          </w:p>
        </w:tc>
        <w:tc>
          <w:tcPr>
            <w:tcW w:type="dxa" w:w="6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b w:val="false"/>
                <w:bCs w:val="false"/>
                <w:sz w:val="20"/>
                <w:szCs w:val="20"/>
              </w:rPr>
              <w:t xml:space="preserve">Migración inicial de los 24 TB existentes</w:t>
            </w:r>
          </w:p>
        </w:tc>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b w:val="false"/>
                <w:bCs w:val="false"/>
                <w:sz w:val="20"/>
                <w:szCs w:val="20"/>
              </w:rPr>
              <w:t xml:space="preserve">1–3 semanas (según ancho de banda o uso de Data Box)</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5</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Pruebas de aceptación (UAT) y ajustes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2 semanas</w:t>
            </w:r>
          </w:p>
        </w:tc>
      </w:tr>
      <w:tr>
        <w:tc>
          <w:tcPr>
            <w:tcW w:type="dxa" w:w="1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b w:val="false"/>
                <w:bCs w:val="false"/>
                <w:sz w:val="20"/>
                <w:szCs w:val="20"/>
              </w:rPr>
              <w:t xml:space="preserve">6</w:t>
            </w:r>
          </w:p>
        </w:tc>
        <w:tc>
          <w:tcPr>
            <w:tcW w:type="dxa" w:w="6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b w:val="false"/>
                <w:bCs w:val="false"/>
                <w:sz w:val="20"/>
                <w:szCs w:val="20"/>
              </w:rPr>
              <w:t xml:space="preserve">Capacitación, documentación y salida a producción</w:t>
            </w:r>
          </w:p>
        </w:tc>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b w:val="false"/>
                <w:bCs w:val="false"/>
                <w:sz w:val="20"/>
                <w:szCs w:val="20"/>
              </w:rPr>
              <w:t xml:space="preserve">1 semana</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7</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Garantía / acompañamiento post-salida</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2–4 semanas</w:t>
            </w:r>
          </w:p>
        </w:tc>
      </w:tr>
    </w:tbl>
    <w:p>
      <w:pPr>
        <w:spacing w:before="200"/>
      </w:pPr>
    </w:p>
    <w:p>
      <w:pPr>
        <w:spacing w:after="160"/>
      </w:pPr>
      <w:r>
        <w:rPr>
          <w:b/>
          <w:bCs/>
        </w:rPr>
        <w:t xml:space="preserve">Duración total estimada: </w:t>
      </w:r>
      <w:r>
        <w:t xml:space="preserve">de 10 a 14 semanas (2.5 a 3.5 meses), dependiendo principalmente del ancho de banda disponible para migrar los 24 TB iniciales y de la complejidad final del portal.</w:t>
      </w:r>
    </w:p>
    <w:p>
      <w:pPr>
        <w:pStyle w:val="Heading1"/>
      </w:pPr>
      <w:r>
        <w:t xml:space="preserve">12. Estimación de costos (calculadora Azure)</w:t>
      </w:r>
    </w:p>
    <w:p>
      <w:pPr>
        <w:spacing w:after="160"/>
      </w:pPr>
      <w:r>
        <w:t xml:space="preserve">Los siguientes montos son estimados con base en precios públicos de Azure (redundancia LRS, región estándar) vigentes a la fecha de esta propuesta. Los precios reales pueden variar por región, tipo de redundancia y negociación comercial; se recomienda validar la configuración final en la calculadora oficial: https://azure.microsoft.com/pricing/calculator/</w:t>
      </w:r>
    </w:p>
    <w:p>
      <w:pPr>
        <w:pStyle w:val="Heading2"/>
      </w:pPr>
      <w:r>
        <w:t xml:space="preserve">12.1 Costo recurrente mensual estimado (estado estable, tras aplicar ciclo de vida)</w:t>
      </w:r>
    </w:p>
    <w:p>
      <w:pPr>
        <w:spacing w:after="160"/>
      </w:pPr>
      <w:r>
        <w:t xml:space="preserve">Se asume una distribución aproximada del volumen de 24 TB una vez aplicada la política de ciclo de vida: 15% en nivel Hot (archivos recientes), 25% en Cool y 60% en Archive (histórico de baja consulta).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360"/>
        <w:gridCol w:w="2400"/>
      </w:tblGrid>
      <w:tr>
        <w:trPr>
          <w:tblHeader/>
        </w:trPr>
        <w:tc>
          <w:tcPr>
            <w:tcW w:type="dxa" w:w="2600"/>
            <w:tcBorders>
              <w:top w:val="single" w:color="CCCCCC" w:sz="1"/>
              <w:left w:val="single" w:color="CCCCCC" w:sz="1"/>
              <w:bottom w:val="single" w:color="CCCCCC" w:sz="1"/>
              <w:right w:val="single" w:color="CCCCCC" w:sz="1"/>
            </w:tcBorders>
            <w:shd w:fill="0C447C" w:val="clear"/>
            <w:tcMar>
              <w:top w:type="dxa" w:w="80"/>
              <w:left w:type="dxa" w:w="120"/>
              <w:bottom w:type="dxa" w:w="80"/>
              <w:right w:type="dxa" w:w="120"/>
            </w:tcMar>
          </w:tcPr>
          <w:p>
            <w:pPr>
              <w:jc w:val="left"/>
            </w:pPr>
            <w:r>
              <w:rPr>
                <w:b/>
                <w:bCs/>
                <w:color w:val="FFFFFF"/>
                <w:sz w:val="20"/>
                <w:szCs w:val="20"/>
              </w:rPr>
              <w:t xml:space="preserve">Componente</w:t>
            </w:r>
          </w:p>
        </w:tc>
        <w:tc>
          <w:tcPr>
            <w:tcW w:type="dxa" w:w="4360"/>
            <w:tcBorders>
              <w:top w:val="single" w:color="CCCCCC" w:sz="1"/>
              <w:left w:val="single" w:color="CCCCCC" w:sz="1"/>
              <w:bottom w:val="single" w:color="CCCCCC" w:sz="1"/>
              <w:right w:val="single" w:color="CCCCCC" w:sz="1"/>
            </w:tcBorders>
            <w:shd w:fill="0C447C" w:val="clear"/>
            <w:tcMar>
              <w:top w:type="dxa" w:w="80"/>
              <w:left w:type="dxa" w:w="120"/>
              <w:bottom w:type="dxa" w:w="80"/>
              <w:right w:type="dxa" w:w="120"/>
            </w:tcMar>
          </w:tcPr>
          <w:p>
            <w:pPr>
              <w:jc w:val="left"/>
            </w:pPr>
            <w:r>
              <w:rPr>
                <w:b/>
                <w:bCs/>
                <w:color w:val="FFFFFF"/>
                <w:sz w:val="20"/>
                <w:szCs w:val="20"/>
              </w:rPr>
              <w:t xml:space="preserve">Detalle / supuesto</w:t>
            </w:r>
          </w:p>
        </w:tc>
        <w:tc>
          <w:tcPr>
            <w:tcW w:type="dxa" w:w="2400"/>
            <w:tcBorders>
              <w:top w:val="single" w:color="CCCCCC" w:sz="1"/>
              <w:left w:val="single" w:color="CCCCCC" w:sz="1"/>
              <w:bottom w:val="single" w:color="CCCCCC" w:sz="1"/>
              <w:right w:val="single" w:color="CCCCCC" w:sz="1"/>
            </w:tcBorders>
            <w:shd w:fill="0C447C" w:val="clear"/>
            <w:tcMar>
              <w:top w:type="dxa" w:w="80"/>
              <w:left w:type="dxa" w:w="120"/>
              <w:bottom w:type="dxa" w:w="80"/>
              <w:right w:type="dxa" w:w="120"/>
            </w:tcMar>
          </w:tcPr>
          <w:p>
            <w:pPr>
              <w:jc w:val="left"/>
            </w:pPr>
            <w:r>
              <w:rPr>
                <w:b/>
                <w:bCs/>
                <w:color w:val="FFFFFF"/>
                <w:sz w:val="20"/>
                <w:szCs w:val="20"/>
              </w:rPr>
              <w:t xml:space="preserve">Costo mensual estimado (USD)</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Blob Storage – nivel Hot</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 3.6 TB × ≈$0.020/GB</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$70 – $85</w:t>
            </w:r>
          </w:p>
        </w:tc>
      </w:tr>
      <w:tr>
        <w:tc>
          <w:tcPr>
            <w:tcW w:type="dxa" w:w="2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b w:val="false"/>
                <w:bCs w:val="false"/>
                <w:sz w:val="20"/>
                <w:szCs w:val="20"/>
              </w:rPr>
              <w:t xml:space="preserve">Blob Storage – nivel Cool</w:t>
            </w:r>
          </w:p>
        </w:tc>
        <w:tc>
          <w:tcPr>
            <w:tcW w:type="dxa" w:w="4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b w:val="false"/>
                <w:bCs w:val="false"/>
                <w:sz w:val="20"/>
                <w:szCs w:val="20"/>
              </w:rPr>
              <w:t xml:space="preserve">≈ 6 TB × ≈$0.013/GB</w:t>
            </w:r>
          </w:p>
        </w:tc>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b w:val="false"/>
                <w:bCs w:val="false"/>
                <w:sz w:val="20"/>
                <w:szCs w:val="20"/>
              </w:rPr>
              <w:t xml:space="preserve">$75 – $90</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Blob Storage – nivel Archive</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 14.4 TB × ≈$0.002/GB</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$25 – $35</w:t>
            </w:r>
          </w:p>
        </w:tc>
      </w:tr>
      <w:tr>
        <w:tc>
          <w:tcPr>
            <w:tcW w:type="dxa" w:w="2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b w:val="false"/>
                <w:bCs w:val="false"/>
                <w:sz w:val="20"/>
                <w:szCs w:val="20"/>
              </w:rPr>
              <w:t xml:space="preserve">Transacciones y operaciones</w:t>
            </w:r>
          </w:p>
        </w:tc>
        <w:tc>
          <w:tcPr>
            <w:tcW w:type="dxa" w:w="4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b w:val="false"/>
                <w:bCs w:val="false"/>
                <w:sz w:val="20"/>
                <w:szCs w:val="20"/>
              </w:rPr>
              <w:t xml:space="preserve">Lecturas/escrituras de la aplicación y del agente de sincronización</w:t>
            </w:r>
          </w:p>
        </w:tc>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b w:val="false"/>
                <w:bCs w:val="false"/>
                <w:sz w:val="20"/>
                <w:szCs w:val="20"/>
              </w:rPr>
              <w:t xml:space="preserve">$15 – $30</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Azure App Service Plan (Linux)</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Premium v3 P1v3 (producción); Basic B1 posible en ambiente de pruebas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$140 – $180</w:t>
            </w:r>
          </w:p>
        </w:tc>
      </w:tr>
      <w:tr>
        <w:tc>
          <w:tcPr>
            <w:tcW w:type="dxa" w:w="2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b w:val="false"/>
                <w:bCs w:val="false"/>
                <w:sz w:val="20"/>
                <w:szCs w:val="20"/>
              </w:rPr>
              <w:t xml:space="preserve">Private Endpoint</w:t>
            </w:r>
          </w:p>
        </w:tc>
        <w:tc>
          <w:tcPr>
            <w:tcW w:type="dxa" w:w="4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b w:val="false"/>
                <w:bCs w:val="false"/>
                <w:sz w:val="20"/>
                <w:szCs w:val="20"/>
              </w:rPr>
              <w:t xml:space="preserve">Conectividad privada App Service ↔ Storage</w:t>
            </w:r>
          </w:p>
        </w:tc>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b w:val="false"/>
                <w:bCs w:val="false"/>
                <w:sz w:val="20"/>
                <w:szCs w:val="20"/>
              </w:rPr>
              <w:t xml:space="preserve">$8 – $15</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Azure Key Vault</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Almacenamiento de secretos y operaciones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$3 – $5</w:t>
            </w:r>
          </w:p>
        </w:tc>
      </w:tr>
      <w:tr>
        <w:tc>
          <w:tcPr>
            <w:tcW w:type="dxa" w:w="2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b w:val="false"/>
                <w:bCs w:val="false"/>
                <w:sz w:val="20"/>
                <w:szCs w:val="20"/>
              </w:rPr>
              <w:t xml:space="preserve">Azure Monitor / Log Analytics</w:t>
            </w:r>
          </w:p>
        </w:tc>
        <w:tc>
          <w:tcPr>
            <w:tcW w:type="dxa" w:w="4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b w:val="false"/>
                <w:bCs w:val="false"/>
                <w:sz w:val="20"/>
                <w:szCs w:val="20"/>
              </w:rPr>
              <w:t xml:space="preserve">Auditoría de accesos, según volumen de logs</w:t>
            </w:r>
          </w:p>
        </w:tc>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b w:val="false"/>
                <w:bCs w:val="false"/>
                <w:sz w:val="20"/>
                <w:szCs w:val="20"/>
              </w:rPr>
              <w:t xml:space="preserve">$30 – $60</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Microsoft Entra ID P1 (opcional)</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MFA / acceso condicional, por usuario con licencia</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≈$6 por usuario</w:t>
            </w:r>
          </w:p>
        </w:tc>
      </w:tr>
    </w:tbl>
    <w:p>
      <w:pPr>
        <w:spacing w:before="200"/>
      </w:pPr>
    </w:p>
    <w:p>
      <w:pPr>
        <w:spacing w:after="160"/>
      </w:pPr>
      <w:r>
        <w:rPr>
          <w:b/>
          <w:bCs/>
        </w:rPr>
        <w:t xml:space="preserve">Total recurrente estimado: </w:t>
      </w:r>
      <w:r>
        <w:t xml:space="preserve">aproximadamente $370 a $500 USD/mes en estado estable (sin incluir licencias de Entra ID P1 por usuario ni el enlace de conectividad con el hospital, que suelen negociarse por separado).</w:t>
      </w:r>
    </w:p>
    <w:p>
      <w:pPr>
        <w:pStyle w:val="Heading2"/>
      </w:pPr>
      <w:r>
        <w:t xml:space="preserve">12.2 Costos de una sola vez (migración inicial)</w:t>
      </w:r>
    </w:p>
    <w:p>
      <w:pPr>
        <w:pStyle w:val="ListParagraph"/>
        <w:numPr>
          <w:ilvl w:val="0"/>
          <w:numId w:val="2"/>
        </w:numPr>
        <w:spacing w:after="80"/>
      </w:pPr>
      <w:r>
        <w:t xml:space="preserve">Migración vía AzCopy sobre el enlace existente: costo de Azure marginal (transacciones de escritura), aproximadamente $50–$100 USD únicos; el tiempo dependerá del ancho de banda disponible.</w:t>
      </w:r>
    </w:p>
    <w:p>
      <w:pPr>
        <w:pStyle w:val="ListParagraph"/>
        <w:numPr>
          <w:ilvl w:val="0"/>
          <w:numId w:val="2"/>
        </w:numPr>
        <w:spacing w:after="80"/>
      </w:pPr>
      <w:r>
        <w:t xml:space="preserve">Alternativa Azure Data Box (si el ancho de banda es insuficiente para mover 24 TB en un plazo razonable): renta del dispositivo, aproximadamente $250–$500 USD por el periodo de uso, según región.</w:t>
      </w:r>
    </w:p>
    <w:p>
      <w:pPr>
        <w:pStyle w:val="Heading2"/>
      </w:pPr>
      <w:r>
        <w:t xml:space="preserve">12.3 Consideraciones de costo importantes</w:t>
      </w:r>
    </w:p>
    <w:p>
      <w:pPr>
        <w:pStyle w:val="ListParagraph"/>
        <w:numPr>
          <w:ilvl w:val="0"/>
          <w:numId w:val="2"/>
        </w:numPr>
        <w:spacing w:after="80"/>
      </w:pPr>
      <w:r>
        <w:t xml:space="preserve">El nivel Archive tiene un periodo mínimo de retención de 180 días; mover o eliminar un archivo antes de ese plazo genera un cargo por eliminación anticipada.</w:t>
      </w:r>
    </w:p>
    <w:p>
      <w:pPr>
        <w:pStyle w:val="ListParagraph"/>
        <w:numPr>
          <w:ilvl w:val="0"/>
          <w:numId w:val="2"/>
        </w:numPr>
        <w:spacing w:after="80"/>
      </w:pPr>
      <w:r>
        <w:t xml:space="preserve">Las lecturas desde el nivel Archive requieren un proceso de rehidratación (hasta 15 horas) y tienen un costo por operación significativamente mayor que Hot/Cool; por ello se recomienda que solo el histórico realmente inactivo pase a este nivel.</w:t>
      </w:r>
    </w:p>
    <w:p>
      <w:pPr>
        <w:pStyle w:val="ListParagraph"/>
        <w:numPr>
          <w:ilvl w:val="0"/>
          <w:numId w:val="2"/>
        </w:numPr>
        <w:spacing w:after="80"/>
      </w:pPr>
      <w:r>
        <w:t xml:space="preserve">Existe la opción de capacidad reservada (1 o 3 años) para los niveles Hot y Cool, con descuentos de hasta 38% y 48% respectivamente, recomendable una vez que el volumen y el patrón de crecimiento sean estables.</w:t>
      </w:r>
    </w:p>
    <w:p>
      <w:pPr>
        <w:pStyle w:val="Heading1"/>
      </w:pPr>
      <w:r>
        <w:t xml:space="preserve">13. Riesgos y consideraciones adicionales</w:t>
      </w:r>
    </w:p>
    <w:p>
      <w:pPr>
        <w:pStyle w:val="ListParagraph"/>
        <w:numPr>
          <w:ilvl w:val="0"/>
          <w:numId w:val="2"/>
        </w:numPr>
        <w:spacing w:after="80"/>
      </w:pPr>
      <w:r>
        <w:t xml:space="preserve">Cumplimiento normativo: se debe confirmar si los archivos contienen datos identificables de pacientes, lo que implicaría controles adicionales de privacidad conforme a la NOM-024-SSA3 y la LFPDPPP.</w:t>
      </w:r>
    </w:p>
    <w:p>
      <w:pPr>
        <w:pStyle w:val="ListParagraph"/>
        <w:numPr>
          <w:ilvl w:val="0"/>
          <w:numId w:val="2"/>
        </w:numPr>
        <w:spacing w:after="80"/>
      </w:pPr>
      <w:r>
        <w:t xml:space="preserve">Ancho de banda limitado en el hospital puede alargar la migración inicial de los 24 TB; se recomienda evaluar Azure Data Box como alternativa si el enlace actual es insuficiente.</w:t>
      </w:r>
    </w:p>
    <w:p>
      <w:pPr>
        <w:pStyle w:val="ListParagraph"/>
        <w:numPr>
          <w:ilvl w:val="0"/>
          <w:numId w:val="2"/>
        </w:numPr>
        <w:spacing w:after="80"/>
      </w:pPr>
      <w:r>
        <w:t xml:space="preserve">El proceso de extracción vía USB seguirá siendo manual y depende de la disciplina operativa del personal; se recomienda documentar el procedimiento y asignar un responsable.</w:t>
      </w:r>
    </w:p>
    <w:p>
      <w:pPr>
        <w:pStyle w:val="ListParagraph"/>
        <w:numPr>
          <w:ilvl w:val="0"/>
          <w:numId w:val="2"/>
        </w:numPr>
        <w:spacing w:after="80"/>
      </w:pPr>
      <w:r>
        <w:t xml:space="preserve">Una configuración incorrecta del ciclo de vida (por ejemplo, mover a Archive datos que aún se consultan con frecuencia) puede generar costos de rehidratación mayores a los ahorrados.</w:t>
      </w:r>
    </w:p>
    <w:p>
      <w:pPr>
        <w:pStyle w:val="ListParagraph"/>
        <w:numPr>
          <w:ilvl w:val="0"/>
          <w:numId w:val="2"/>
        </w:numPr>
        <w:spacing w:after="80"/>
      </w:pPr>
      <w:r>
        <w:t xml:space="preserve">Sin una convención de metadatos clara y consistente, la búsqueda y consulta de archivos pierde valor; se recomienda definirla junto con el personal médico desde la fase de diseño.</w:t>
      </w:r>
    </w:p>
    <w:p>
      <w:pPr>
        <w:pStyle w:val="Heading1"/>
      </w:pPr>
      <w:r>
        <w:t xml:space="preserve">14. Conclusión y recomendación</w:t>
      </w:r>
    </w:p>
    <w:p>
      <w:pPr>
        <w:spacing w:after="160"/>
      </w:pPr>
      <w:r>
        <w:t xml:space="preserve">Se recomienda avanzar con la Opción B: Azure App Service (Linux) conectado a Azure Blob Storage, con ciclo de vida de almacenamiento activado, autenticación mediante Microsoft Entra ID y conectividad privada (Private Endpoint). Esta arquitectura resuelve la necesidad de gestión de archivos (renombrado, búsqueda, control de acceso por rol) sin requerir la administración de un servidor dedicado, optimiza los costos de almacenamiento mediante niveles automáticos, y ofrece una base sólida de seguridad y auditoría adecuada para el manejo de información clínica sensible.</w:t>
      </w:r>
    </w:p>
    <w:p>
      <w:pPr>
        <w:spacing w:after="160"/>
      </w:pPr>
      <w:r>
        <w:t xml:space="preserve">Quedamos atentos a sus comentarios para afinar el alcance final, validar los supuestos de conectividad y ancho de banda, y programar el arranque del proyecto.</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Página </w:t>
    </w:r>
    <w:r>
      <w:rPr>
        <w:color w:val="888888"/>
        <w:sz w:val="16"/>
        <w:szCs w:val="16"/>
      </w:rPr>
      <w:fldChar w:fldCharType="begin"/>
      <w:instrText xml:space="preserve">PAGE</w:instrText>
      <w:fldChar w:fldCharType="separate"/>
      <w:fldChar w:fldCharType="end"/>
    </w:r>
    <w:r>
      <w:rPr>
        <w:color w:val="888888"/>
        <w:sz w:val="16"/>
        <w:szCs w:val="16"/>
      </w:rPr>
      <w:t xml:space="preserve"> de </w:t>
    </w:r>
    <w:r>
      <w:rPr>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026"/>
      </w:tabs>
    </w:pPr>
    <w:r>
      <w:rPr>
        <w:color w:val="888888"/>
        <w:sz w:val="16"/>
        <w:szCs w:val="16"/>
      </w:rPr>
      <w:t xml:space="preserve">Propuesta de Servicio – Gestión de Video Quirúrgico en Azure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0" w:hanging="300"/>
      </w:pPr>
    </w:lvl>
    <w:lvl w:ilvl="1" w15:tentative="1">
      <w:start w:val="1"/>
      <w:numFmt w:val="bullet"/>
      <w:lvlText w:val="–"/>
      <w:lvlJc w:val="left"/>
      <w:pPr>
        <w:ind w:left="900" w:hanging="300"/>
      </w:pPr>
    </w:lvl>
  </w:abstractNum>
  <w:abstractNum w:abstractNumId="3" w15:restartNumberingAfterBreak="0">
    <w:multiLevelType w:val="hybridMultilevel"/>
    <w:lvl w:ilvl="0" w15:tentative="1">
      <w:start w:val="1"/>
      <w:numFmt w:val="decimal"/>
      <w:lvlText w:val="%1."/>
      <w:lvlJc w:val="left"/>
      <w:pPr>
        <w:ind w:left="50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22222"/>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0C447C" w:sz="6" w:space="4"/>
      </w:pBdr>
      <w:spacing w:after="200" w:before="380"/>
      <w:outlineLvl w:val="0"/>
    </w:pPr>
    <w:rPr>
      <w:rFonts w:ascii="Arial" w:cs="Arial" w:eastAsia="Arial" w:hAnsi="Arial"/>
      <w:b/>
      <w:bCs/>
      <w:color w:val="0C447C"/>
      <w:sz w:val="30"/>
      <w:szCs w:val="30"/>
    </w:rPr>
  </w:style>
  <w:style w:type="paragraph" w:styleId="Heading2">
    <w:name w:val="Heading 2"/>
    <w:basedOn w:val="Normal"/>
    <w:next w:val="Normal"/>
    <w:qFormat/>
    <w:pPr>
      <w:spacing w:after="140" w:before="240"/>
      <w:outlineLvl w:val="1"/>
    </w:pPr>
    <w:rPr>
      <w:rFonts w:ascii="Arial" w:cs="Arial" w:eastAsia="Arial" w:hAnsi="Arial"/>
      <w:b/>
      <w:bCs/>
      <w:color w:val="222222"/>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2026-07-01T02:58:14.165Z</dcterms:created>
  <dcterms:modified xsi:type="dcterms:W3CDTF">2026-07-01T02:58:14.165Z</dcterms:modified>
</cp:coreProperties>
</file>

<file path=docProps/custom.xml><?xml version="1.0" encoding="utf-8"?>
<Properties xmlns="http://schemas.openxmlformats.org/officeDocument/2006/custom-properties" xmlns:vt="http://schemas.openxmlformats.org/officeDocument/2006/docPropsVTypes"/>
</file>