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COTIZACIÓN DE SERVICIOS</w:t>
      </w:r>
    </w:p>
    <w:p>
      <w:pPr>
        <w:spacing w:after="300"/>
      </w:pPr>
      <w:r>
        <w:rPr>
          <w:b/>
          <w:bCs/>
          <w:color w:val="404040"/>
          <w:sz w:val="32"/>
          <w:szCs w:val="32"/>
        </w:rPr>
        <w:t xml:space="preserve">Microsoft Azure — Calculadora de Precios</w:t>
      </w:r>
    </w:p>
    <w:p>
      <w:pPr>
        <w:spacing w:after="40"/>
      </w:pPr>
      <w:r>
        <w:rPr>
          <w:sz w:val="20"/>
          <w:szCs w:val="20"/>
        </w:rPr>
        <w:t xml:space="preserve">Suscripción: Microsoft Azure (ceaq): #1427074</w:t>
      </w:r>
    </w:p>
    <w:p>
      <w:pPr>
        <w:spacing w:after="40"/>
      </w:pPr>
      <w:r>
        <w:rPr>
          <w:sz w:val="20"/>
          <w:szCs w:val="20"/>
        </w:rPr>
        <w:t xml:space="preserve">Periodo de referencia de consumo: 1 – 31 de julio de 2026</w:t>
      </w:r>
    </w:p>
    <w:p>
      <w:pPr>
        <w:spacing w:after="40"/>
      </w:pPr>
      <w:r>
        <w:rPr>
          <w:sz w:val="20"/>
          <w:szCs w:val="20"/>
        </w:rPr>
        <w:t xml:space="preserve">Región principal: US East (East US)</w:t>
      </w:r>
    </w:p>
    <w:p>
      <w:pPr>
        <w:spacing w:after="300"/>
      </w:pPr>
      <w:r>
        <w:rPr>
          <w:sz w:val="20"/>
          <w:szCs w:val="20"/>
        </w:rPr>
        <w:t xml:space="preserve">Fecha de elaboración: 20 de julio de 2026</w:t>
      </w:r>
    </w:p>
    <w:p>
      <w:pPr>
        <w:pStyle w:val="Heading2"/>
        <w:spacing w:after="150" w:before="300"/>
      </w:pPr>
      <w:r>
        <w:rPr>
          <w:b/>
          <w:bCs/>
          <w:color w:val="1F3864"/>
        </w:rPr>
        <w:t xml:space="preserve">1. Resumen Ejecutivo</w:t>
      </w:r>
    </w:p>
    <w:p>
      <w:pPr>
        <w:spacing w:after="150"/>
      </w:pPr>
      <w:r>
        <w:rPr>
          <w:sz w:val="21"/>
          <w:szCs w:val="21"/>
        </w:rPr>
        <w:t xml:space="preserve">Esta cotización reproduce, en el formato de la Calculadora de Precios de Azure, el costo mensual estimado de la infraestructura actualmente desplegada en la suscripción, con base en el consumo real reportado por Azure Cost Management para el periodo indicado. Incluye máquinas virtuales, discos administrados, respaldo (Azure Backup), cuentas de almacenamiento, redes y servicios de entrega de contenido.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500"/>
        <w:gridCol w:w="2700"/>
      </w:tblGrid>
      <w:tr>
        <w:trPr>
          <w:tblHeader/>
        </w:trPr>
        <w:tc>
          <w:tcPr>
            <w:tcW w:type="dxa" w:w="7500"/>
            <w:shd w:fill="1F3864" w:val="clear"/>
            <w:vAlign w:val="center"/>
          </w:tcPr>
          <w:p>
            <w:r>
              <w:rPr>
                <w:b/>
                <w:bCs/>
                <w:color w:val="FFFFFF"/>
                <w:sz w:val="20"/>
                <w:szCs w:val="20"/>
              </w:rPr>
              <w:t xml:space="preserve">Categoría de Servicio</w:t>
            </w:r>
          </w:p>
        </w:tc>
        <w:tc>
          <w:tcPr>
            <w:tcW w:type="dxa" w:w="2700"/>
            <w:shd w:fill="1F3864" w:val="clear"/>
            <w:vAlign w:val="center"/>
          </w:tcPr>
          <w:p>
            <w:r>
              <w:rPr>
                <w:b/>
                <w:bCs/>
                <w:color w:val="FFFFFF"/>
                <w:sz w:val="20"/>
                <w:szCs w:val="20"/>
              </w:rPr>
              <w:t xml:space="preserve">Costo mensual estimado</w:t>
            </w:r>
          </w:p>
        </w:tc>
      </w:tr>
      <w:tr>
        <w:tc>
          <w:tcPr>
            <w:tcW w:type="dxa" w:w="7500"/>
            <w:vAlign w:val="center"/>
          </w:tcPr>
          <w:p>
            <w:pPr>
              <w:jc w:val="left"/>
            </w:pPr>
            <w:r>
              <w:rPr>
                <w:b w:val="false"/>
                <w:bCs w:val="false"/>
                <w:sz w:val="20"/>
                <w:szCs w:val="20"/>
              </w:rPr>
              <w:t xml:space="preserve">Máquinas Virtuales (cómputo)</w:t>
            </w:r>
          </w:p>
        </w:tc>
        <w:tc>
          <w:tcPr>
            <w:tcW w:type="dxa" w:w="2700"/>
            <w:vAlign w:val="center"/>
          </w:tcPr>
          <w:p>
            <w:pPr>
              <w:jc w:val="right"/>
            </w:pPr>
            <w:r>
              <w:rPr>
                <w:b w:val="false"/>
                <w:bCs w:val="false"/>
                <w:sz w:val="20"/>
                <w:szCs w:val="20"/>
              </w:rPr>
              <w:t xml:space="preserve">$1,603.17 USD</w:t>
            </w:r>
          </w:p>
        </w:tc>
      </w:tr>
      <w:tr>
        <w:tc>
          <w:tcPr>
            <w:tcW w:type="dxa" w:w="7500"/>
            <w:shd w:fill="F2F2F2" w:val="clear"/>
            <w:vAlign w:val="center"/>
          </w:tcPr>
          <w:p>
            <w:pPr>
              <w:jc w:val="left"/>
            </w:pPr>
            <w:r>
              <w:rPr>
                <w:b w:val="false"/>
                <w:bCs w:val="false"/>
                <w:sz w:val="20"/>
                <w:szCs w:val="20"/>
              </w:rPr>
              <w:t xml:space="preserve">Discos administrados (almacenamiento en bloque)</w:t>
            </w:r>
          </w:p>
        </w:tc>
        <w:tc>
          <w:tcPr>
            <w:tcW w:type="dxa" w:w="2700"/>
            <w:shd w:fill="F2F2F2" w:val="clear"/>
            <w:vAlign w:val="center"/>
          </w:tcPr>
          <w:p>
            <w:pPr>
              <w:jc w:val="right"/>
            </w:pPr>
            <w:r>
              <w:rPr>
                <w:b w:val="false"/>
                <w:bCs w:val="false"/>
                <w:sz w:val="20"/>
                <w:szCs w:val="20"/>
              </w:rPr>
              <w:t xml:space="preserve">$1,225.69 USD</w:t>
            </w:r>
          </w:p>
        </w:tc>
      </w:tr>
      <w:tr>
        <w:tc>
          <w:tcPr>
            <w:tcW w:type="dxa" w:w="7500"/>
            <w:vAlign w:val="center"/>
          </w:tcPr>
          <w:p>
            <w:pPr>
              <w:jc w:val="left"/>
            </w:pPr>
            <w:r>
              <w:rPr>
                <w:b w:val="false"/>
                <w:bCs w:val="false"/>
                <w:sz w:val="20"/>
                <w:szCs w:val="20"/>
              </w:rPr>
              <w:t xml:space="preserve">Azure Backup (respaldo)</w:t>
            </w:r>
          </w:p>
        </w:tc>
        <w:tc>
          <w:tcPr>
            <w:tcW w:type="dxa" w:w="2700"/>
            <w:vAlign w:val="center"/>
          </w:tcPr>
          <w:p>
            <w:pPr>
              <w:jc w:val="right"/>
            </w:pPr>
            <w:r>
              <w:rPr>
                <w:b w:val="false"/>
                <w:bCs w:val="false"/>
                <w:sz w:val="20"/>
                <w:szCs w:val="20"/>
              </w:rPr>
              <w:t xml:space="preserve">$1,297.27 USD</w:t>
            </w:r>
          </w:p>
        </w:tc>
      </w:tr>
      <w:tr>
        <w:tc>
          <w:tcPr>
            <w:tcW w:type="dxa" w:w="7500"/>
            <w:shd w:fill="F2F2F2" w:val="clear"/>
            <w:vAlign w:val="center"/>
          </w:tcPr>
          <w:p>
            <w:pPr>
              <w:jc w:val="left"/>
            </w:pPr>
            <w:r>
              <w:rPr>
                <w:b w:val="false"/>
                <w:bCs w:val="false"/>
                <w:sz w:val="20"/>
                <w:szCs w:val="20"/>
              </w:rPr>
              <w:t xml:space="preserve">Cuentas de almacenamiento (Tables/Blob/Files)</w:t>
            </w:r>
          </w:p>
        </w:tc>
        <w:tc>
          <w:tcPr>
            <w:tcW w:type="dxa" w:w="2700"/>
            <w:shd w:fill="F2F2F2" w:val="clear"/>
            <w:vAlign w:val="center"/>
          </w:tcPr>
          <w:p>
            <w:pPr>
              <w:jc w:val="right"/>
            </w:pPr>
            <w:r>
              <w:rPr>
                <w:b w:val="false"/>
                <w:bCs w:val="false"/>
                <w:sz w:val="20"/>
                <w:szCs w:val="20"/>
              </w:rPr>
              <w:t xml:space="preserve">$309.67 USD</w:t>
            </w:r>
          </w:p>
        </w:tc>
      </w:tr>
      <w:tr>
        <w:tc>
          <w:tcPr>
            <w:tcW w:type="dxa" w:w="7500"/>
            <w:vAlign w:val="center"/>
          </w:tcPr>
          <w:p>
            <w:pPr>
              <w:jc w:val="left"/>
            </w:pPr>
            <w:r>
              <w:rPr>
                <w:b w:val="false"/>
                <w:bCs w:val="false"/>
                <w:sz w:val="20"/>
                <w:szCs w:val="20"/>
              </w:rPr>
              <w:t xml:space="preserve">Redes (IP públicas y ancho de banda)</w:t>
            </w:r>
          </w:p>
        </w:tc>
        <w:tc>
          <w:tcPr>
            <w:tcW w:type="dxa" w:w="2700"/>
            <w:vAlign w:val="center"/>
          </w:tcPr>
          <w:p>
            <w:pPr>
              <w:jc w:val="right"/>
            </w:pPr>
            <w:r>
              <w:rPr>
                <w:b w:val="false"/>
                <w:bCs w:val="false"/>
                <w:sz w:val="20"/>
                <w:szCs w:val="20"/>
              </w:rPr>
              <w:t xml:space="preserve">$25.63 USD</w:t>
            </w:r>
          </w:p>
        </w:tc>
      </w:tr>
      <w:tr>
        <w:tc>
          <w:tcPr>
            <w:tcW w:type="dxa" w:w="7500"/>
            <w:shd w:fill="F2F2F2" w:val="clear"/>
            <w:vAlign w:val="center"/>
          </w:tcPr>
          <w:p>
            <w:pPr>
              <w:jc w:val="left"/>
            </w:pPr>
            <w:r>
              <w:rPr>
                <w:b w:val="false"/>
                <w:bCs w:val="false"/>
                <w:sz w:val="20"/>
                <w:szCs w:val="20"/>
              </w:rPr>
              <w:t xml:space="preserve">Azure Front Door (entrega de contenido / WAF)</w:t>
            </w:r>
          </w:p>
        </w:tc>
        <w:tc>
          <w:tcPr>
            <w:tcW w:type="dxa" w:w="2700"/>
            <w:shd w:fill="F2F2F2" w:val="clear"/>
            <w:vAlign w:val="center"/>
          </w:tcPr>
          <w:p>
            <w:pPr>
              <w:jc w:val="right"/>
            </w:pPr>
            <w:r>
              <w:rPr>
                <w:b w:val="false"/>
                <w:bCs w:val="false"/>
                <w:sz w:val="20"/>
                <w:szCs w:val="20"/>
              </w:rPr>
              <w:t xml:space="preserve">$31.21 USD</w:t>
            </w:r>
          </w:p>
        </w:tc>
      </w:tr>
      <w:tr>
        <w:tc>
          <w:tcPr>
            <w:tcW w:type="dxa" w:w="7500"/>
            <w:vAlign w:val="center"/>
          </w:tcPr>
          <w:p>
            <w:pPr>
              <w:jc w:val="left"/>
            </w:pPr>
            <w:r>
              <w:rPr>
                <w:b w:val="false"/>
                <w:bCs w:val="false"/>
                <w:sz w:val="20"/>
                <w:szCs w:val="20"/>
              </w:rPr>
              <w:t xml:space="preserve">Monitoreo y seguridad (Monitor, Key Vault)</w:t>
            </w:r>
          </w:p>
        </w:tc>
        <w:tc>
          <w:tcPr>
            <w:tcW w:type="dxa" w:w="2700"/>
            <w:vAlign w:val="center"/>
          </w:tcPr>
          <w:p>
            <w:pPr>
              <w:jc w:val="right"/>
            </w:pPr>
            <w:r>
              <w:rPr>
                <w:b w:val="false"/>
                <w:bCs w:val="false"/>
                <w:sz w:val="20"/>
                <w:szCs w:val="20"/>
              </w:rPr>
              <w:t xml:space="preserve">$0.32 USD</w:t>
            </w:r>
          </w:p>
        </w:tc>
      </w:tr>
    </w:tbl>
    <w:p>
      <w:pPr>
        <w:spacing w:before="200"/>
      </w:pPr>
      <w:r>
        <w:rPr>
          <w:b/>
          <w:bCs/>
          <w:color w:val="1F3864"/>
          <w:sz w:val="24"/>
          <w:szCs w:val="24"/>
        </w:rPr>
        <w:t xml:space="preserve">TOTAL MENSUAL ESTIMADO:  </w:t>
      </w:r>
      <w:r>
        <w:rPr>
          <w:b/>
          <w:bCs/>
          <w:color w:val="1F3864"/>
          <w:sz w:val="24"/>
          <w:szCs w:val="24"/>
        </w:rPr>
        <w:t xml:space="preserve">$4,492.96 USD</w:t>
      </w:r>
    </w:p>
    <w:p>
      <w:pPr>
        <w:spacing w:after="100"/>
      </w:pPr>
      <w:r>
        <w:rPr>
          <w:b/>
          <w:bCs/>
          <w:sz w:val="21"/>
          <w:szCs w:val="21"/>
        </w:rPr>
        <w:t xml:space="preserve">TOTAL ANUAL ESTIMADO:  </w:t>
      </w:r>
      <w:r>
        <w:rPr>
          <w:b/>
          <w:bCs/>
          <w:sz w:val="21"/>
          <w:szCs w:val="21"/>
        </w:rPr>
        <w:t xml:space="preserve">$53,915.52 USD</w:t>
      </w:r>
    </w:p>
    <w:p>
      <w:pPr>
        <w:pStyle w:val="Heading2"/>
        <w:spacing w:after="150" w:before="300"/>
      </w:pPr>
      <w:r>
        <w:rPr>
          <w:b/>
          <w:bCs/>
          <w:color w:val="1F3864"/>
        </w:rPr>
        <w:t xml:space="preserve">2. Máquinas Virtuales (Cómputo)</w:t>
      </w:r>
    </w:p>
    <w:p>
      <w:pPr>
        <w:spacing w:after="120"/>
      </w:pPr>
      <w:r>
        <w:rPr>
          <w:sz w:val="20"/>
          <w:szCs w:val="20"/>
        </w:rPr>
        <w:t xml:space="preserve">9 instancias de cómputo IaaS (pago por uso, sin reserva). Incluye únicamente el costo de cómputo; los discos asociados se cotizan por separado en la sección 3.</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500"/>
        <w:gridCol w:w="1300"/>
      </w:tblGrid>
      <w:tr>
        <w:trPr>
          <w:tblHeader/>
        </w:trPr>
        <w:tc>
          <w:tcPr>
            <w:tcW w:type="dxa" w:w="3200"/>
            <w:shd w:fill="1F3864" w:val="clear"/>
            <w:vAlign w:val="center"/>
          </w:tcPr>
          <w:p>
            <w:r>
              <w:rPr>
                <w:b/>
                <w:bCs/>
                <w:color w:val="FFFFFF"/>
                <w:sz w:val="20"/>
                <w:szCs w:val="20"/>
              </w:rPr>
              <w:t xml:space="preserve">Nombre del recurso</w:t>
            </w:r>
          </w:p>
        </w:tc>
        <w:tc>
          <w:tcPr>
            <w:tcW w:type="dxa" w:w="4200"/>
            <w:shd w:fill="1F3864" w:val="clear"/>
            <w:vAlign w:val="center"/>
          </w:tcPr>
          <w:p>
            <w:r>
              <w:rPr>
                <w:b/>
                <w:bCs/>
                <w:color w:val="FFFFFF"/>
                <w:sz w:val="20"/>
                <w:szCs w:val="20"/>
              </w:rPr>
              <w:t xml:space="preserve">Tipo / Serie</w:t>
            </w:r>
          </w:p>
        </w:tc>
        <w:tc>
          <w:tcPr>
            <w:tcW w:type="dxa" w:w="1500"/>
            <w:shd w:fill="1F3864" w:val="clear"/>
            <w:vAlign w:val="center"/>
          </w:tcPr>
          <w:p>
            <w:r>
              <w:rPr>
                <w:b/>
                <w:bCs/>
                <w:color w:val="FFFFFF"/>
                <w:sz w:val="20"/>
                <w:szCs w:val="20"/>
              </w:rPr>
              <w:t xml:space="preserve">Región</w:t>
            </w:r>
          </w:p>
        </w:tc>
        <w:tc>
          <w:tcPr>
            <w:tcW w:type="dxa" w:w="1300"/>
            <w:shd w:fill="1F3864" w:val="clear"/>
            <w:vAlign w:val="center"/>
          </w:tcPr>
          <w:p>
            <w:r>
              <w:rPr>
                <w:b/>
                <w:bCs/>
                <w:color w:val="FFFFFF"/>
                <w:sz w:val="20"/>
                <w:szCs w:val="20"/>
              </w:rPr>
              <w:t xml:space="preserve">Costo mensual</w:t>
            </w:r>
          </w:p>
        </w:tc>
      </w:tr>
      <w:tr>
        <w:tc>
          <w:tcPr>
            <w:tcW w:type="dxa" w:w="3200"/>
            <w:vAlign w:val="center"/>
          </w:tcPr>
          <w:p>
            <w:pPr>
              <w:jc w:val="left"/>
            </w:pPr>
            <w:r>
              <w:rPr>
                <w:b w:val="false"/>
                <w:bCs w:val="false"/>
                <w:sz w:val="20"/>
                <w:szCs w:val="20"/>
              </w:rPr>
              <w:t xml:space="preserve">ttechgrpprd0922</w:t>
            </w:r>
          </w:p>
        </w:tc>
        <w:tc>
          <w:tcPr>
            <w:tcW w:type="dxa" w:w="4200"/>
            <w:vAlign w:val="center"/>
          </w:tcPr>
          <w:p>
            <w:pPr>
              <w:jc w:val="left"/>
            </w:pPr>
            <w:r>
              <w:rPr>
                <w:b w:val="false"/>
                <w:bCs w:val="false"/>
                <w:sz w:val="20"/>
                <w:szCs w:val="20"/>
              </w:rPr>
              <w:t xml:space="preserve">Dv2 Series (Windows) - D13 v2</w:t>
            </w:r>
          </w:p>
        </w:tc>
        <w:tc>
          <w:tcPr>
            <w:tcW w:type="dxa" w:w="1500"/>
            <w:vAlign w:val="center"/>
          </w:tcPr>
          <w:p>
            <w:pPr>
              <w:jc w:val="left"/>
            </w:pPr>
            <w:r>
              <w:rPr>
                <w:b w:val="false"/>
                <w:bCs w:val="false"/>
                <w:sz w:val="20"/>
                <w:szCs w:val="20"/>
              </w:rPr>
              <w:t xml:space="preserve">US East</w:t>
            </w:r>
          </w:p>
        </w:tc>
        <w:tc>
          <w:tcPr>
            <w:tcW w:type="dxa" w:w="1300"/>
            <w:vAlign w:val="center"/>
          </w:tcPr>
          <w:p>
            <w:pPr>
              <w:jc w:val="right"/>
            </w:pPr>
            <w:r>
              <w:rPr>
                <w:b w:val="false"/>
                <w:bCs w:val="false"/>
                <w:sz w:val="20"/>
                <w:szCs w:val="20"/>
              </w:rPr>
              <w:t xml:space="preserve">$382.64 USD</w:t>
            </w:r>
          </w:p>
        </w:tc>
      </w:tr>
      <w:tr>
        <w:tc>
          <w:tcPr>
            <w:tcW w:type="dxa" w:w="3200"/>
            <w:shd w:fill="F2F2F2" w:val="clear"/>
            <w:vAlign w:val="center"/>
          </w:tcPr>
          <w:p>
            <w:pPr>
              <w:jc w:val="left"/>
            </w:pPr>
            <w:r>
              <w:rPr>
                <w:b w:val="false"/>
                <w:bCs w:val="false"/>
                <w:sz w:val="20"/>
                <w:szCs w:val="20"/>
              </w:rPr>
              <w:t xml:space="preserve">ttechgrp-prd</w:t>
            </w:r>
          </w:p>
        </w:tc>
        <w:tc>
          <w:tcPr>
            <w:tcW w:type="dxa" w:w="4200"/>
            <w:shd w:fill="F2F2F2" w:val="clear"/>
            <w:vAlign w:val="center"/>
          </w:tcPr>
          <w:p>
            <w:pPr>
              <w:jc w:val="left"/>
            </w:pPr>
            <w:r>
              <w:rPr>
                <w:b w:val="false"/>
                <w:bCs w:val="false"/>
                <w:sz w:val="20"/>
                <w:szCs w:val="20"/>
              </w:rPr>
              <w:t xml:space="preserve">Dv2 Series (Windows) - D13 v2</w:t>
            </w:r>
          </w:p>
        </w:tc>
        <w:tc>
          <w:tcPr>
            <w:tcW w:type="dxa" w:w="1500"/>
            <w:shd w:fill="F2F2F2" w:val="clear"/>
            <w:vAlign w:val="center"/>
          </w:tcPr>
          <w:p>
            <w:pPr>
              <w:jc w:val="left"/>
            </w:pPr>
            <w:r>
              <w:rPr>
                <w:b w:val="false"/>
                <w:bCs w:val="false"/>
                <w:sz w:val="20"/>
                <w:szCs w:val="20"/>
              </w:rPr>
              <w:t xml:space="preserve">US East</w:t>
            </w:r>
          </w:p>
        </w:tc>
        <w:tc>
          <w:tcPr>
            <w:tcW w:type="dxa" w:w="1300"/>
            <w:shd w:fill="F2F2F2" w:val="clear"/>
            <w:vAlign w:val="center"/>
          </w:tcPr>
          <w:p>
            <w:pPr>
              <w:jc w:val="right"/>
            </w:pPr>
            <w:r>
              <w:rPr>
                <w:b w:val="false"/>
                <w:bCs w:val="false"/>
                <w:sz w:val="20"/>
                <w:szCs w:val="20"/>
              </w:rPr>
              <w:t xml:space="preserve">$381.74 USD</w:t>
            </w:r>
          </w:p>
        </w:tc>
      </w:tr>
      <w:tr>
        <w:tc>
          <w:tcPr>
            <w:tcW w:type="dxa" w:w="3200"/>
            <w:vAlign w:val="center"/>
          </w:tcPr>
          <w:p>
            <w:pPr>
              <w:jc w:val="left"/>
            </w:pPr>
            <w:r>
              <w:rPr>
                <w:b w:val="false"/>
                <w:bCs w:val="false"/>
                <w:sz w:val="20"/>
                <w:szCs w:val="20"/>
              </w:rPr>
              <w:t xml:space="preserve">ttechgrp-qas</w:t>
            </w:r>
          </w:p>
        </w:tc>
        <w:tc>
          <w:tcPr>
            <w:tcW w:type="dxa" w:w="4200"/>
            <w:vAlign w:val="center"/>
          </w:tcPr>
          <w:p>
            <w:pPr>
              <w:jc w:val="left"/>
            </w:pPr>
            <w:r>
              <w:rPr>
                <w:b w:val="false"/>
                <w:bCs w:val="false"/>
                <w:sz w:val="20"/>
                <w:szCs w:val="20"/>
              </w:rPr>
              <w:t xml:space="preserve">Dv2 Series (Windows) - D12 v2</w:t>
            </w:r>
          </w:p>
        </w:tc>
        <w:tc>
          <w:tcPr>
            <w:tcW w:type="dxa" w:w="1500"/>
            <w:vAlign w:val="center"/>
          </w:tcPr>
          <w:p>
            <w:pPr>
              <w:jc w:val="left"/>
            </w:pPr>
            <w:r>
              <w:rPr>
                <w:b w:val="false"/>
                <w:bCs w:val="false"/>
                <w:sz w:val="20"/>
                <w:szCs w:val="20"/>
              </w:rPr>
              <w:t xml:space="preserve">US East</w:t>
            </w:r>
          </w:p>
        </w:tc>
        <w:tc>
          <w:tcPr>
            <w:tcW w:type="dxa" w:w="1300"/>
            <w:vAlign w:val="center"/>
          </w:tcPr>
          <w:p>
            <w:pPr>
              <w:jc w:val="right"/>
            </w:pPr>
            <w:r>
              <w:rPr>
                <w:b w:val="false"/>
                <w:bCs w:val="false"/>
                <w:sz w:val="20"/>
                <w:szCs w:val="20"/>
              </w:rPr>
              <w:t xml:space="preserve">$190.87 USD</w:t>
            </w:r>
          </w:p>
        </w:tc>
      </w:tr>
      <w:tr>
        <w:tc>
          <w:tcPr>
            <w:tcW w:type="dxa" w:w="3200"/>
            <w:shd w:fill="F2F2F2" w:val="clear"/>
            <w:vAlign w:val="center"/>
          </w:tcPr>
          <w:p>
            <w:pPr>
              <w:jc w:val="left"/>
            </w:pPr>
            <w:r>
              <w:rPr>
                <w:b w:val="false"/>
                <w:bCs w:val="false"/>
                <w:sz w:val="20"/>
                <w:szCs w:val="20"/>
              </w:rPr>
              <w:t xml:space="preserve">ttechdms-prd</w:t>
            </w:r>
          </w:p>
        </w:tc>
        <w:tc>
          <w:tcPr>
            <w:tcW w:type="dxa" w:w="4200"/>
            <w:shd w:fill="F2F2F2" w:val="clear"/>
            <w:vAlign w:val="center"/>
          </w:tcPr>
          <w:p>
            <w:pPr>
              <w:jc w:val="left"/>
            </w:pPr>
            <w:r>
              <w:rPr>
                <w:b w:val="false"/>
                <w:bCs w:val="false"/>
                <w:sz w:val="20"/>
                <w:szCs w:val="20"/>
              </w:rPr>
              <w:t xml:space="preserve">F Series (Windows) - F4</w:t>
            </w:r>
          </w:p>
        </w:tc>
        <w:tc>
          <w:tcPr>
            <w:tcW w:type="dxa" w:w="1500"/>
            <w:shd w:fill="F2F2F2" w:val="clear"/>
            <w:vAlign w:val="center"/>
          </w:tcPr>
          <w:p>
            <w:pPr>
              <w:jc w:val="left"/>
            </w:pPr>
            <w:r>
              <w:rPr>
                <w:b w:val="false"/>
                <w:bCs w:val="false"/>
                <w:sz w:val="20"/>
                <w:szCs w:val="20"/>
              </w:rPr>
              <w:t xml:space="preserve">US East</w:t>
            </w:r>
          </w:p>
        </w:tc>
        <w:tc>
          <w:tcPr>
            <w:tcW w:type="dxa" w:w="1300"/>
            <w:shd w:fill="F2F2F2" w:val="clear"/>
            <w:vAlign w:val="center"/>
          </w:tcPr>
          <w:p>
            <w:pPr>
              <w:jc w:val="right"/>
            </w:pPr>
            <w:r>
              <w:rPr>
                <w:b w:val="false"/>
                <w:bCs w:val="false"/>
                <w:sz w:val="20"/>
                <w:szCs w:val="20"/>
              </w:rPr>
              <w:t xml:space="preserve">$153.57 USD</w:t>
            </w:r>
          </w:p>
        </w:tc>
      </w:tr>
      <w:tr>
        <w:tc>
          <w:tcPr>
            <w:tcW w:type="dxa" w:w="3200"/>
            <w:vAlign w:val="center"/>
          </w:tcPr>
          <w:p>
            <w:pPr>
              <w:jc w:val="left"/>
            </w:pPr>
            <w:r>
              <w:rPr>
                <w:b w:val="false"/>
                <w:bCs w:val="false"/>
                <w:sz w:val="20"/>
                <w:szCs w:val="20"/>
              </w:rPr>
              <w:t xml:space="preserve">ttechsap-dms</w:t>
            </w:r>
          </w:p>
        </w:tc>
        <w:tc>
          <w:tcPr>
            <w:tcW w:type="dxa" w:w="4200"/>
            <w:vAlign w:val="center"/>
          </w:tcPr>
          <w:p>
            <w:pPr>
              <w:jc w:val="left"/>
            </w:pPr>
            <w:r>
              <w:rPr>
                <w:b w:val="false"/>
                <w:bCs w:val="false"/>
                <w:sz w:val="20"/>
                <w:szCs w:val="20"/>
              </w:rPr>
              <w:t xml:space="preserve">Av2 Series (Windows) - A4 v2</w:t>
            </w:r>
          </w:p>
        </w:tc>
        <w:tc>
          <w:tcPr>
            <w:tcW w:type="dxa" w:w="1500"/>
            <w:vAlign w:val="center"/>
          </w:tcPr>
          <w:p>
            <w:pPr>
              <w:jc w:val="left"/>
            </w:pPr>
            <w:r>
              <w:rPr>
                <w:b w:val="false"/>
                <w:bCs w:val="false"/>
                <w:sz w:val="20"/>
                <w:szCs w:val="20"/>
              </w:rPr>
              <w:t xml:space="preserve">US East</w:t>
            </w:r>
          </w:p>
        </w:tc>
        <w:tc>
          <w:tcPr>
            <w:tcW w:type="dxa" w:w="1300"/>
            <w:vAlign w:val="center"/>
          </w:tcPr>
          <w:p>
            <w:pPr>
              <w:jc w:val="right"/>
            </w:pPr>
            <w:r>
              <w:rPr>
                <w:b w:val="false"/>
                <w:bCs w:val="false"/>
                <w:sz w:val="20"/>
                <w:szCs w:val="20"/>
              </w:rPr>
              <w:t xml:space="preserve">$114.94 USD</w:t>
            </w:r>
          </w:p>
        </w:tc>
      </w:tr>
      <w:tr>
        <w:tc>
          <w:tcPr>
            <w:tcW w:type="dxa" w:w="3200"/>
            <w:shd w:fill="F2F2F2" w:val="clear"/>
            <w:vAlign w:val="center"/>
          </w:tcPr>
          <w:p>
            <w:pPr>
              <w:jc w:val="left"/>
            </w:pPr>
            <w:r>
              <w:rPr>
                <w:b w:val="false"/>
                <w:bCs w:val="false"/>
                <w:sz w:val="20"/>
                <w:szCs w:val="20"/>
              </w:rPr>
              <w:t xml:space="preserve">ttechsap-router</w:t>
            </w:r>
          </w:p>
        </w:tc>
        <w:tc>
          <w:tcPr>
            <w:tcW w:type="dxa" w:w="4200"/>
            <w:shd w:fill="F2F2F2" w:val="clear"/>
            <w:vAlign w:val="center"/>
          </w:tcPr>
          <w:p>
            <w:pPr>
              <w:jc w:val="left"/>
            </w:pPr>
            <w:r>
              <w:rPr>
                <w:b w:val="false"/>
                <w:bCs w:val="false"/>
                <w:sz w:val="20"/>
                <w:szCs w:val="20"/>
              </w:rPr>
              <w:t xml:space="preserve">Av2 Series (Windows) - A4 v2</w:t>
            </w:r>
          </w:p>
        </w:tc>
        <w:tc>
          <w:tcPr>
            <w:tcW w:type="dxa" w:w="1500"/>
            <w:shd w:fill="F2F2F2" w:val="clear"/>
            <w:vAlign w:val="center"/>
          </w:tcPr>
          <w:p>
            <w:pPr>
              <w:jc w:val="left"/>
            </w:pPr>
            <w:r>
              <w:rPr>
                <w:b w:val="false"/>
                <w:bCs w:val="false"/>
                <w:sz w:val="20"/>
                <w:szCs w:val="20"/>
              </w:rPr>
              <w:t xml:space="preserve">US East</w:t>
            </w:r>
          </w:p>
        </w:tc>
        <w:tc>
          <w:tcPr>
            <w:tcW w:type="dxa" w:w="1300"/>
            <w:shd w:fill="F2F2F2" w:val="clear"/>
            <w:vAlign w:val="center"/>
          </w:tcPr>
          <w:p>
            <w:pPr>
              <w:jc w:val="right"/>
            </w:pPr>
            <w:r>
              <w:rPr>
                <w:b w:val="false"/>
                <w:bCs w:val="false"/>
                <w:sz w:val="20"/>
                <w:szCs w:val="20"/>
              </w:rPr>
              <w:t xml:space="preserve">$114.92 USD</w:t>
            </w:r>
          </w:p>
        </w:tc>
      </w:tr>
      <w:tr>
        <w:tc>
          <w:tcPr>
            <w:tcW w:type="dxa" w:w="3200"/>
            <w:vAlign w:val="center"/>
          </w:tcPr>
          <w:p>
            <w:pPr>
              <w:jc w:val="left"/>
            </w:pPr>
            <w:r>
              <w:rPr>
                <w:b w:val="false"/>
                <w:bCs w:val="false"/>
                <w:sz w:val="20"/>
                <w:szCs w:val="20"/>
              </w:rPr>
              <w:t xml:space="preserve">ttechdms-qas</w:t>
            </w:r>
          </w:p>
        </w:tc>
        <w:tc>
          <w:tcPr>
            <w:tcW w:type="dxa" w:w="4200"/>
            <w:vAlign w:val="center"/>
          </w:tcPr>
          <w:p>
            <w:pPr>
              <w:jc w:val="left"/>
            </w:pPr>
            <w:r>
              <w:rPr>
                <w:b w:val="false"/>
                <w:bCs w:val="false"/>
                <w:sz w:val="20"/>
                <w:szCs w:val="20"/>
              </w:rPr>
              <w:t xml:space="preserve">Av2 Series (Windows) - A4 v2</w:t>
            </w:r>
          </w:p>
        </w:tc>
        <w:tc>
          <w:tcPr>
            <w:tcW w:type="dxa" w:w="1500"/>
            <w:vAlign w:val="center"/>
          </w:tcPr>
          <w:p>
            <w:pPr>
              <w:jc w:val="left"/>
            </w:pPr>
            <w:r>
              <w:rPr>
                <w:b w:val="false"/>
                <w:bCs w:val="false"/>
                <w:sz w:val="20"/>
                <w:szCs w:val="20"/>
              </w:rPr>
              <w:t xml:space="preserve">US East</w:t>
            </w:r>
          </w:p>
        </w:tc>
        <w:tc>
          <w:tcPr>
            <w:tcW w:type="dxa" w:w="1300"/>
            <w:vAlign w:val="center"/>
          </w:tcPr>
          <w:p>
            <w:pPr>
              <w:jc w:val="right"/>
            </w:pPr>
            <w:r>
              <w:rPr>
                <w:b w:val="false"/>
                <w:bCs w:val="false"/>
                <w:sz w:val="20"/>
                <w:szCs w:val="20"/>
              </w:rPr>
              <w:t xml:space="preserve">$114.73 USD</w:t>
            </w:r>
          </w:p>
        </w:tc>
      </w:tr>
      <w:tr>
        <w:tc>
          <w:tcPr>
            <w:tcW w:type="dxa" w:w="3200"/>
            <w:shd w:fill="F2F2F2" w:val="clear"/>
            <w:vAlign w:val="center"/>
          </w:tcPr>
          <w:p>
            <w:pPr>
              <w:jc w:val="left"/>
            </w:pPr>
            <w:r>
              <w:rPr>
                <w:b w:val="false"/>
                <w:bCs w:val="false"/>
                <w:sz w:val="20"/>
                <w:szCs w:val="20"/>
              </w:rPr>
              <w:t xml:space="preserve">oracledbsrv</w:t>
            </w:r>
          </w:p>
        </w:tc>
        <w:tc>
          <w:tcPr>
            <w:tcW w:type="dxa" w:w="4200"/>
            <w:shd w:fill="F2F2F2" w:val="clear"/>
            <w:vAlign w:val="center"/>
          </w:tcPr>
          <w:p>
            <w:pPr>
              <w:jc w:val="left"/>
            </w:pPr>
            <w:r>
              <w:rPr>
                <w:b w:val="false"/>
                <w:bCs w:val="false"/>
                <w:sz w:val="20"/>
                <w:szCs w:val="20"/>
              </w:rPr>
              <w:t xml:space="preserve">Av2 Series (Linux) - A4 v2</w:t>
            </w:r>
          </w:p>
        </w:tc>
        <w:tc>
          <w:tcPr>
            <w:tcW w:type="dxa" w:w="1500"/>
            <w:shd w:fill="F2F2F2" w:val="clear"/>
            <w:vAlign w:val="center"/>
          </w:tcPr>
          <w:p>
            <w:pPr>
              <w:jc w:val="left"/>
            </w:pPr>
            <w:r>
              <w:rPr>
                <w:b w:val="false"/>
                <w:bCs w:val="false"/>
                <w:sz w:val="20"/>
                <w:szCs w:val="20"/>
              </w:rPr>
              <w:t xml:space="preserve">US East</w:t>
            </w:r>
          </w:p>
        </w:tc>
        <w:tc>
          <w:tcPr>
            <w:tcW w:type="dxa" w:w="1300"/>
            <w:shd w:fill="F2F2F2" w:val="clear"/>
            <w:vAlign w:val="center"/>
          </w:tcPr>
          <w:p>
            <w:pPr>
              <w:jc w:val="right"/>
            </w:pPr>
            <w:r>
              <w:rPr>
                <w:b w:val="false"/>
                <w:bCs w:val="false"/>
                <w:sz w:val="20"/>
                <w:szCs w:val="20"/>
              </w:rPr>
              <w:t xml:space="preserve">$76.78 USD</w:t>
            </w:r>
          </w:p>
        </w:tc>
      </w:tr>
      <w:tr>
        <w:tc>
          <w:tcPr>
            <w:tcW w:type="dxa" w:w="3200"/>
            <w:vAlign w:val="center"/>
          </w:tcPr>
          <w:p>
            <w:pPr>
              <w:jc w:val="left"/>
            </w:pPr>
            <w:r>
              <w:rPr>
                <w:b w:val="false"/>
                <w:bCs w:val="false"/>
                <w:sz w:val="20"/>
                <w:szCs w:val="20"/>
              </w:rPr>
              <w:t xml:space="preserve">ttechsap-ecc</w:t>
            </w:r>
          </w:p>
        </w:tc>
        <w:tc>
          <w:tcPr>
            <w:tcW w:type="dxa" w:w="4200"/>
            <w:vAlign w:val="center"/>
          </w:tcPr>
          <w:p>
            <w:pPr>
              <w:jc w:val="left"/>
            </w:pPr>
            <w:r>
              <w:rPr>
                <w:b w:val="false"/>
                <w:bCs w:val="false"/>
                <w:sz w:val="20"/>
                <w:szCs w:val="20"/>
              </w:rPr>
              <w:t xml:space="preserve">BS Series (Windows) - B4ms</w:t>
            </w:r>
          </w:p>
        </w:tc>
        <w:tc>
          <w:tcPr>
            <w:tcW w:type="dxa" w:w="1500"/>
            <w:vAlign w:val="center"/>
          </w:tcPr>
          <w:p>
            <w:pPr>
              <w:jc w:val="left"/>
            </w:pPr>
            <w:r>
              <w:rPr>
                <w:b w:val="false"/>
                <w:bCs w:val="false"/>
                <w:sz w:val="20"/>
                <w:szCs w:val="20"/>
              </w:rPr>
              <w:t xml:space="preserve">US East</w:t>
            </w:r>
          </w:p>
        </w:tc>
        <w:tc>
          <w:tcPr>
            <w:tcW w:type="dxa" w:w="1300"/>
            <w:vAlign w:val="center"/>
          </w:tcPr>
          <w:p>
            <w:pPr>
              <w:jc w:val="right"/>
            </w:pPr>
            <w:r>
              <w:rPr>
                <w:b w:val="false"/>
                <w:bCs w:val="false"/>
                <w:sz w:val="20"/>
                <w:szCs w:val="20"/>
              </w:rPr>
              <w:t xml:space="preserve">$72.98 USD</w:t>
            </w:r>
          </w:p>
        </w:tc>
      </w:tr>
    </w:tbl>
    <w:p>
      <w:pPr>
        <w:spacing w:before="120"/>
      </w:pPr>
      <w:r>
        <w:rPr>
          <w:b/>
          <w:bCs/>
          <w:sz w:val="20"/>
          <w:szCs w:val="20"/>
        </w:rPr>
        <w:t xml:space="preserve">Subtotal Máquinas Virtuales: </w:t>
      </w:r>
      <w:r>
        <w:rPr>
          <w:b/>
          <w:bCs/>
          <w:sz w:val="20"/>
          <w:szCs w:val="20"/>
        </w:rPr>
        <w:t xml:space="preserve">$1,603.17 USD</w:t>
      </w:r>
    </w:p>
    <w:p>
      <w:pPr>
        <w:pStyle w:val="Heading2"/>
        <w:spacing w:after="150" w:before="300"/>
      </w:pPr>
      <w:r>
        <w:rPr>
          <w:b/>
          <w:bCs/>
          <w:color w:val="1F3864"/>
        </w:rPr>
        <w:t xml:space="preserve">3. Discos Administrados (Almacenamiento en Bloque)</w:t>
      </w:r>
    </w:p>
    <w:p>
      <w:pPr>
        <w:spacing w:after="120"/>
      </w:pPr>
      <w:r>
        <w:rPr>
          <w:sz w:val="20"/>
          <w:szCs w:val="20"/>
        </w:rPr>
        <w:t xml:space="preserve">Discos SSD Premium, SSD Estándar y HDD Estándar asociados a los sistemas operativos y datos de las máquinas virtuales, incluyendo snapshots e IOPS/operaciones facturables.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600"/>
        <w:gridCol w:w="1800"/>
        <w:gridCol w:w="1800"/>
      </w:tblGrid>
      <w:tr>
        <w:trPr>
          <w:tblHeader/>
        </w:trPr>
        <w:tc>
          <w:tcPr>
            <w:tcW w:type="dxa" w:w="6600"/>
            <w:shd w:fill="1F3864" w:val="clear"/>
            <w:vAlign w:val="center"/>
          </w:tcPr>
          <w:p>
            <w:r>
              <w:rPr>
                <w:b/>
                <w:bCs/>
                <w:color w:val="FFFFFF"/>
                <w:sz w:val="20"/>
                <w:szCs w:val="20"/>
              </w:rPr>
              <w:t xml:space="preserve">SKU / Tipo de disco</w:t>
            </w:r>
          </w:p>
        </w:tc>
        <w:tc>
          <w:tcPr>
            <w:tcW w:type="dxa" w:w="1800"/>
            <w:shd w:fill="1F3864" w:val="clear"/>
            <w:vAlign w:val="center"/>
          </w:tcPr>
          <w:p>
            <w:r>
              <w:rPr>
                <w:b/>
                <w:bCs/>
                <w:color w:val="FFFFFF"/>
                <w:sz w:val="20"/>
                <w:szCs w:val="20"/>
              </w:rPr>
              <w:t xml:space="preserve">Cantidad</w:t>
            </w:r>
          </w:p>
        </w:tc>
        <w:tc>
          <w:tcPr>
            <w:tcW w:type="dxa" w:w="1800"/>
            <w:shd w:fill="1F3864" w:val="clear"/>
            <w:vAlign w:val="center"/>
          </w:tcPr>
          <w:p>
            <w:r>
              <w:rPr>
                <w:b/>
                <w:bCs/>
                <w:color w:val="FFFFFF"/>
                <w:sz w:val="20"/>
                <w:szCs w:val="20"/>
              </w:rPr>
              <w:t xml:space="preserve">Costo mensual</w:t>
            </w:r>
          </w:p>
        </w:tc>
      </w:tr>
      <w:tr>
        <w:tc>
          <w:tcPr>
            <w:tcW w:type="dxa" w:w="6600"/>
            <w:vAlign w:val="center"/>
          </w:tcPr>
          <w:p>
            <w:pPr>
              <w:jc w:val="left"/>
            </w:pPr>
            <w:r>
              <w:rPr>
                <w:b w:val="false"/>
                <w:bCs w:val="false"/>
                <w:sz w:val="20"/>
                <w:szCs w:val="20"/>
              </w:rPr>
              <w:t xml:space="preserve">Standard SSD - E20 LRS</w:t>
            </w:r>
          </w:p>
        </w:tc>
        <w:tc>
          <w:tcPr>
            <w:tcW w:type="dxa" w:w="1800"/>
            <w:vAlign w:val="center"/>
          </w:tcPr>
          <w:p>
            <w:pPr>
              <w:jc w:val="left"/>
            </w:pPr>
            <w:r>
              <w:rPr>
                <w:b w:val="false"/>
                <w:bCs w:val="false"/>
                <w:sz w:val="20"/>
                <w:szCs w:val="20"/>
              </w:rPr>
              <w:t xml:space="preserve">17</w:t>
            </w:r>
          </w:p>
        </w:tc>
        <w:tc>
          <w:tcPr>
            <w:tcW w:type="dxa" w:w="1800"/>
            <w:vAlign w:val="center"/>
          </w:tcPr>
          <w:p>
            <w:pPr>
              <w:jc w:val="right"/>
            </w:pPr>
            <w:r>
              <w:rPr>
                <w:b w:val="false"/>
                <w:bCs w:val="false"/>
                <w:sz w:val="20"/>
                <w:szCs w:val="20"/>
              </w:rPr>
              <w:t xml:space="preserve">$352.96 USD</w:t>
            </w:r>
          </w:p>
        </w:tc>
      </w:tr>
      <w:tr>
        <w:tc>
          <w:tcPr>
            <w:tcW w:type="dxa" w:w="6600"/>
            <w:shd w:fill="F2F2F2" w:val="clear"/>
            <w:vAlign w:val="center"/>
          </w:tcPr>
          <w:p>
            <w:pPr>
              <w:jc w:val="left"/>
            </w:pPr>
            <w:r>
              <w:rPr>
                <w:b w:val="false"/>
                <w:bCs w:val="false"/>
                <w:sz w:val="20"/>
                <w:szCs w:val="20"/>
              </w:rPr>
              <w:t xml:space="preserve">Standard SSD - E40 LRS</w:t>
            </w:r>
          </w:p>
        </w:tc>
        <w:tc>
          <w:tcPr>
            <w:tcW w:type="dxa" w:w="1800"/>
            <w:shd w:fill="F2F2F2" w:val="clear"/>
            <w:vAlign w:val="center"/>
          </w:tcPr>
          <w:p>
            <w:pPr>
              <w:jc w:val="left"/>
            </w:pPr>
            <w:r>
              <w:rPr>
                <w:b w:val="false"/>
                <w:bCs w:val="false"/>
                <w:sz w:val="20"/>
                <w:szCs w:val="20"/>
              </w:rPr>
              <w:t xml:space="preserve">3</w:t>
            </w:r>
          </w:p>
        </w:tc>
        <w:tc>
          <w:tcPr>
            <w:tcW w:type="dxa" w:w="1800"/>
            <w:shd w:fill="F2F2F2" w:val="clear"/>
            <w:vAlign w:val="center"/>
          </w:tcPr>
          <w:p>
            <w:pPr>
              <w:jc w:val="right"/>
            </w:pPr>
            <w:r>
              <w:rPr>
                <w:b w:val="false"/>
                <w:bCs w:val="false"/>
                <w:sz w:val="20"/>
                <w:szCs w:val="20"/>
              </w:rPr>
              <w:t xml:space="preserve">$249.17 USD</w:t>
            </w:r>
          </w:p>
        </w:tc>
      </w:tr>
      <w:tr>
        <w:tc>
          <w:tcPr>
            <w:tcW w:type="dxa" w:w="6600"/>
            <w:vAlign w:val="center"/>
          </w:tcPr>
          <w:p>
            <w:pPr>
              <w:jc w:val="left"/>
            </w:pPr>
            <w:r>
              <w:rPr>
                <w:b w:val="false"/>
                <w:bCs w:val="false"/>
                <w:sz w:val="20"/>
                <w:szCs w:val="20"/>
              </w:rPr>
              <w:t xml:space="preserve">Standard SSD - E10 LRS</w:t>
            </w:r>
          </w:p>
        </w:tc>
        <w:tc>
          <w:tcPr>
            <w:tcW w:type="dxa" w:w="1800"/>
            <w:vAlign w:val="center"/>
          </w:tcPr>
          <w:p>
            <w:pPr>
              <w:jc w:val="left"/>
            </w:pPr>
            <w:r>
              <w:rPr>
                <w:b w:val="false"/>
                <w:bCs w:val="false"/>
                <w:sz w:val="20"/>
                <w:szCs w:val="20"/>
              </w:rPr>
              <w:t xml:space="preserve">32</w:t>
            </w:r>
          </w:p>
        </w:tc>
        <w:tc>
          <w:tcPr>
            <w:tcW w:type="dxa" w:w="1800"/>
            <w:vAlign w:val="center"/>
          </w:tcPr>
          <w:p>
            <w:pPr>
              <w:jc w:val="right"/>
            </w:pPr>
            <w:r>
              <w:rPr>
                <w:b w:val="false"/>
                <w:bCs w:val="false"/>
                <w:sz w:val="20"/>
                <w:szCs w:val="20"/>
              </w:rPr>
              <w:t xml:space="preserve">$166.07 USD</w:t>
            </w:r>
          </w:p>
        </w:tc>
      </w:tr>
      <w:tr>
        <w:tc>
          <w:tcPr>
            <w:tcW w:type="dxa" w:w="6600"/>
            <w:shd w:fill="F2F2F2" w:val="clear"/>
            <w:vAlign w:val="center"/>
          </w:tcPr>
          <w:p>
            <w:pPr>
              <w:jc w:val="left"/>
            </w:pPr>
            <w:r>
              <w:rPr>
                <w:b w:val="false"/>
                <w:bCs w:val="false"/>
                <w:sz w:val="20"/>
                <w:szCs w:val="20"/>
              </w:rPr>
              <w:t xml:space="preserve">Premium SSD - P20</w:t>
            </w:r>
          </w:p>
        </w:tc>
        <w:tc>
          <w:tcPr>
            <w:tcW w:type="dxa" w:w="1800"/>
            <w:shd w:fill="F2F2F2" w:val="clear"/>
            <w:vAlign w:val="center"/>
          </w:tcPr>
          <w:p>
            <w:pPr>
              <w:jc w:val="left"/>
            </w:pPr>
            <w:r>
              <w:rPr>
                <w:b w:val="false"/>
                <w:bCs w:val="false"/>
                <w:sz w:val="20"/>
                <w:szCs w:val="20"/>
              </w:rPr>
              <w:t xml:space="preserve">4</w:t>
            </w:r>
          </w:p>
        </w:tc>
        <w:tc>
          <w:tcPr>
            <w:tcW w:type="dxa" w:w="1800"/>
            <w:shd w:fill="F2F2F2" w:val="clear"/>
            <w:vAlign w:val="center"/>
          </w:tcPr>
          <w:p>
            <w:pPr>
              <w:jc w:val="right"/>
            </w:pPr>
            <w:r>
              <w:rPr>
                <w:b w:val="false"/>
                <w:bCs w:val="false"/>
                <w:sz w:val="20"/>
                <w:szCs w:val="20"/>
              </w:rPr>
              <w:t xml:space="preserve">$158.44 USD</w:t>
            </w:r>
          </w:p>
        </w:tc>
      </w:tr>
      <w:tr>
        <w:tc>
          <w:tcPr>
            <w:tcW w:type="dxa" w:w="6600"/>
            <w:vAlign w:val="center"/>
          </w:tcPr>
          <w:p>
            <w:pPr>
              <w:jc w:val="left"/>
            </w:pPr>
            <w:r>
              <w:rPr>
                <w:b w:val="false"/>
                <w:bCs w:val="false"/>
                <w:sz w:val="20"/>
                <w:szCs w:val="20"/>
              </w:rPr>
              <w:t xml:space="preserve">Standard SSD - E30 LRS</w:t>
            </w:r>
          </w:p>
        </w:tc>
        <w:tc>
          <w:tcPr>
            <w:tcW w:type="dxa" w:w="1800"/>
            <w:vAlign w:val="center"/>
          </w:tcPr>
          <w:p>
            <w:pPr>
              <w:jc w:val="left"/>
            </w:pPr>
            <w:r>
              <w:rPr>
                <w:b w:val="false"/>
                <w:bCs w:val="false"/>
                <w:sz w:val="20"/>
                <w:szCs w:val="20"/>
              </w:rPr>
              <w:t xml:space="preserve">2</w:t>
            </w:r>
          </w:p>
        </w:tc>
        <w:tc>
          <w:tcPr>
            <w:tcW w:type="dxa" w:w="1800"/>
            <w:vAlign w:val="center"/>
          </w:tcPr>
          <w:p>
            <w:pPr>
              <w:jc w:val="right"/>
            </w:pPr>
            <w:r>
              <w:rPr>
                <w:b w:val="false"/>
                <w:bCs w:val="false"/>
                <w:sz w:val="20"/>
                <w:szCs w:val="20"/>
              </w:rPr>
              <w:t xml:space="preserve">$83.09 USD</w:t>
            </w:r>
          </w:p>
        </w:tc>
      </w:tr>
      <w:tr>
        <w:tc>
          <w:tcPr>
            <w:tcW w:type="dxa" w:w="6600"/>
            <w:shd w:fill="F2F2F2" w:val="clear"/>
            <w:vAlign w:val="center"/>
          </w:tcPr>
          <w:p>
            <w:pPr>
              <w:jc w:val="left"/>
            </w:pPr>
            <w:r>
              <w:rPr>
                <w:b w:val="false"/>
                <w:bCs w:val="false"/>
                <w:sz w:val="20"/>
                <w:szCs w:val="20"/>
              </w:rPr>
              <w:t xml:space="preserve">Premium SSD - P10</w:t>
            </w:r>
          </w:p>
        </w:tc>
        <w:tc>
          <w:tcPr>
            <w:tcW w:type="dxa" w:w="1800"/>
            <w:shd w:fill="F2F2F2" w:val="clear"/>
            <w:vAlign w:val="center"/>
          </w:tcPr>
          <w:p>
            <w:pPr>
              <w:jc w:val="left"/>
            </w:pPr>
            <w:r>
              <w:rPr>
                <w:b w:val="false"/>
                <w:bCs w:val="false"/>
                <w:sz w:val="20"/>
                <w:szCs w:val="20"/>
              </w:rPr>
              <w:t xml:space="preserve">6</w:t>
            </w:r>
          </w:p>
        </w:tc>
        <w:tc>
          <w:tcPr>
            <w:tcW w:type="dxa" w:w="1800"/>
            <w:shd w:fill="F2F2F2" w:val="clear"/>
            <w:vAlign w:val="center"/>
          </w:tcPr>
          <w:p>
            <w:pPr>
              <w:jc w:val="right"/>
            </w:pPr>
            <w:r>
              <w:rPr>
                <w:b w:val="false"/>
                <w:bCs w:val="false"/>
                <w:sz w:val="20"/>
                <w:szCs w:val="20"/>
              </w:rPr>
              <w:t xml:space="preserve">$63.97 USD</w:t>
            </w:r>
          </w:p>
        </w:tc>
      </w:tr>
      <w:tr>
        <w:tc>
          <w:tcPr>
            <w:tcW w:type="dxa" w:w="6600"/>
            <w:vAlign w:val="center"/>
          </w:tcPr>
          <w:p>
            <w:pPr>
              <w:jc w:val="left"/>
            </w:pPr>
            <w:r>
              <w:rPr>
                <w:b w:val="false"/>
                <w:bCs w:val="false"/>
                <w:sz w:val="20"/>
                <w:szCs w:val="20"/>
              </w:rPr>
              <w:t xml:space="preserve">Premium SSD - Snapshots</w:t>
            </w:r>
          </w:p>
        </w:tc>
        <w:tc>
          <w:tcPr>
            <w:tcW w:type="dxa" w:w="1800"/>
            <w:vAlign w:val="center"/>
          </w:tcPr>
          <w:p>
            <w:pPr>
              <w:jc w:val="left"/>
            </w:pPr>
            <w:r>
              <w:rPr>
                <w:b w:val="false"/>
                <w:bCs w:val="false"/>
                <w:sz w:val="20"/>
                <w:szCs w:val="20"/>
              </w:rPr>
              <w:t xml:space="preserve">7</w:t>
            </w:r>
          </w:p>
        </w:tc>
        <w:tc>
          <w:tcPr>
            <w:tcW w:type="dxa" w:w="1800"/>
            <w:vAlign w:val="center"/>
          </w:tcPr>
          <w:p>
            <w:pPr>
              <w:jc w:val="right"/>
            </w:pPr>
            <w:r>
              <w:rPr>
                <w:b w:val="false"/>
                <w:bCs w:val="false"/>
                <w:sz w:val="20"/>
                <w:szCs w:val="20"/>
              </w:rPr>
              <w:t xml:space="preserve">$50.22 USD</w:t>
            </w:r>
          </w:p>
        </w:tc>
      </w:tr>
      <w:tr>
        <w:tc>
          <w:tcPr>
            <w:tcW w:type="dxa" w:w="6600"/>
            <w:shd w:fill="F2F2F2" w:val="clear"/>
            <w:vAlign w:val="center"/>
          </w:tcPr>
          <w:p>
            <w:pPr>
              <w:jc w:val="left"/>
            </w:pPr>
            <w:r>
              <w:rPr>
                <w:b w:val="false"/>
                <w:bCs w:val="false"/>
                <w:sz w:val="20"/>
                <w:szCs w:val="20"/>
              </w:rPr>
              <w:t xml:space="preserve">Standard SSD - E6 LRS</w:t>
            </w:r>
          </w:p>
        </w:tc>
        <w:tc>
          <w:tcPr>
            <w:tcW w:type="dxa" w:w="1800"/>
            <w:shd w:fill="F2F2F2" w:val="clear"/>
            <w:vAlign w:val="center"/>
          </w:tcPr>
          <w:p>
            <w:pPr>
              <w:jc w:val="left"/>
            </w:pPr>
            <w:r>
              <w:rPr>
                <w:b w:val="false"/>
                <w:bCs w:val="false"/>
                <w:sz w:val="20"/>
                <w:szCs w:val="20"/>
              </w:rPr>
              <w:t xml:space="preserve">9</w:t>
            </w:r>
          </w:p>
        </w:tc>
        <w:tc>
          <w:tcPr>
            <w:tcW w:type="dxa" w:w="1800"/>
            <w:shd w:fill="F2F2F2" w:val="clear"/>
            <w:vAlign w:val="center"/>
          </w:tcPr>
          <w:p>
            <w:pPr>
              <w:jc w:val="right"/>
            </w:pPr>
            <w:r>
              <w:rPr>
                <w:b w:val="false"/>
                <w:bCs w:val="false"/>
                <w:sz w:val="20"/>
                <w:szCs w:val="20"/>
              </w:rPr>
              <w:t xml:space="preserve">$23.34 USD</w:t>
            </w:r>
          </w:p>
        </w:tc>
      </w:tr>
      <w:tr>
        <w:tc>
          <w:tcPr>
            <w:tcW w:type="dxa" w:w="6600"/>
            <w:vAlign w:val="center"/>
          </w:tcPr>
          <w:p>
            <w:pPr>
              <w:jc w:val="left"/>
            </w:pPr>
            <w:r>
              <w:rPr>
                <w:b w:val="false"/>
                <w:bCs w:val="false"/>
                <w:sz w:val="20"/>
                <w:szCs w:val="20"/>
              </w:rPr>
              <w:t xml:space="preserve">Standard SSD - E15 LRS</w:t>
            </w:r>
          </w:p>
        </w:tc>
        <w:tc>
          <w:tcPr>
            <w:tcW w:type="dxa" w:w="1800"/>
            <w:vAlign w:val="center"/>
          </w:tcPr>
          <w:p>
            <w:pPr>
              <w:jc w:val="left"/>
            </w:pPr>
            <w:r>
              <w:rPr>
                <w:b w:val="false"/>
                <w:bCs w:val="false"/>
                <w:sz w:val="20"/>
                <w:szCs w:val="20"/>
              </w:rPr>
              <w:t xml:space="preserve">2</w:t>
            </w:r>
          </w:p>
        </w:tc>
        <w:tc>
          <w:tcPr>
            <w:tcW w:type="dxa" w:w="1800"/>
            <w:vAlign w:val="center"/>
          </w:tcPr>
          <w:p>
            <w:pPr>
              <w:jc w:val="right"/>
            </w:pPr>
            <w:r>
              <w:rPr>
                <w:b w:val="false"/>
                <w:bCs w:val="false"/>
                <w:sz w:val="20"/>
                <w:szCs w:val="20"/>
              </w:rPr>
              <w:t xml:space="preserve">$20.80 USD</w:t>
            </w:r>
          </w:p>
        </w:tc>
      </w:tr>
      <w:tr>
        <w:tc>
          <w:tcPr>
            <w:tcW w:type="dxa" w:w="6600"/>
            <w:shd w:fill="F2F2F2" w:val="clear"/>
            <w:vAlign w:val="center"/>
          </w:tcPr>
          <w:p>
            <w:pPr>
              <w:jc w:val="left"/>
            </w:pPr>
            <w:r>
              <w:rPr>
                <w:b w:val="false"/>
                <w:bCs w:val="false"/>
                <w:sz w:val="20"/>
                <w:szCs w:val="20"/>
              </w:rPr>
              <w:t xml:space="preserve">Premium SSD - P15</w:t>
            </w:r>
          </w:p>
        </w:tc>
        <w:tc>
          <w:tcPr>
            <w:tcW w:type="dxa" w:w="1800"/>
            <w:shd w:fill="F2F2F2" w:val="clear"/>
            <w:vAlign w:val="center"/>
          </w:tcPr>
          <w:p>
            <w:pPr>
              <w:jc w:val="left"/>
            </w:pPr>
            <w:r>
              <w:rPr>
                <w:b w:val="false"/>
                <w:bCs w:val="false"/>
                <w:sz w:val="20"/>
                <w:szCs w:val="20"/>
              </w:rPr>
              <w:t xml:space="preserve">1</w:t>
            </w:r>
          </w:p>
        </w:tc>
        <w:tc>
          <w:tcPr>
            <w:tcW w:type="dxa" w:w="1800"/>
            <w:shd w:fill="F2F2F2" w:val="clear"/>
            <w:vAlign w:val="center"/>
          </w:tcPr>
          <w:p>
            <w:pPr>
              <w:jc w:val="right"/>
            </w:pPr>
            <w:r>
              <w:rPr>
                <w:b w:val="false"/>
                <w:bCs w:val="false"/>
                <w:sz w:val="20"/>
                <w:szCs w:val="20"/>
              </w:rPr>
              <w:t xml:space="preserve">$20.54 USD</w:t>
            </w:r>
          </w:p>
        </w:tc>
      </w:tr>
      <w:tr>
        <w:tc>
          <w:tcPr>
            <w:tcW w:type="dxa" w:w="6600"/>
            <w:vAlign w:val="center"/>
          </w:tcPr>
          <w:p>
            <w:pPr>
              <w:jc w:val="left"/>
            </w:pPr>
            <w:r>
              <w:rPr>
                <w:b w:val="false"/>
                <w:bCs w:val="false"/>
                <w:sz w:val="20"/>
                <w:szCs w:val="20"/>
              </w:rPr>
              <w:t xml:space="preserve">Standard SSD - E4 LRS (Disk)</w:t>
            </w:r>
          </w:p>
        </w:tc>
        <w:tc>
          <w:tcPr>
            <w:tcW w:type="dxa" w:w="1800"/>
            <w:vAlign w:val="center"/>
          </w:tcPr>
          <w:p>
            <w:pPr>
              <w:jc w:val="left"/>
            </w:pPr>
            <w:r>
              <w:rPr>
                <w:b w:val="false"/>
                <w:bCs w:val="false"/>
                <w:sz w:val="20"/>
                <w:szCs w:val="20"/>
              </w:rPr>
              <w:t xml:space="preserve">40</w:t>
            </w:r>
          </w:p>
        </w:tc>
        <w:tc>
          <w:tcPr>
            <w:tcW w:type="dxa" w:w="1800"/>
            <w:vAlign w:val="center"/>
          </w:tcPr>
          <w:p>
            <w:pPr>
              <w:jc w:val="right"/>
            </w:pPr>
            <w:r>
              <w:rPr>
                <w:b w:val="false"/>
                <w:bCs w:val="false"/>
                <w:sz w:val="20"/>
                <w:szCs w:val="20"/>
              </w:rPr>
              <w:t xml:space="preserve">$19.94 USD</w:t>
            </w:r>
          </w:p>
        </w:tc>
      </w:tr>
      <w:tr>
        <w:tc>
          <w:tcPr>
            <w:tcW w:type="dxa" w:w="6600"/>
            <w:shd w:fill="F2F2F2" w:val="clear"/>
            <w:vAlign w:val="center"/>
          </w:tcPr>
          <w:p>
            <w:pPr>
              <w:jc w:val="left"/>
            </w:pPr>
            <w:r>
              <w:rPr>
                <w:b w:val="false"/>
                <w:bCs w:val="false"/>
                <w:sz w:val="20"/>
                <w:szCs w:val="20"/>
              </w:rPr>
              <w:t xml:space="preserve">Standard SSD - E4 LRS - US East</w:t>
            </w:r>
          </w:p>
        </w:tc>
        <w:tc>
          <w:tcPr>
            <w:tcW w:type="dxa" w:w="1800"/>
            <w:shd w:fill="F2F2F2" w:val="clear"/>
            <w:vAlign w:val="center"/>
          </w:tcPr>
          <w:p>
            <w:pPr>
              <w:jc w:val="left"/>
            </w:pPr>
            <w:r>
              <w:rPr>
                <w:b w:val="false"/>
                <w:bCs w:val="false"/>
                <w:sz w:val="20"/>
                <w:szCs w:val="20"/>
              </w:rPr>
              <w:t xml:space="preserve">10</w:t>
            </w:r>
          </w:p>
        </w:tc>
        <w:tc>
          <w:tcPr>
            <w:tcW w:type="dxa" w:w="1800"/>
            <w:shd w:fill="F2F2F2" w:val="clear"/>
            <w:vAlign w:val="center"/>
          </w:tcPr>
          <w:p>
            <w:pPr>
              <w:jc w:val="right"/>
            </w:pPr>
            <w:r>
              <w:rPr>
                <w:b w:val="false"/>
                <w:bCs w:val="false"/>
                <w:sz w:val="20"/>
                <w:szCs w:val="20"/>
              </w:rPr>
              <w:t xml:space="preserve">$12.98 USD</w:t>
            </w:r>
          </w:p>
        </w:tc>
      </w:tr>
      <w:tr>
        <w:tc>
          <w:tcPr>
            <w:tcW w:type="dxa" w:w="6600"/>
            <w:vAlign w:val="center"/>
          </w:tcPr>
          <w:p>
            <w:pPr>
              <w:jc w:val="left"/>
            </w:pPr>
            <w:r>
              <w:rPr>
                <w:b w:val="false"/>
                <w:bCs w:val="false"/>
                <w:sz w:val="20"/>
                <w:szCs w:val="20"/>
              </w:rPr>
              <w:t xml:space="preserve">Standard SSD - Snapshots LRS</w:t>
            </w:r>
          </w:p>
        </w:tc>
        <w:tc>
          <w:tcPr>
            <w:tcW w:type="dxa" w:w="1800"/>
            <w:vAlign w:val="center"/>
          </w:tcPr>
          <w:p>
            <w:pPr>
              <w:jc w:val="left"/>
            </w:pPr>
            <w:r>
              <w:rPr>
                <w:b w:val="false"/>
                <w:bCs w:val="false"/>
                <w:sz w:val="20"/>
                <w:szCs w:val="20"/>
              </w:rPr>
              <w:t xml:space="preserve">19</w:t>
            </w:r>
          </w:p>
        </w:tc>
        <w:tc>
          <w:tcPr>
            <w:tcW w:type="dxa" w:w="1800"/>
            <w:vAlign w:val="center"/>
          </w:tcPr>
          <w:p>
            <w:pPr>
              <w:jc w:val="right"/>
            </w:pPr>
            <w:r>
              <w:rPr>
                <w:b w:val="false"/>
                <w:bCs w:val="false"/>
                <w:sz w:val="20"/>
                <w:szCs w:val="20"/>
              </w:rPr>
              <w:t xml:space="preserve">$3.25 USD</w:t>
            </w:r>
          </w:p>
        </w:tc>
      </w:tr>
      <w:tr>
        <w:tc>
          <w:tcPr>
            <w:tcW w:type="dxa" w:w="6600"/>
            <w:shd w:fill="F2F2F2" w:val="clear"/>
            <w:vAlign w:val="center"/>
          </w:tcPr>
          <w:p>
            <w:pPr>
              <w:jc w:val="left"/>
            </w:pPr>
            <w:r>
              <w:rPr>
                <w:b w:val="false"/>
                <w:bCs w:val="false"/>
                <w:sz w:val="20"/>
                <w:szCs w:val="20"/>
              </w:rPr>
              <w:t xml:space="preserve">Standard HDD - S4 LRS</w:t>
            </w:r>
          </w:p>
        </w:tc>
        <w:tc>
          <w:tcPr>
            <w:tcW w:type="dxa" w:w="1800"/>
            <w:shd w:fill="F2F2F2" w:val="clear"/>
            <w:vAlign w:val="center"/>
          </w:tcPr>
          <w:p>
            <w:pPr>
              <w:jc w:val="left"/>
            </w:pPr>
            <w:r>
              <w:rPr>
                <w:b w:val="false"/>
                <w:bCs w:val="false"/>
                <w:sz w:val="20"/>
                <w:szCs w:val="20"/>
              </w:rPr>
              <w:t xml:space="preserve">1</w:t>
            </w:r>
          </w:p>
        </w:tc>
        <w:tc>
          <w:tcPr>
            <w:tcW w:type="dxa" w:w="1800"/>
            <w:shd w:fill="F2F2F2" w:val="clear"/>
            <w:vAlign w:val="center"/>
          </w:tcPr>
          <w:p>
            <w:pPr>
              <w:jc w:val="right"/>
            </w:pPr>
            <w:r>
              <w:rPr>
                <w:b w:val="false"/>
                <w:bCs w:val="false"/>
                <w:sz w:val="20"/>
                <w:szCs w:val="20"/>
              </w:rPr>
              <w:t xml:space="preserve">$0.83 USD</w:t>
            </w:r>
          </w:p>
        </w:tc>
      </w:tr>
      <w:tr>
        <w:tc>
          <w:tcPr>
            <w:tcW w:type="dxa" w:w="6600"/>
            <w:vAlign w:val="center"/>
          </w:tcPr>
          <w:p>
            <w:pPr>
              <w:jc w:val="left"/>
            </w:pPr>
            <w:r>
              <w:rPr>
                <w:b w:val="false"/>
                <w:bCs w:val="false"/>
                <w:sz w:val="20"/>
                <w:szCs w:val="20"/>
              </w:rPr>
              <w:t xml:space="preserve">Standard HDD - S4 LRS (Ops)</w:t>
            </w:r>
          </w:p>
        </w:tc>
        <w:tc>
          <w:tcPr>
            <w:tcW w:type="dxa" w:w="1800"/>
            <w:vAlign w:val="center"/>
          </w:tcPr>
          <w:p>
            <w:pPr>
              <w:jc w:val="left"/>
            </w:pPr>
            <w:r>
              <w:rPr>
                <w:b w:val="false"/>
                <w:bCs w:val="false"/>
                <w:sz w:val="20"/>
                <w:szCs w:val="20"/>
              </w:rPr>
              <w:t xml:space="preserve">1</w:t>
            </w:r>
          </w:p>
        </w:tc>
        <w:tc>
          <w:tcPr>
            <w:tcW w:type="dxa" w:w="1800"/>
            <w:vAlign w:val="center"/>
          </w:tcPr>
          <w:p>
            <w:pPr>
              <w:jc w:val="right"/>
            </w:pPr>
            <w:r>
              <w:rPr>
                <w:b w:val="false"/>
                <w:bCs w:val="false"/>
                <w:sz w:val="20"/>
                <w:szCs w:val="20"/>
              </w:rPr>
              <w:t xml:space="preserve">$0.06 USD</w:t>
            </w:r>
          </w:p>
        </w:tc>
      </w:tr>
      <w:tr>
        <w:tc>
          <w:tcPr>
            <w:tcW w:type="dxa" w:w="6600"/>
            <w:shd w:fill="F2F2F2" w:val="clear"/>
            <w:vAlign w:val="center"/>
          </w:tcPr>
          <w:p>
            <w:pPr>
              <w:jc w:val="left"/>
            </w:pPr>
            <w:r>
              <w:rPr>
                <w:b w:val="false"/>
                <w:bCs w:val="false"/>
                <w:sz w:val="20"/>
                <w:szCs w:val="20"/>
              </w:rPr>
              <w:t xml:space="preserve">Standard HDD - Snapshots LRS</w:t>
            </w:r>
          </w:p>
        </w:tc>
        <w:tc>
          <w:tcPr>
            <w:tcW w:type="dxa" w:w="1800"/>
            <w:shd w:fill="F2F2F2" w:val="clear"/>
            <w:vAlign w:val="center"/>
          </w:tcPr>
          <w:p>
            <w:pPr>
              <w:jc w:val="left"/>
            </w:pPr>
            <w:r>
              <w:rPr>
                <w:b w:val="false"/>
                <w:bCs w:val="false"/>
                <w:sz w:val="20"/>
                <w:szCs w:val="20"/>
              </w:rPr>
              <w:t xml:space="preserve">1</w:t>
            </w:r>
          </w:p>
        </w:tc>
        <w:tc>
          <w:tcPr>
            <w:tcW w:type="dxa" w:w="1800"/>
            <w:shd w:fill="F2F2F2" w:val="clear"/>
            <w:vAlign w:val="center"/>
          </w:tcPr>
          <w:p>
            <w:pPr>
              <w:jc w:val="right"/>
            </w:pPr>
            <w:r>
              <w:rPr>
                <w:b w:val="false"/>
                <w:bCs w:val="false"/>
                <w:sz w:val="20"/>
                <w:szCs w:val="20"/>
              </w:rPr>
              <w:t xml:space="preserve">$0.03 USD</w:t>
            </w:r>
          </w:p>
        </w:tc>
      </w:tr>
    </w:tbl>
    <w:p>
      <w:pPr>
        <w:spacing w:before="120"/>
      </w:pPr>
      <w:r>
        <w:rPr>
          <w:b/>
          <w:bCs/>
          <w:sz w:val="20"/>
          <w:szCs w:val="20"/>
        </w:rPr>
        <w:t xml:space="preserve">Subtotal Discos: </w:t>
      </w:r>
      <w:r>
        <w:rPr>
          <w:b/>
          <w:bCs/>
          <w:sz w:val="20"/>
          <w:szCs w:val="20"/>
        </w:rPr>
        <w:t xml:space="preserve">$1,225.69 USD</w:t>
      </w:r>
    </w:p>
    <w:p>
      <w:pPr>
        <w:pStyle w:val="Heading2"/>
        <w:spacing w:after="150" w:before="300"/>
      </w:pPr>
      <w:r>
        <w:rPr>
          <w:b/>
          <w:bCs/>
          <w:color w:val="1F3864"/>
        </w:rPr>
        <w:t xml:space="preserve">4. Azure Backup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700"/>
        <w:gridCol w:w="1800"/>
        <w:gridCol w:w="2700"/>
      </w:tblGrid>
      <w:tr>
        <w:trPr>
          <w:tblHeader/>
        </w:trPr>
        <w:tc>
          <w:tcPr>
            <w:tcW w:type="dxa" w:w="5700"/>
            <w:shd w:fill="1F3864" w:val="clear"/>
            <w:vAlign w:val="center"/>
          </w:tcPr>
          <w:p>
            <w:r>
              <w:rPr>
                <w:b/>
                <w:bCs/>
                <w:color w:val="FFFFFF"/>
                <w:sz w:val="20"/>
                <w:szCs w:val="20"/>
              </w:rPr>
              <w:t xml:space="preserve">Concepto</w:t>
            </w:r>
          </w:p>
        </w:tc>
        <w:tc>
          <w:tcPr>
            <w:tcW w:type="dxa" w:w="1800"/>
            <w:shd w:fill="1F3864" w:val="clear"/>
            <w:vAlign w:val="center"/>
          </w:tcPr>
          <w:p>
            <w:r>
              <w:rPr>
                <w:b/>
                <w:bCs/>
                <w:color w:val="FFFFFF"/>
                <w:sz w:val="20"/>
                <w:szCs w:val="20"/>
              </w:rPr>
              <w:t xml:space="preserve">Región</w:t>
            </w:r>
          </w:p>
        </w:tc>
        <w:tc>
          <w:tcPr>
            <w:tcW w:type="dxa" w:w="2700"/>
            <w:shd w:fill="1F3864" w:val="clear"/>
            <w:vAlign w:val="center"/>
          </w:tcPr>
          <w:p>
            <w:r>
              <w:rPr>
                <w:b/>
                <w:bCs/>
                <w:color w:val="FFFFFF"/>
                <w:sz w:val="20"/>
                <w:szCs w:val="20"/>
              </w:rPr>
              <w:t xml:space="preserve">Costo mensual</w:t>
            </w:r>
          </w:p>
        </w:tc>
      </w:tr>
      <w:tr>
        <w:tc>
          <w:tcPr>
            <w:tcW w:type="dxa" w:w="5700"/>
            <w:vAlign w:val="center"/>
          </w:tcPr>
          <w:p>
            <w:pPr>
              <w:jc w:val="left"/>
            </w:pPr>
            <w:r>
              <w:rPr>
                <w:b w:val="false"/>
                <w:bCs w:val="false"/>
                <w:sz w:val="20"/>
                <w:szCs w:val="20"/>
              </w:rPr>
              <w:t xml:space="preserve">Backup Standard (GRS - datos almacenados)</w:t>
            </w:r>
          </w:p>
        </w:tc>
        <w:tc>
          <w:tcPr>
            <w:tcW w:type="dxa" w:w="1800"/>
            <w:vAlign w:val="center"/>
          </w:tcPr>
          <w:p>
            <w:pPr>
              <w:jc w:val="left"/>
            </w:pPr>
            <w:r>
              <w:rPr>
                <w:b w:val="false"/>
                <w:bCs w:val="false"/>
                <w:sz w:val="20"/>
                <w:szCs w:val="20"/>
              </w:rPr>
              <w:t xml:space="preserve">US East</w:t>
            </w:r>
          </w:p>
        </w:tc>
        <w:tc>
          <w:tcPr>
            <w:tcW w:type="dxa" w:w="2700"/>
            <w:vAlign w:val="center"/>
          </w:tcPr>
          <w:p>
            <w:pPr>
              <w:jc w:val="right"/>
            </w:pPr>
            <w:r>
              <w:rPr>
                <w:b w:val="false"/>
                <w:bCs w:val="false"/>
                <w:sz w:val="20"/>
                <w:szCs w:val="20"/>
              </w:rPr>
              <w:t xml:space="preserve">$1,213.52 USD</w:t>
            </w:r>
          </w:p>
        </w:tc>
      </w:tr>
      <w:tr>
        <w:tc>
          <w:tcPr>
            <w:tcW w:type="dxa" w:w="5700"/>
            <w:shd w:fill="F2F2F2" w:val="clear"/>
            <w:vAlign w:val="center"/>
          </w:tcPr>
          <w:p>
            <w:pPr>
              <w:jc w:val="left"/>
            </w:pPr>
            <w:r>
              <w:rPr>
                <w:b w:val="false"/>
                <w:bCs w:val="false"/>
                <w:sz w:val="20"/>
                <w:szCs w:val="20"/>
              </w:rPr>
              <w:t xml:space="preserve">Backup Azure VM (instancia protegida)</w:t>
            </w:r>
          </w:p>
        </w:tc>
        <w:tc>
          <w:tcPr>
            <w:tcW w:type="dxa" w:w="1800"/>
            <w:shd w:fill="F2F2F2" w:val="clear"/>
            <w:vAlign w:val="center"/>
          </w:tcPr>
          <w:p>
            <w:pPr>
              <w:jc w:val="left"/>
            </w:pPr>
            <w:r>
              <w:rPr>
                <w:b w:val="false"/>
                <w:bCs w:val="false"/>
                <w:sz w:val="20"/>
                <w:szCs w:val="20"/>
              </w:rPr>
              <w:t xml:space="preserve">US East</w:t>
            </w:r>
          </w:p>
        </w:tc>
        <w:tc>
          <w:tcPr>
            <w:tcW w:type="dxa" w:w="2700"/>
            <w:shd w:fill="F2F2F2" w:val="clear"/>
            <w:vAlign w:val="center"/>
          </w:tcPr>
          <w:p>
            <w:pPr>
              <w:jc w:val="right"/>
            </w:pPr>
            <w:r>
              <w:rPr>
                <w:b w:val="false"/>
                <w:bCs w:val="false"/>
                <w:sz w:val="20"/>
                <w:szCs w:val="20"/>
              </w:rPr>
              <w:t xml:space="preserve">$83.75 USD</w:t>
            </w:r>
          </w:p>
        </w:tc>
      </w:tr>
    </w:tbl>
    <w:p>
      <w:pPr>
        <w:spacing w:before="120"/>
      </w:pPr>
      <w:r>
        <w:rPr>
          <w:b/>
          <w:bCs/>
          <w:sz w:val="20"/>
          <w:szCs w:val="20"/>
        </w:rPr>
        <w:t xml:space="preserve">Subtotal Backup: </w:t>
      </w:r>
      <w:r>
        <w:rPr>
          <w:b/>
          <w:bCs/>
          <w:sz w:val="20"/>
          <w:szCs w:val="20"/>
        </w:rPr>
        <w:t xml:space="preserve">$1,297.27 USD</w:t>
      </w:r>
    </w:p>
    <w:p>
      <w:pPr>
        <w:pStyle w:val="Heading2"/>
        <w:spacing w:after="150" w:before="300"/>
      </w:pPr>
      <w:r>
        <w:rPr>
          <w:b/>
          <w:bCs/>
          <w:color w:val="1F3864"/>
        </w:rPr>
        <w:t xml:space="preserve">5. Cuentas de Almacenamiento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500"/>
        <w:gridCol w:w="2700"/>
      </w:tblGrid>
      <w:tr>
        <w:trPr>
          <w:tblHeader/>
        </w:trPr>
        <w:tc>
          <w:tcPr>
            <w:tcW w:type="dxa" w:w="7500"/>
            <w:shd w:fill="1F3864" w:val="clear"/>
            <w:vAlign w:val="center"/>
          </w:tcPr>
          <w:p>
            <w:r>
              <w:rPr>
                <w:b/>
                <w:bCs/>
                <w:color w:val="FFFFFF"/>
                <w:sz w:val="20"/>
                <w:szCs w:val="20"/>
              </w:rPr>
              <w:t xml:space="preserve">Concepto</w:t>
            </w:r>
          </w:p>
        </w:tc>
        <w:tc>
          <w:tcPr>
            <w:tcW w:type="dxa" w:w="2700"/>
            <w:shd w:fill="1F3864" w:val="clear"/>
            <w:vAlign w:val="center"/>
          </w:tcPr>
          <w:p>
            <w:r>
              <w:rPr>
                <w:b/>
                <w:bCs/>
                <w:color w:val="FFFFFF"/>
                <w:sz w:val="20"/>
                <w:szCs w:val="20"/>
              </w:rPr>
              <w:t xml:space="preserve">Costo mensual</w:t>
            </w:r>
          </w:p>
        </w:tc>
      </w:tr>
      <w:tr>
        <w:tc>
          <w:tcPr>
            <w:tcW w:type="dxa" w:w="7500"/>
            <w:vAlign w:val="center"/>
          </w:tcPr>
          <w:p>
            <w:pPr>
              <w:jc w:val="left"/>
            </w:pPr>
            <w:r>
              <w:rPr>
                <w:b w:val="false"/>
                <w:bCs w:val="false"/>
                <w:sz w:val="20"/>
                <w:szCs w:val="20"/>
              </w:rPr>
              <w:t xml:space="preserve">Tables - LRS (datos almacenados)</w:t>
            </w:r>
          </w:p>
        </w:tc>
        <w:tc>
          <w:tcPr>
            <w:tcW w:type="dxa" w:w="2700"/>
            <w:vAlign w:val="center"/>
          </w:tcPr>
          <w:p>
            <w:pPr>
              <w:jc w:val="right"/>
            </w:pPr>
            <w:r>
              <w:rPr>
                <w:b w:val="false"/>
                <w:bCs w:val="false"/>
                <w:sz w:val="20"/>
                <w:szCs w:val="20"/>
              </w:rPr>
              <w:t xml:space="preserve">$302.98 USD</w:t>
            </w:r>
          </w:p>
        </w:tc>
      </w:tr>
      <w:tr>
        <w:tc>
          <w:tcPr>
            <w:tcW w:type="dxa" w:w="7500"/>
            <w:shd w:fill="F2F2F2" w:val="clear"/>
            <w:vAlign w:val="center"/>
          </w:tcPr>
          <w:p>
            <w:pPr>
              <w:jc w:val="left"/>
            </w:pPr>
            <w:r>
              <w:rPr>
                <w:b w:val="false"/>
                <w:bCs w:val="false"/>
                <w:sz w:val="20"/>
                <w:szCs w:val="20"/>
              </w:rPr>
              <w:t xml:space="preserve">Files - GRS (datos almacenados)</w:t>
            </w:r>
          </w:p>
        </w:tc>
        <w:tc>
          <w:tcPr>
            <w:tcW w:type="dxa" w:w="2700"/>
            <w:shd w:fill="F2F2F2" w:val="clear"/>
            <w:vAlign w:val="center"/>
          </w:tcPr>
          <w:p>
            <w:pPr>
              <w:jc w:val="right"/>
            </w:pPr>
            <w:r>
              <w:rPr>
                <w:b w:val="false"/>
                <w:bCs w:val="false"/>
                <w:sz w:val="20"/>
                <w:szCs w:val="20"/>
              </w:rPr>
              <w:t xml:space="preserve">$5.69 USD</w:t>
            </w:r>
          </w:p>
        </w:tc>
      </w:tr>
      <w:tr>
        <w:tc>
          <w:tcPr>
            <w:tcW w:type="dxa" w:w="7500"/>
            <w:vAlign w:val="center"/>
          </w:tcPr>
          <w:p>
            <w:pPr>
              <w:jc w:val="left"/>
            </w:pPr>
            <w:r>
              <w:rPr>
                <w:b w:val="false"/>
                <w:bCs w:val="false"/>
                <w:sz w:val="20"/>
                <w:szCs w:val="20"/>
              </w:rPr>
              <w:t xml:space="preserve">Files - LRS (datos almacenados)</w:t>
            </w:r>
          </w:p>
        </w:tc>
        <w:tc>
          <w:tcPr>
            <w:tcW w:type="dxa" w:w="2700"/>
            <w:vAlign w:val="center"/>
          </w:tcPr>
          <w:p>
            <w:pPr>
              <w:jc w:val="right"/>
            </w:pPr>
            <w:r>
              <w:rPr>
                <w:b w:val="false"/>
                <w:bCs w:val="false"/>
                <w:sz w:val="20"/>
                <w:szCs w:val="20"/>
              </w:rPr>
              <w:t xml:space="preserve">$0.81 USD</w:t>
            </w:r>
          </w:p>
        </w:tc>
      </w:tr>
      <w:tr>
        <w:tc>
          <w:tcPr>
            <w:tcW w:type="dxa" w:w="7500"/>
            <w:shd w:fill="F2F2F2" w:val="clear"/>
            <w:vAlign w:val="center"/>
          </w:tcPr>
          <w:p>
            <w:pPr>
              <w:jc w:val="left"/>
            </w:pPr>
            <w:r>
              <w:rPr>
                <w:b w:val="false"/>
                <w:bCs w:val="false"/>
                <w:sz w:val="20"/>
                <w:szCs w:val="20"/>
              </w:rPr>
              <w:t xml:space="preserve">General Block Blob - LRS (operaciones)</w:t>
            </w:r>
          </w:p>
        </w:tc>
        <w:tc>
          <w:tcPr>
            <w:tcW w:type="dxa" w:w="2700"/>
            <w:shd w:fill="F2F2F2" w:val="clear"/>
            <w:vAlign w:val="center"/>
          </w:tcPr>
          <w:p>
            <w:pPr>
              <w:jc w:val="right"/>
            </w:pPr>
            <w:r>
              <w:rPr>
                <w:b w:val="false"/>
                <w:bCs w:val="false"/>
                <w:sz w:val="20"/>
                <w:szCs w:val="20"/>
              </w:rPr>
              <w:t xml:space="preserve">$0.12 USD</w:t>
            </w:r>
          </w:p>
        </w:tc>
      </w:tr>
      <w:tr>
        <w:tc>
          <w:tcPr>
            <w:tcW w:type="dxa" w:w="7500"/>
            <w:vAlign w:val="center"/>
          </w:tcPr>
          <w:p>
            <w:pPr>
              <w:jc w:val="left"/>
            </w:pPr>
            <w:r>
              <w:rPr>
                <w:b w:val="false"/>
                <w:bCs w:val="false"/>
                <w:sz w:val="20"/>
                <w:szCs w:val="20"/>
              </w:rPr>
              <w:t xml:space="preserve">Standard Page Blob - LRS (operaciones)</w:t>
            </w:r>
          </w:p>
        </w:tc>
        <w:tc>
          <w:tcPr>
            <w:tcW w:type="dxa" w:w="2700"/>
            <w:vAlign w:val="center"/>
          </w:tcPr>
          <w:p>
            <w:pPr>
              <w:jc w:val="right"/>
            </w:pPr>
            <w:r>
              <w:rPr>
                <w:b w:val="false"/>
                <w:bCs w:val="false"/>
                <w:sz w:val="20"/>
                <w:szCs w:val="20"/>
              </w:rPr>
              <w:t xml:space="preserve">$0.07 USD</w:t>
            </w:r>
          </w:p>
        </w:tc>
      </w:tr>
    </w:tbl>
    <w:p>
      <w:pPr>
        <w:spacing w:before="120"/>
      </w:pPr>
      <w:r>
        <w:rPr>
          <w:b/>
          <w:bCs/>
          <w:sz w:val="20"/>
          <w:szCs w:val="20"/>
        </w:rPr>
        <w:t xml:space="preserve">Subtotal Cuentas de Almacenamiento: </w:t>
      </w:r>
      <w:r>
        <w:rPr>
          <w:b/>
          <w:bCs/>
          <w:sz w:val="20"/>
          <w:szCs w:val="20"/>
        </w:rPr>
        <w:t xml:space="preserve">$309.67 USD</w:t>
      </w:r>
    </w:p>
    <w:p>
      <w:pPr>
        <w:pStyle w:val="Heading2"/>
        <w:spacing w:after="150" w:before="300"/>
      </w:pPr>
      <w:r>
        <w:rPr>
          <w:b/>
          <w:bCs/>
          <w:color w:val="1F3864"/>
        </w:rPr>
        <w:t xml:space="preserve">6. Redes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500"/>
        <w:gridCol w:w="2700"/>
      </w:tblGrid>
      <w:tr>
        <w:trPr>
          <w:tblHeader/>
        </w:trPr>
        <w:tc>
          <w:tcPr>
            <w:tcW w:type="dxa" w:w="7500"/>
            <w:shd w:fill="1F3864" w:val="clear"/>
            <w:vAlign w:val="center"/>
          </w:tcPr>
          <w:p>
            <w:r>
              <w:rPr>
                <w:b/>
                <w:bCs/>
                <w:color w:val="FFFFFF"/>
                <w:sz w:val="20"/>
                <w:szCs w:val="20"/>
              </w:rPr>
              <w:t xml:space="preserve">Concepto</w:t>
            </w:r>
          </w:p>
        </w:tc>
        <w:tc>
          <w:tcPr>
            <w:tcW w:type="dxa" w:w="2700"/>
            <w:shd w:fill="1F3864" w:val="clear"/>
            <w:vAlign w:val="center"/>
          </w:tcPr>
          <w:p>
            <w:r>
              <w:rPr>
                <w:b/>
                <w:bCs/>
                <w:color w:val="FFFFFF"/>
                <w:sz w:val="20"/>
                <w:szCs w:val="20"/>
              </w:rPr>
              <w:t xml:space="preserve">Costo mensual</w:t>
            </w:r>
          </w:p>
        </w:tc>
      </w:tr>
      <w:tr>
        <w:tc>
          <w:tcPr>
            <w:tcW w:type="dxa" w:w="7500"/>
            <w:vAlign w:val="center"/>
          </w:tcPr>
          <w:p>
            <w:pPr>
              <w:jc w:val="left"/>
            </w:pPr>
            <w:r>
              <w:rPr>
                <w:b w:val="false"/>
                <w:bCs w:val="false"/>
                <w:sz w:val="20"/>
                <w:szCs w:val="20"/>
              </w:rPr>
              <w:t xml:space="preserve">Direcciones IP públicas - Básica IPv4 (9 instancias)</w:t>
            </w:r>
          </w:p>
        </w:tc>
        <w:tc>
          <w:tcPr>
            <w:tcW w:type="dxa" w:w="2700"/>
            <w:vAlign w:val="center"/>
          </w:tcPr>
          <w:p>
            <w:pPr>
              <w:jc w:val="right"/>
            </w:pPr>
            <w:r>
              <w:rPr>
                <w:b w:val="false"/>
                <w:bCs w:val="false"/>
                <w:sz w:val="20"/>
                <w:szCs w:val="20"/>
              </w:rPr>
              <w:t xml:space="preserve">$21.91 USD</w:t>
            </w:r>
          </w:p>
        </w:tc>
      </w:tr>
      <w:tr>
        <w:tc>
          <w:tcPr>
            <w:tcW w:type="dxa" w:w="7500"/>
            <w:shd w:fill="F2F2F2" w:val="clear"/>
            <w:vAlign w:val="center"/>
          </w:tcPr>
          <w:p>
            <w:pPr>
              <w:jc w:val="left"/>
            </w:pPr>
            <w:r>
              <w:rPr>
                <w:b w:val="false"/>
                <w:bCs w:val="false"/>
                <w:sz w:val="20"/>
                <w:szCs w:val="20"/>
              </w:rPr>
              <w:t xml:space="preserve">Direcciones IP pública - Estándar IPv4</w:t>
            </w:r>
          </w:p>
        </w:tc>
        <w:tc>
          <w:tcPr>
            <w:tcW w:type="dxa" w:w="2700"/>
            <w:shd w:fill="F2F2F2" w:val="clear"/>
            <w:vAlign w:val="center"/>
          </w:tcPr>
          <w:p>
            <w:pPr>
              <w:jc w:val="right"/>
            </w:pPr>
            <w:r>
              <w:rPr>
                <w:b w:val="false"/>
                <w:bCs w:val="false"/>
                <w:sz w:val="20"/>
                <w:szCs w:val="20"/>
              </w:rPr>
              <w:t xml:space="preserve">$2.02 USD</w:t>
            </w:r>
          </w:p>
        </w:tc>
      </w:tr>
      <w:tr>
        <w:tc>
          <w:tcPr>
            <w:tcW w:type="dxa" w:w="7500"/>
            <w:vAlign w:val="center"/>
          </w:tcPr>
          <w:p>
            <w:pPr>
              <w:jc w:val="left"/>
            </w:pPr>
            <w:r>
              <w:rPr>
                <w:b w:val="false"/>
                <w:bCs w:val="false"/>
                <w:sz w:val="20"/>
                <w:szCs w:val="20"/>
              </w:rPr>
              <w:t xml:space="preserve">Ancho de banda / Peering de red virtual (asociado a VMs)</w:t>
            </w:r>
          </w:p>
        </w:tc>
        <w:tc>
          <w:tcPr>
            <w:tcW w:type="dxa" w:w="2700"/>
            <w:vAlign w:val="center"/>
          </w:tcPr>
          <w:p>
            <w:pPr>
              <w:jc w:val="right"/>
            </w:pPr>
            <w:r>
              <w:rPr>
                <w:b w:val="false"/>
                <w:bCs w:val="false"/>
                <w:sz w:val="20"/>
                <w:szCs w:val="20"/>
              </w:rPr>
              <w:t xml:space="preserve">$1.70 USD</w:t>
            </w:r>
          </w:p>
        </w:tc>
      </w:tr>
    </w:tbl>
    <w:p>
      <w:pPr>
        <w:spacing w:before="120"/>
      </w:pPr>
      <w:r>
        <w:rPr>
          <w:b/>
          <w:bCs/>
          <w:sz w:val="20"/>
          <w:szCs w:val="20"/>
        </w:rPr>
        <w:t xml:space="preserve">Subtotal Redes: </w:t>
      </w:r>
      <w:r>
        <w:rPr>
          <w:b/>
          <w:bCs/>
          <w:sz w:val="20"/>
          <w:szCs w:val="20"/>
        </w:rPr>
        <w:t xml:space="preserve">$25.63 USD</w:t>
      </w:r>
    </w:p>
    <w:p>
      <w:pPr>
        <w:pStyle w:val="Heading2"/>
        <w:spacing w:after="150" w:before="300"/>
      </w:pPr>
      <w:r>
        <w:rPr>
          <w:b/>
          <w:bCs/>
          <w:color w:val="1F3864"/>
        </w:rPr>
        <w:t xml:space="preserve">7. Azure Front Door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500"/>
        <w:gridCol w:w="2700"/>
      </w:tblGrid>
      <w:tr>
        <w:trPr>
          <w:tblHeader/>
        </w:trPr>
        <w:tc>
          <w:tcPr>
            <w:tcW w:type="dxa" w:w="7500"/>
            <w:shd w:fill="1F3864" w:val="clear"/>
            <w:vAlign w:val="center"/>
          </w:tcPr>
          <w:p>
            <w:r>
              <w:rPr>
                <w:b/>
                <w:bCs/>
                <w:color w:val="FFFFFF"/>
                <w:sz w:val="20"/>
                <w:szCs w:val="20"/>
              </w:rPr>
              <w:t xml:space="preserve">Concepto</w:t>
            </w:r>
          </w:p>
        </w:tc>
        <w:tc>
          <w:tcPr>
            <w:tcW w:type="dxa" w:w="2700"/>
            <w:shd w:fill="1F3864" w:val="clear"/>
            <w:vAlign w:val="center"/>
          </w:tcPr>
          <w:p>
            <w:r>
              <w:rPr>
                <w:b/>
                <w:bCs/>
                <w:color w:val="FFFFFF"/>
                <w:sz w:val="20"/>
                <w:szCs w:val="20"/>
              </w:rPr>
              <w:t xml:space="preserve">Costo mensual</w:t>
            </w:r>
          </w:p>
        </w:tc>
      </w:tr>
      <w:tr>
        <w:tc>
          <w:tcPr>
            <w:tcW w:type="dxa" w:w="7500"/>
            <w:vAlign w:val="center"/>
          </w:tcPr>
          <w:p>
            <w:pPr>
              <w:jc w:val="left"/>
            </w:pPr>
            <w:r>
              <w:rPr>
                <w:b w:val="false"/>
                <w:bCs w:val="false"/>
                <w:sz w:val="20"/>
                <w:szCs w:val="20"/>
              </w:rPr>
              <w:t xml:space="preserve">Azure Front Door - Estándar - Zona 1 (base + reglas)</w:t>
            </w:r>
          </w:p>
        </w:tc>
        <w:tc>
          <w:tcPr>
            <w:tcW w:type="dxa" w:w="2700"/>
            <w:vAlign w:val="center"/>
          </w:tcPr>
          <w:p>
            <w:pPr>
              <w:jc w:val="right"/>
            </w:pPr>
            <w:r>
              <w:rPr>
                <w:b w:val="false"/>
                <w:bCs w:val="false"/>
                <w:sz w:val="20"/>
                <w:szCs w:val="20"/>
              </w:rPr>
              <w:t xml:space="preserve">$31.05 USD</w:t>
            </w:r>
          </w:p>
        </w:tc>
      </w:tr>
      <w:tr>
        <w:tc>
          <w:tcPr>
            <w:tcW w:type="dxa" w:w="7500"/>
            <w:shd w:fill="F2F2F2" w:val="clear"/>
            <w:vAlign w:val="center"/>
          </w:tcPr>
          <w:p>
            <w:pPr>
              <w:jc w:val="left"/>
            </w:pPr>
            <w:r>
              <w:rPr>
                <w:b w:val="false"/>
                <w:bCs w:val="false"/>
                <w:sz w:val="20"/>
                <w:szCs w:val="20"/>
              </w:rPr>
              <w:t xml:space="preserve">Transferencia de datos y otras zonas</w:t>
            </w:r>
          </w:p>
        </w:tc>
        <w:tc>
          <w:tcPr>
            <w:tcW w:type="dxa" w:w="2700"/>
            <w:shd w:fill="F2F2F2" w:val="clear"/>
            <w:vAlign w:val="center"/>
          </w:tcPr>
          <w:p>
            <w:pPr>
              <w:jc w:val="right"/>
            </w:pPr>
            <w:r>
              <w:rPr>
                <w:b w:val="false"/>
                <w:bCs w:val="false"/>
                <w:sz w:val="20"/>
                <w:szCs w:val="20"/>
              </w:rPr>
              <w:t xml:space="preserve">$0.16 USD</w:t>
            </w:r>
          </w:p>
        </w:tc>
      </w:tr>
    </w:tbl>
    <w:p>
      <w:pPr>
        <w:spacing w:before="120"/>
      </w:pPr>
      <w:r>
        <w:rPr>
          <w:b/>
          <w:bCs/>
          <w:sz w:val="20"/>
          <w:szCs w:val="20"/>
        </w:rPr>
        <w:t xml:space="preserve">Subtotal Front Door: </w:t>
      </w:r>
      <w:r>
        <w:rPr>
          <w:b/>
          <w:bCs/>
          <w:sz w:val="20"/>
          <w:szCs w:val="20"/>
        </w:rPr>
        <w:t xml:space="preserve">$31.21 USD</w:t>
      </w:r>
    </w:p>
    <w:p>
      <w:pPr>
        <w:pStyle w:val="Heading2"/>
        <w:spacing w:after="150" w:before="300"/>
      </w:pPr>
      <w:r>
        <w:rPr>
          <w:b/>
          <w:bCs/>
          <w:color w:val="1F3864"/>
        </w:rPr>
        <w:t xml:space="preserve">8. Monitoreo y Seguridad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500"/>
        <w:gridCol w:w="2700"/>
      </w:tblGrid>
      <w:tr>
        <w:trPr>
          <w:tblHeader/>
        </w:trPr>
        <w:tc>
          <w:tcPr>
            <w:tcW w:type="dxa" w:w="7500"/>
            <w:shd w:fill="1F3864" w:val="clear"/>
            <w:vAlign w:val="center"/>
          </w:tcPr>
          <w:p>
            <w:r>
              <w:rPr>
                <w:b/>
                <w:bCs/>
                <w:color w:val="FFFFFF"/>
                <w:sz w:val="20"/>
                <w:szCs w:val="20"/>
              </w:rPr>
              <w:t xml:space="preserve">Concepto</w:t>
            </w:r>
          </w:p>
        </w:tc>
        <w:tc>
          <w:tcPr>
            <w:tcW w:type="dxa" w:w="2700"/>
            <w:shd w:fill="1F3864" w:val="clear"/>
            <w:vAlign w:val="center"/>
          </w:tcPr>
          <w:p>
            <w:r>
              <w:rPr>
                <w:b/>
                <w:bCs/>
                <w:color w:val="FFFFFF"/>
                <w:sz w:val="20"/>
                <w:szCs w:val="20"/>
              </w:rPr>
              <w:t xml:space="preserve">Costo mensual</w:t>
            </w:r>
          </w:p>
        </w:tc>
      </w:tr>
      <w:tr>
        <w:tc>
          <w:tcPr>
            <w:tcW w:type="dxa" w:w="7500"/>
            <w:vAlign w:val="center"/>
          </w:tcPr>
          <w:p>
            <w:pPr>
              <w:jc w:val="left"/>
            </w:pPr>
            <w:r>
              <w:rPr>
                <w:b w:val="false"/>
                <w:bCs w:val="false"/>
                <w:sz w:val="20"/>
                <w:szCs w:val="20"/>
              </w:rPr>
              <w:t xml:space="preserve">Azure Monitor - Alertas basadas en métricas (6 alertas)</w:t>
            </w:r>
          </w:p>
        </w:tc>
        <w:tc>
          <w:tcPr>
            <w:tcW w:type="dxa" w:w="2700"/>
            <w:vAlign w:val="center"/>
          </w:tcPr>
          <w:p>
            <w:pPr>
              <w:jc w:val="right"/>
            </w:pPr>
            <w:r>
              <w:rPr>
                <w:b w:val="false"/>
                <w:bCs w:val="false"/>
                <w:sz w:val="20"/>
                <w:szCs w:val="20"/>
              </w:rPr>
              <w:t xml:space="preserve">$0.32 USD</w:t>
            </w:r>
          </w:p>
        </w:tc>
      </w:tr>
      <w:tr>
        <w:tc>
          <w:tcPr>
            <w:tcW w:type="dxa" w:w="7500"/>
            <w:shd w:fill="F2F2F2" w:val="clear"/>
            <w:vAlign w:val="center"/>
          </w:tcPr>
          <w:p>
            <w:pPr>
              <w:jc w:val="left"/>
            </w:pPr>
            <w:r>
              <w:rPr>
                <w:b w:val="false"/>
                <w:bCs w:val="false"/>
                <w:sz w:val="20"/>
                <w:szCs w:val="20"/>
              </w:rPr>
              <w:t xml:space="preserve">Key Vault Premium - Operaciones</w:t>
            </w:r>
          </w:p>
        </w:tc>
        <w:tc>
          <w:tcPr>
            <w:tcW w:type="dxa" w:w="2700"/>
            <w:shd w:fill="F2F2F2" w:val="clear"/>
            <w:vAlign w:val="center"/>
          </w:tcPr>
          <w:p>
            <w:pPr>
              <w:jc w:val="right"/>
            </w:pPr>
            <w:r>
              <w:rPr>
                <w:b w:val="false"/>
                <w:bCs w:val="false"/>
                <w:sz w:val="20"/>
                <w:szCs w:val="20"/>
              </w:rPr>
              <w:t xml:space="preserve">$0.00 USD</w:t>
            </w:r>
          </w:p>
        </w:tc>
      </w:tr>
    </w:tbl>
    <w:p>
      <w:pPr>
        <w:spacing w:before="120"/>
      </w:pPr>
      <w:r>
        <w:rPr>
          <w:b/>
          <w:bCs/>
          <w:sz w:val="20"/>
          <w:szCs w:val="20"/>
        </w:rPr>
        <w:t xml:space="preserve">Subtotal Monitoreo y Seguridad: </w:t>
      </w:r>
      <w:r>
        <w:rPr>
          <w:b/>
          <w:bCs/>
          <w:sz w:val="20"/>
          <w:szCs w:val="20"/>
        </w:rPr>
        <w:t xml:space="preserve">$0.32 USD</w:t>
      </w:r>
    </w:p>
    <w:p>
      <w:pPr>
        <w:pStyle w:val="Heading2"/>
        <w:spacing w:after="150" w:before="300"/>
      </w:pPr>
      <w:r>
        <w:rPr>
          <w:b/>
          <w:bCs/>
          <w:color w:val="1F3864"/>
        </w:rPr>
        <w:t xml:space="preserve">9. Notas y Supuestos</w:t>
      </w:r>
    </w:p>
    <w:p>
      <w:pPr>
        <w:spacing w:after="80"/>
      </w:pPr>
      <w:r>
        <w:rPr>
          <w:sz w:val="20"/>
          <w:szCs w:val="20"/>
        </w:rPr>
        <w:t xml:space="preserve">• Los montos se basan en el consumo real reportado por Azure Cost Management (vista de Recursos) para el periodo del 1 al 31 de julio de 2026 y sirven como referencia directa para replicar la configuración en la Calculadora de Precios de Azure (https://azure.microsoft.com/pricing/calculator/).</w:t>
      </w:r>
    </w:p>
    <w:p>
      <w:pPr>
        <w:spacing w:after="80"/>
      </w:pPr>
      <w:r>
        <w:rPr>
          <w:sz w:val="20"/>
          <w:szCs w:val="20"/>
        </w:rPr>
        <w:t xml:space="preserve">• Todos los precios están en Dólares Americanos (USD) y corresponden a la modalidad de pago por uso (Pay-As-You-Go), sin descuentos por instancias reservadas ni por el plan de Ahorros de Azure.</w:t>
      </w:r>
    </w:p>
    <w:p>
      <w:pPr>
        <w:spacing w:after="80"/>
      </w:pPr>
      <w:r>
        <w:rPr>
          <w:sz w:val="20"/>
          <w:szCs w:val="20"/>
        </w:rPr>
        <w:t xml:space="preserve">• No se incluyen impuestos locales ni cargos por soporte técnico (Azure Support Plans).</w:t>
      </w:r>
    </w:p>
    <w:p>
      <w:pPr>
        <w:spacing w:after="80"/>
      </w:pPr>
      <w:r>
        <w:rPr>
          <w:sz w:val="20"/>
          <w:szCs w:val="20"/>
        </w:rPr>
        <w:t xml:space="preserve">• Los costos reales pueden variar mes a mes según el uso efectivo (horas de VM encendidas, GB almacenados, operaciones de E/S y transferencia de datos).</w:t>
      </w:r>
    </w:p>
    <w:p>
      <w:pPr>
        <w:spacing w:after="200"/>
      </w:pPr>
      <w:r>
        <w:rPr>
          <w:sz w:val="20"/>
          <w:szCs w:val="20"/>
        </w:rPr>
        <w:t xml:space="preserve">• Esta cotización es de carácter informativo/estimado y no constituye una factura ni un compromiso contractual por parte de Microsoft o de terceros.</w:t>
      </w:r>
    </w:p>
    <w:p>
      <w:pPr>
        <w:spacing w:before="200"/>
      </w:pPr>
      <w:r>
        <w:rPr>
          <w:i/>
          <w:iCs/>
          <w:color w:val="808080"/>
          <w:sz w:val="18"/>
          <w:szCs w:val="18"/>
        </w:rPr>
        <w:t xml:space="preserve">Elaborado a partir de: CostManagement.xlsx (reporte de Azure Cost Management)</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color w:val="808080"/>
        <w:sz w:val="16"/>
        <w:szCs w:val="16"/>
      </w:rPr>
      <w:t xml:space="preserve">Cotización de Servicios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2026-07-21T04:24:39.174Z</dcterms:created>
  <dcterms:modified xsi:type="dcterms:W3CDTF">2026-07-21T04:24:39.177Z</dcterms:modified>
</cp:coreProperties>
</file>

<file path=docProps/custom.xml><?xml version="1.0" encoding="utf-8"?>
<Properties xmlns="http://schemas.openxmlformats.org/officeDocument/2006/custom-properties" xmlns:vt="http://schemas.openxmlformats.org/officeDocument/2006/docPropsVTypes"/>
</file>