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0078D4"/>
          <w:sz w:val="56"/>
          <w:szCs w:val="56"/>
        </w:rPr>
        <w:t xml:space="preserve">PROPUESTA DE SERVICIOS</w:t>
      </w:r>
    </w:p>
    <w:p>
      <w:pPr>
        <w:spacing w:after="0" w:before="100"/>
        <w:jc w:val="center"/>
      </w:pPr>
      <w:r>
        <w:rPr>
          <w:rFonts w:ascii="Arial" w:cs="Arial" w:eastAsia="Arial" w:hAnsi="Arial"/>
          <w:b/>
          <w:bCs/>
          <w:color w:val="003B6F"/>
          <w:sz w:val="44"/>
          <w:szCs w:val="44"/>
        </w:rPr>
        <w:t xml:space="preserve">Migración a Microsoft Azure</w:t>
      </w:r>
    </w:p>
    <w:p>
      <w:pPr>
        <w:spacing w:after="0" w:before="80"/>
        <w:jc w:val="center"/>
      </w:pPr>
      <w:r>
        <w:rPr>
          <w:rFonts w:ascii="Arial" w:cs="Arial" w:eastAsia="Arial" w:hAnsi="Arial"/>
          <w:color w:val="005A9E"/>
          <w:sz w:val="26"/>
          <w:szCs w:val="26"/>
        </w:rPr>
        <w:t xml:space="preserve">Arquitectura PaaS con Azure SQL Managed Instance</w:t>
      </w:r>
    </w:p>
    <w:p>
      <w:pPr>
        <w:spacing w:after="0" w:before="80"/>
        <w:jc w:val="center"/>
      </w:pPr>
      <w:r>
        <w:rPr>
          <w:rFonts w:ascii="Arial" w:cs="Arial" w:eastAsia="Arial" w:hAnsi="Arial"/>
          <w:i/>
          <w:iCs/>
          <w:color w:val="008272"/>
          <w:sz w:val="22"/>
          <w:szCs w:val="22"/>
        </w:rPr>
        <w:t xml:space="preserve">VM (IaaS) + Azure SQL MI (PaaS) + VPN + Backup + Seguridad</w:t>
      </w:r>
    </w:p>
    <w:p>
      <w:pPr>
        <w:pBdr>
          <w:top w:val="single" w:color="0078D4" w:sz="8"/>
        </w:pBdr>
        <w:spacing w:after="0" w:before="600"/>
        <w:jc w:val="center"/>
      </w:pPr>
    </w:p>
    <w:p>
      <w:pPr>
        <w:spacing w:after="60" w:before="200"/>
        <w:jc w:val="center"/>
      </w:pPr>
      <w:r>
        <w:rPr>
          <w:rFonts w:ascii="Arial" w:cs="Arial" w:eastAsia="Arial" w:hAnsi="Arial"/>
          <w:color w:val="595959"/>
          <w:sz w:val="24"/>
          <w:szCs w:val="24"/>
        </w:rPr>
        <w:t xml:space="preserve">Preparado para:</w:t>
      </w:r>
    </w:p>
    <w:p>
      <w:pPr>
        <w:spacing w:after="0" w:before="0"/>
        <w:jc w:val="center"/>
      </w:pPr>
      <w:r>
        <w:rPr>
          <w:rFonts w:ascii="Arial" w:cs="Arial" w:eastAsia="Arial" w:hAnsi="Arial"/>
          <w:b/>
          <w:bCs/>
          <w:color w:val="003B6F"/>
          <w:sz w:val="36"/>
          <w:szCs w:val="36"/>
        </w:rPr>
        <w:t xml:space="preserve">[Nombre del Cliente]</w:t>
      </w:r>
    </w:p>
    <w:p>
      <w:pPr>
        <w:spacing w:after="60" w:before="300"/>
        <w:jc w:val="center"/>
      </w:pPr>
      <w:r>
        <w:rPr>
          <w:rFonts w:ascii="Arial" w:cs="Arial" w:eastAsia="Arial" w:hAnsi="Arial"/>
          <w:color w:val="595959"/>
          <w:sz w:val="20"/>
          <w:szCs w:val="20"/>
        </w:rPr>
        <w:t xml:space="preserve">Versión: 2.0  |  Fecha: 22 de abril de 2026</w:t>
      </w:r>
    </w:p>
    <w:p>
      <w:pPr>
        <w:spacing w:after="0" w:before="60"/>
        <w:jc w:val="center"/>
      </w:pPr>
      <w:r>
        <w:rPr>
          <w:rFonts w:ascii="Arial" w:cs="Arial" w:eastAsia="Arial" w:hAnsi="Arial"/>
          <w:i/>
          <w:iCs/>
          <w:color w:val="595959"/>
          <w:sz w:val="18"/>
          <w:szCs w:val="18"/>
        </w:rPr>
        <w:t xml:space="preserve">Confidencial – Solo para uso del destinatario</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 Situación Actual</w:t>
      </w:r>
    </w:p>
    <w:p>
      <w:pPr>
        <w:spacing w:after="100" w:before="60"/>
        <w:jc w:val="both"/>
      </w:pPr>
      <w:r>
        <w:rPr>
          <w:rFonts w:ascii="Arial" w:cs="Arial" w:eastAsia="Arial" w:hAnsi="Arial"/>
          <w:b w:val="false"/>
          <w:bCs w:val="false"/>
          <w:i w:val="false"/>
          <w:iCs w:val="false"/>
          <w:color w:val="595959"/>
          <w:sz w:val="20"/>
          <w:szCs w:val="20"/>
        </w:rPr>
        <w:t xml:space="preserve">El cliente opera actualmente un servidor físico on-premise que aloja la aplicación de negocio y una instancia de SQL Server 2019 Standard. Esta infraestructura presenta características de nivel enterprise pero enfrenta limitaciones inherentes al modelo on-premise: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Componente</w:t>
            </w:r>
          </w:p>
        </w:tc>
        <w:tc>
          <w:tcPr>
            <w:tcW w:type="dxa" w:w="61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Especificación Actual</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Procesador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Intel Xeon Gold 6240 – 18 núcleos / 36 threads, 2.60 GHz, Caché 24.75 MB</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Memoria RAM</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192 GB DDR4 ECC</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Disco OS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500 GB (Windows Server)</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Discos de Datos</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 × 4 TB (8 TB capacidad bruta)</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Sistema Operativo</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Windows Server (on-premise)</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Motor de BD</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Server 2019 Standard</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Usuarios Remotos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65 usuarios con acceso externo</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Usuarios Locales</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65 usuarios desde red interna (LAN)</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Modelo de servicio</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IaaS self-managed / on-premise</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1.1 Problemática Identificada</w:t>
      </w:r>
    </w:p>
    <w:p>
      <w:pPr>
        <w:pStyle w:val="ListParagraph"/>
        <w:numPr>
          <w:ilvl w:val="0"/>
          <w:numId w:val="2"/>
        </w:numPr>
        <w:spacing w:after="60" w:before="40"/>
      </w:pPr>
      <w:r>
        <w:rPr>
          <w:rFonts w:ascii="Arial" w:cs="Arial" w:eastAsia="Arial" w:hAnsi="Arial"/>
          <w:color w:val="595959"/>
          <w:sz w:val="20"/>
          <w:szCs w:val="20"/>
        </w:rPr>
        <w:t xml:space="preserve">Administración manual de parches, actualizaciones y mantenimiento del motor SQL.</w:t>
      </w:r>
    </w:p>
    <w:p>
      <w:pPr>
        <w:pStyle w:val="ListParagraph"/>
        <w:numPr>
          <w:ilvl w:val="0"/>
          <w:numId w:val="2"/>
        </w:numPr>
        <w:spacing w:after="60" w:before="40"/>
      </w:pPr>
      <w:r>
        <w:rPr>
          <w:rFonts w:ascii="Arial" w:cs="Arial" w:eastAsia="Arial" w:hAnsi="Arial"/>
          <w:color w:val="595959"/>
          <w:sz w:val="20"/>
          <w:szCs w:val="20"/>
        </w:rPr>
        <w:t xml:space="preserve">Sin alta disponibilidad nativa: un fallo del servidor implica parada total del servicio.</w:t>
      </w:r>
    </w:p>
    <w:p>
      <w:pPr>
        <w:pStyle w:val="ListParagraph"/>
        <w:numPr>
          <w:ilvl w:val="0"/>
          <w:numId w:val="2"/>
        </w:numPr>
        <w:spacing w:after="60" w:before="40"/>
      </w:pPr>
      <w:r>
        <w:rPr>
          <w:rFonts w:ascii="Arial" w:cs="Arial" w:eastAsia="Arial" w:hAnsi="Arial"/>
          <w:color w:val="595959"/>
          <w:sz w:val="20"/>
          <w:szCs w:val="20"/>
        </w:rPr>
        <w:t xml:space="preserve">Respaldos manuales sin garantía de recuperabilidad probada (RPO/RTO no definidos).</w:t>
      </w:r>
    </w:p>
    <w:p>
      <w:pPr>
        <w:pStyle w:val="ListParagraph"/>
        <w:numPr>
          <w:ilvl w:val="0"/>
          <w:numId w:val="2"/>
        </w:numPr>
        <w:spacing w:after="60" w:before="40"/>
      </w:pPr>
      <w:r>
        <w:rPr>
          <w:rFonts w:ascii="Arial" w:cs="Arial" w:eastAsia="Arial" w:hAnsi="Arial"/>
          <w:color w:val="595959"/>
          <w:sz w:val="20"/>
          <w:szCs w:val="20"/>
        </w:rPr>
        <w:t xml:space="preserve">Crecimiento de almacenamiento limitado por capacidad física del servidor.</w:t>
      </w:r>
    </w:p>
    <w:p>
      <w:pPr>
        <w:pStyle w:val="ListParagraph"/>
        <w:numPr>
          <w:ilvl w:val="0"/>
          <w:numId w:val="2"/>
        </w:numPr>
        <w:spacing w:after="60" w:before="40"/>
      </w:pPr>
      <w:r>
        <w:rPr>
          <w:rFonts w:ascii="Arial" w:cs="Arial" w:eastAsia="Arial" w:hAnsi="Arial"/>
          <w:color w:val="595959"/>
          <w:sz w:val="20"/>
          <w:szCs w:val="20"/>
        </w:rPr>
        <w:t xml:space="preserve">Acceso remoto inseguro o sin políticas unificadas de autenticación.</w:t>
      </w:r>
    </w:p>
    <w:p>
      <w:pPr>
        <w:pStyle w:val="ListParagraph"/>
        <w:numPr>
          <w:ilvl w:val="0"/>
          <w:numId w:val="2"/>
        </w:numPr>
        <w:spacing w:after="60" w:before="40"/>
      </w:pPr>
      <w:r>
        <w:rPr>
          <w:rFonts w:ascii="Arial" w:cs="Arial" w:eastAsia="Arial" w:hAnsi="Arial"/>
          <w:color w:val="595959"/>
          <w:sz w:val="20"/>
          <w:szCs w:val="20"/>
        </w:rPr>
        <w:t xml:space="preserve">Sin encriptación estandarizada de datos en reposo ni en tránsito.</w:t>
      </w:r>
    </w:p>
    <w:p>
      <w:pPr>
        <w:pStyle w:val="ListParagraph"/>
        <w:numPr>
          <w:ilvl w:val="0"/>
          <w:numId w:val="2"/>
        </w:numPr>
        <w:spacing w:after="60" w:before="40"/>
      </w:pPr>
      <w:r>
        <w:rPr>
          <w:rFonts w:ascii="Arial" w:cs="Arial" w:eastAsia="Arial" w:hAnsi="Arial"/>
          <w:color w:val="595959"/>
          <w:sz w:val="20"/>
          <w:szCs w:val="20"/>
        </w:rPr>
        <w:t xml:space="preserve">Costos elevados de hardware, energía, refrigeración y mantenimiento preventivo.</w:t>
      </w:r>
    </w:p>
    <w:p>
      <w:pPr>
        <w:pStyle w:val="ListParagraph"/>
        <w:numPr>
          <w:ilvl w:val="0"/>
          <w:numId w:val="2"/>
        </w:numPr>
        <w:spacing w:after="60" w:before="40"/>
      </w:pPr>
      <w:r>
        <w:rPr>
          <w:rFonts w:ascii="Arial" w:cs="Arial" w:eastAsia="Arial" w:hAnsi="Arial"/>
          <w:color w:val="595959"/>
          <w:sz w:val="20"/>
          <w:szCs w:val="20"/>
        </w:rPr>
        <w:t xml:space="preserve">Nula escalabilidad sin inversión de capital (CAPEX).</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2. ¿Por Qué Elegir PaaS para SQL Server?</w:t>
      </w:r>
    </w:p>
    <w:p>
      <w:pPr>
        <w:spacing w:after="100" w:before="60"/>
        <w:jc w:val="both"/>
      </w:pPr>
      <w:r>
        <w:rPr>
          <w:rFonts w:ascii="Arial" w:cs="Arial" w:eastAsia="Arial" w:hAnsi="Arial"/>
          <w:b w:val="false"/>
          <w:bCs w:val="false"/>
          <w:i w:val="false"/>
          <w:iCs w:val="false"/>
          <w:color w:val="595959"/>
          <w:sz w:val="20"/>
          <w:szCs w:val="20"/>
        </w:rPr>
        <w:t xml:space="preserve">El modelo PaaS (Platform as a Service) para bases de datos elimina la carga operativa de administrar el motor de base de datos, el sistema operativo subyacente y la infraestructura de alta disponibilidad. Microsoft gestiona todo esto de forma transparente, mientras el cliente se enfoca exclusivamente en sus datos y aplicaciones.</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2.1 Comparativa: IaaS vs PaaS para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Característica</w:t>
            </w:r>
          </w:p>
        </w:tc>
        <w:tc>
          <w:tcPr>
            <w:tcW w:type="dxa" w:w="328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SQL en VM (IaaS)</w:t>
            </w:r>
          </w:p>
        </w:tc>
        <w:tc>
          <w:tcPr>
            <w:tcW w:type="dxa" w:w="328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Azure SQL MI (PaaS) ✓</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Administración del SO</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 responsable</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Microsoft gestiona 100%</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Parches y actualizaciones</w:t>
            </w:r>
          </w:p>
        </w:tc>
        <w:tc>
          <w:tcPr>
            <w:tcW w:type="dxa" w:w="32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Manual por el cliente</w:t>
            </w:r>
          </w:p>
        </w:tc>
        <w:tc>
          <w:tcPr>
            <w:tcW w:type="dxa" w:w="32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Automáticos y transparentes</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Alta Disponibilidad</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Requiere Always On (configuración manual)</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HA nativa integrada – SLA 99.99%</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Backups automáticos</w:t>
            </w:r>
          </w:p>
        </w:tc>
        <w:tc>
          <w:tcPr>
            <w:tcW w:type="dxa" w:w="32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Debe configurarlo el cliente</w:t>
            </w:r>
          </w:p>
        </w:tc>
        <w:tc>
          <w:tcPr>
            <w:tcW w:type="dxa" w:w="32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Automáticos (hasta 35 días retención)</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Escalabilidad</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Parar VM, redimensionar, reiniciar</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Online, sin downtime en vCores/Storage</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Licenciamiento SQL</w:t>
            </w:r>
          </w:p>
        </w:tc>
        <w:tc>
          <w:tcPr>
            <w:tcW w:type="dxa" w:w="32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BYOL o incluida en VM</w:t>
            </w:r>
          </w:p>
        </w:tc>
        <w:tc>
          <w:tcPr>
            <w:tcW w:type="dxa" w:w="32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Incluido; Azure Hybrid Benefit aplicable</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Compatibilidad con SQL 2019</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 (misma versión)</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 – nivel compatibilidad 150 (SQL 2019)</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Seguridad avanzada</w:t>
            </w:r>
          </w:p>
        </w:tc>
        <w:tc>
          <w:tcPr>
            <w:tcW w:type="dxa" w:w="32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Configuración manual</w:t>
            </w:r>
          </w:p>
        </w:tc>
        <w:tc>
          <w:tcPr>
            <w:tcW w:type="dxa" w:w="32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Microsoft Defender for SQL incluido</w:t>
            </w:r>
          </w:p>
        </w:tc>
      </w:tr>
      <w:tr>
        <w:trPr>
          <w:tblHeader w:val="false"/>
        </w:trPr>
        <w:tc>
          <w:tcPr>
            <w:tcW w:type="dxa" w:w="2800"/>
            <w:tcBorders>
              <w:top w:val="single" w:color="D0D0D0" w:sz="1"/>
              <w:left w:val="single" w:color="D0D0D0" w:sz="1"/>
              <w:bottom w:val="single" w:color="D0D0D0" w:sz="1"/>
              <w:right w:val="single" w:color="D0D0D0" w:sz="1"/>
            </w:tcBorders>
            <w:shd w:fill="005A9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8"/>
                <w:szCs w:val="18"/>
              </w:rPr>
              <w:t xml:space="preserve">Costo TCO a 3 años</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Alto (HW + admin + licencias)</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Reducción ~40-60% vs IaaS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272"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Recomendación de Arquitectura</w:t>
            </w:r>
          </w:p>
        </w:tc>
      </w:tr>
      <w:tr>
        <w:tc>
          <w:tcPr>
            <w:tcW w:type="dxa" w:w="9360"/>
            <w:tcBorders>
              <w:top w:val="none" w:color="FFFFFF" w:sz="0"/>
              <w:left w:val="none" w:color="FFFFFF" w:sz="0"/>
              <w:bottom w:val="none" w:color="FFFFFF" w:sz="0"/>
              <w:right w:val="none" w:color="FFFFFF" w:sz="0"/>
            </w:tcBorders>
            <w:shd w:fill="D9EB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VM Windows Server (IaaS) para la aplicación  +  Azure SQL Managed Instance (PaaS) para la base de datos. Esta combinación garantiza compatibilidad total con la aplicación existente (el cliente la migra sin cambios de código), mientras la base de datos goza de todos los beneficios PaaS: HA nativa, backups automáticos, parches transparentes y SLA 99.99%.</w:t>
            </w:r>
          </w:p>
        </w:tc>
      </w:tr>
    </w:tbl>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3. Solución Propuesta</w:t>
      </w:r>
    </w:p>
    <w:p>
      <w:pPr>
        <w:spacing w:after="100" w:before="60"/>
        <w:jc w:val="both"/>
      </w:pPr>
      <w:r>
        <w:rPr>
          <w:rFonts w:ascii="Arial" w:cs="Arial" w:eastAsia="Arial" w:hAnsi="Arial"/>
          <w:b w:val="false"/>
          <w:bCs w:val="false"/>
          <w:i w:val="false"/>
          <w:iCs w:val="false"/>
          <w:color w:val="595959"/>
          <w:sz w:val="20"/>
          <w:szCs w:val="20"/>
        </w:rPr>
        <w:t xml:space="preserve">La arquitectura propuesta es una solución híbrida IaaS+PaaS sobre Microsoft Azure que maximiza la compatibilidad con el entorno actual del cliente mientras elimina la carga operativa del motor de base de datos: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Pilar</w:t>
            </w:r>
          </w:p>
        </w:tc>
        <w:tc>
          <w:tcPr>
            <w:tcW w:type="dxa" w:w="4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Servicio Azure</w:t>
            </w:r>
          </w:p>
        </w:tc>
        <w:tc>
          <w:tcPr>
            <w:tcW w:type="dxa" w:w="23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Modelo</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Servidor de Aplicación</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VM – Dsv5 (Windows Server 2022)</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IaaS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Base de Datos</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SQL Managed Instance – General Purpose</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 ⭐</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Red y Conectividad</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VNet + VPN Gateway + Azure Bastion</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PaaS/Managed</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Almacenamiento Incremental</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Blob Storage (desde 1 GB)</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Respaldo de VM</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Backup (Recovery Services Vault)</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Respaldo SQL</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 Backup automático incluido</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 Nativo</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Recuperación ante Desastres</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Auto-Failover Groups (SQL MI) + ASR para VM</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Seguridad / Encriptación</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TDE nativo + ADE VM + Azure Key Vault</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PaaS/Managed</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Identidad y Acceso</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Active Directory + MFA</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Monitoreo</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Monitor + Log Analytics + SQL Insights</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PaaS</w:t>
            </w:r>
          </w:p>
        </w:tc>
      </w:tr>
    </w:tbl>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4. Objetivos</w:t>
      </w:r>
    </w:p>
    <w:p>
      <w:pPr>
        <w:pStyle w:val="Heading2"/>
        <w:spacing w:after="120" w:before="260"/>
      </w:pPr>
      <w:r>
        <w:rPr>
          <w:rFonts w:ascii="Arial" w:cs="Arial" w:eastAsia="Arial" w:hAnsi="Arial"/>
          <w:b/>
          <w:bCs/>
          <w:color w:val="005A9E"/>
          <w:sz w:val="28"/>
          <w:szCs w:val="28"/>
        </w:rPr>
        <w:t xml:space="preserve">4.1 Objetivo General</w:t>
      </w:r>
    </w:p>
    <w:p>
      <w:pPr>
        <w:spacing w:after="100" w:before="60"/>
        <w:jc w:val="both"/>
      </w:pPr>
      <w:r>
        <w:rPr>
          <w:rFonts w:ascii="Arial" w:cs="Arial" w:eastAsia="Arial" w:hAnsi="Arial"/>
          <w:b w:val="false"/>
          <w:bCs w:val="false"/>
          <w:i w:val="false"/>
          <w:iCs w:val="false"/>
          <w:color w:val="595959"/>
          <w:sz w:val="20"/>
          <w:szCs w:val="20"/>
        </w:rPr>
        <w:t xml:space="preserve">Migrar la infraestructura on-premise hacia Microsoft Azure bajo un modelo PaaS para la base de datos (Azure SQL Managed Instance), garantizando alta disponibilidad nativa, seguridad integrada, operación desatendida del motor SQL y acceso seguro para 130 usuarios (65 remotos + 65 locales).</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4.2 Objetivos Específicos</w:t>
      </w:r>
    </w:p>
    <w:p>
      <w:pPr>
        <w:pStyle w:val="ListParagraph"/>
        <w:numPr>
          <w:ilvl w:val="0"/>
          <w:numId w:val="2"/>
        </w:numPr>
        <w:spacing w:after="60" w:before="40"/>
      </w:pPr>
      <w:r>
        <w:rPr>
          <w:rFonts w:ascii="Arial" w:cs="Arial" w:eastAsia="Arial" w:hAnsi="Arial"/>
          <w:color w:val="595959"/>
          <w:sz w:val="20"/>
          <w:szCs w:val="20"/>
        </w:rPr>
        <w:t xml:space="preserve">Desplegar Azure SQL Managed Instance con nivel de compatibilidad SQL Server 2019 (150) para migración sin fricción.</w:t>
      </w:r>
    </w:p>
    <w:p>
      <w:pPr>
        <w:pStyle w:val="ListParagraph"/>
        <w:numPr>
          <w:ilvl w:val="0"/>
          <w:numId w:val="2"/>
        </w:numPr>
        <w:spacing w:after="60" w:before="40"/>
      </w:pPr>
      <w:r>
        <w:rPr>
          <w:rFonts w:ascii="Arial" w:cs="Arial" w:eastAsia="Arial" w:hAnsi="Arial"/>
          <w:color w:val="595959"/>
          <w:sz w:val="20"/>
          <w:szCs w:val="20"/>
        </w:rPr>
        <w:t xml:space="preserve">Dimensionar y configurar una VM Azure para alojar la aplicación de negocio migrada por el cliente.</w:t>
      </w:r>
    </w:p>
    <w:p>
      <w:pPr>
        <w:pStyle w:val="ListParagraph"/>
        <w:numPr>
          <w:ilvl w:val="0"/>
          <w:numId w:val="2"/>
        </w:numPr>
        <w:spacing w:after="60" w:before="40"/>
      </w:pPr>
      <w:r>
        <w:rPr>
          <w:rFonts w:ascii="Arial" w:cs="Arial" w:eastAsia="Arial" w:hAnsi="Arial"/>
          <w:color w:val="595959"/>
          <w:sz w:val="20"/>
          <w:szCs w:val="20"/>
        </w:rPr>
        <w:t xml:space="preserve">Eliminar la carga de administración del motor SQL (parches, HA, backups) mediante el modelo PaaS.</w:t>
      </w:r>
    </w:p>
    <w:p>
      <w:pPr>
        <w:pStyle w:val="ListParagraph"/>
        <w:numPr>
          <w:ilvl w:val="0"/>
          <w:numId w:val="2"/>
        </w:numPr>
        <w:spacing w:after="60" w:before="40"/>
      </w:pPr>
      <w:r>
        <w:rPr>
          <w:rFonts w:ascii="Arial" w:cs="Arial" w:eastAsia="Arial" w:hAnsi="Arial"/>
          <w:color w:val="595959"/>
          <w:sz w:val="20"/>
          <w:szCs w:val="20"/>
        </w:rPr>
        <w:t xml:space="preserve">Implementar VPN S2S para 65 usuarios locales y VPN P2S para 65 usuarios remotos.</w:t>
      </w:r>
    </w:p>
    <w:p>
      <w:pPr>
        <w:pStyle w:val="ListParagraph"/>
        <w:numPr>
          <w:ilvl w:val="0"/>
          <w:numId w:val="2"/>
        </w:numPr>
        <w:spacing w:after="60" w:before="40"/>
      </w:pPr>
      <w:r>
        <w:rPr>
          <w:rFonts w:ascii="Arial" w:cs="Arial" w:eastAsia="Arial" w:hAnsi="Arial"/>
          <w:color w:val="595959"/>
          <w:sz w:val="20"/>
          <w:szCs w:val="20"/>
        </w:rPr>
        <w:t xml:space="preserve">Configurar almacenamiento incremental en Azure Blob desde 1 GB con escalado automático.</w:t>
      </w:r>
    </w:p>
    <w:p>
      <w:pPr>
        <w:pStyle w:val="ListParagraph"/>
        <w:numPr>
          <w:ilvl w:val="0"/>
          <w:numId w:val="2"/>
        </w:numPr>
        <w:spacing w:after="60" w:before="40"/>
      </w:pPr>
      <w:r>
        <w:rPr>
          <w:rFonts w:ascii="Arial" w:cs="Arial" w:eastAsia="Arial" w:hAnsi="Arial"/>
          <w:color w:val="595959"/>
          <w:sz w:val="20"/>
          <w:szCs w:val="20"/>
        </w:rPr>
        <w:t xml:space="preserve">Garantizar encriptación en reposo (TDE nativo en SQL MI + ADE en VM) y en tránsito (TLS 1.2+).</w:t>
      </w:r>
    </w:p>
    <w:p>
      <w:pPr>
        <w:pStyle w:val="ListParagraph"/>
        <w:numPr>
          <w:ilvl w:val="0"/>
          <w:numId w:val="2"/>
        </w:numPr>
        <w:spacing w:after="60" w:before="40"/>
      </w:pPr>
      <w:r>
        <w:rPr>
          <w:rFonts w:ascii="Arial" w:cs="Arial" w:eastAsia="Arial" w:hAnsi="Arial"/>
          <w:color w:val="595959"/>
          <w:sz w:val="20"/>
          <w:szCs w:val="20"/>
        </w:rPr>
        <w:t xml:space="preserve">Habilitar auto-failover groups de SQL MI para recuperación ante desastres sin intervención manual.</w:t>
      </w:r>
    </w:p>
    <w:p>
      <w:pPr>
        <w:pStyle w:val="ListParagraph"/>
        <w:numPr>
          <w:ilvl w:val="0"/>
          <w:numId w:val="2"/>
        </w:numPr>
        <w:spacing w:after="60" w:before="40"/>
      </w:pPr>
      <w:r>
        <w:rPr>
          <w:rFonts w:ascii="Arial" w:cs="Arial" w:eastAsia="Arial" w:hAnsi="Arial"/>
          <w:color w:val="595959"/>
          <w:sz w:val="20"/>
          <w:szCs w:val="20"/>
        </w:rPr>
        <w:t xml:space="preserve">Implementar monitoreo básico con alertas proactivas sobre VM y SQL MI.</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5. Arquitectura Propuesta</w:t>
      </w:r>
    </w:p>
    <w:p>
      <w:pPr>
        <w:pStyle w:val="Heading2"/>
        <w:spacing w:after="120" w:before="260"/>
      </w:pPr>
      <w:r>
        <w:rPr>
          <w:rFonts w:ascii="Arial" w:cs="Arial" w:eastAsia="Arial" w:hAnsi="Arial"/>
          <w:b/>
          <w:bCs/>
          <w:color w:val="005A9E"/>
          <w:sz w:val="28"/>
          <w:szCs w:val="28"/>
        </w:rPr>
        <w:t xml:space="preserve">5.1 Topología de Red</w:t>
      </w:r>
    </w:p>
    <w:p>
      <w:pPr>
        <w:spacing w:after="100" w:before="60"/>
        <w:jc w:val="both"/>
      </w:pPr>
      <w:r>
        <w:rPr>
          <w:rFonts w:ascii="Arial" w:cs="Arial" w:eastAsia="Arial" w:hAnsi="Arial"/>
          <w:b w:val="false"/>
          <w:bCs w:val="false"/>
          <w:i w:val="false"/>
          <w:iCs w:val="false"/>
          <w:color w:val="595959"/>
          <w:sz w:val="20"/>
          <w:szCs w:val="20"/>
        </w:rPr>
        <w:t xml:space="preserve">La solución utiliza una Azure Virtual Network (VNet) con segmentación por subredes funcionales. Azure SQL Managed Instance requiere su propia subred dedicada (/24 mínimo) dentro de la VNet, lo que garantiza aislamiento de red y acceso privado desde la VM de aplicación.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Componente</w:t>
            </w:r>
          </w:p>
        </w:tc>
        <w:tc>
          <w:tcPr>
            <w:tcW w:type="dxa" w:w="25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Subred / Ubicación</w:t>
            </w:r>
          </w:p>
        </w:tc>
        <w:tc>
          <w:tcPr>
            <w:tcW w:type="dxa" w:w="42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Función Principal</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VM (App Server)</w:t>
            </w:r>
          </w:p>
        </w:tc>
        <w:tc>
          <w:tcPr>
            <w:tcW w:type="dxa" w:w="2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Subnet-App  10.0.1.0/24</w:t>
            </w:r>
          </w:p>
        </w:tc>
        <w:tc>
          <w:tcPr>
            <w:tcW w:type="dxa" w:w="42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Servidor de aplicación + Windows Server 2022</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SQL Managed Instance</w:t>
            </w:r>
          </w:p>
        </w:tc>
        <w:tc>
          <w:tcPr>
            <w:tcW w:type="dxa" w:w="2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Subnet-SQLMI  10.0.2.0/24</w:t>
            </w:r>
          </w:p>
        </w:tc>
        <w:tc>
          <w:tcPr>
            <w:tcW w:type="dxa" w:w="42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Motor SQL PaaS – aislado, acceso privado</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VPN Gateway</w:t>
            </w:r>
          </w:p>
        </w:tc>
        <w:tc>
          <w:tcPr>
            <w:tcW w:type="dxa" w:w="2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GatewaySubnet  10.0.0.0/27</w:t>
            </w:r>
          </w:p>
        </w:tc>
        <w:tc>
          <w:tcPr>
            <w:tcW w:type="dxa" w:w="42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 S2S (usuarios locales) y P2S (remotos)</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Bastion</w:t>
            </w:r>
          </w:p>
        </w:tc>
        <w:tc>
          <w:tcPr>
            <w:tcW w:type="dxa" w:w="2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AzureBastionSubnet</w:t>
            </w:r>
          </w:p>
        </w:tc>
        <w:tc>
          <w:tcPr>
            <w:tcW w:type="dxa" w:w="42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Acceso RDP seguro a la VM sin IP pública</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Key Vault</w:t>
            </w:r>
          </w:p>
        </w:tc>
        <w:tc>
          <w:tcPr>
            <w:tcW w:type="dxa" w:w="2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Servicio Administrado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Claves de encriptación, secretos y certificados</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Monitor / Logs</w:t>
            </w:r>
          </w:p>
        </w:tc>
        <w:tc>
          <w:tcPr>
            <w:tcW w:type="dxa" w:w="2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Servicio Administrado</w:t>
            </w:r>
          </w:p>
        </w:tc>
        <w:tc>
          <w:tcPr>
            <w:tcW w:type="dxa" w:w="42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Métricas, alertas y logs centralizados</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AD + MFA</w:t>
            </w:r>
          </w:p>
        </w:tc>
        <w:tc>
          <w:tcPr>
            <w:tcW w:type="dxa" w:w="2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Servicio Administrado</w:t>
            </w:r>
          </w:p>
        </w:tc>
        <w:tc>
          <w:tcPr>
            <w:tcW w:type="dxa" w:w="42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Identidad y autenticación de usuarios y admins</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NSG (por subred)</w:t>
            </w:r>
          </w:p>
        </w:tc>
        <w:tc>
          <w:tcPr>
            <w:tcW w:type="dxa" w:w="2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Aplicado a cada Subnet</w:t>
            </w:r>
          </w:p>
        </w:tc>
        <w:tc>
          <w:tcPr>
            <w:tcW w:type="dxa" w:w="42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Control de tráfico capa 4 (firewall)</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5.2 Flujos de Comunicación</w:t>
      </w:r>
    </w:p>
    <w:p>
      <w:pPr>
        <w:pStyle w:val="ListParagraph"/>
        <w:numPr>
          <w:ilvl w:val="0"/>
          <w:numId w:val="2"/>
        </w:numPr>
        <w:spacing w:after="60" w:before="40"/>
      </w:pPr>
      <w:r>
        <w:rPr>
          <w:rFonts w:ascii="Arial" w:cs="Arial" w:eastAsia="Arial" w:hAnsi="Arial"/>
          <w:color w:val="595959"/>
          <w:sz w:val="20"/>
          <w:szCs w:val="20"/>
        </w:rPr>
        <w:t xml:space="preserve">Usuarios Locales (65): VPN S2S (oficina → Azure VNet) → VM App → SQL MI (privado, sin Internet).</w:t>
      </w:r>
    </w:p>
    <w:p>
      <w:pPr>
        <w:pStyle w:val="ListParagraph"/>
        <w:numPr>
          <w:ilvl w:val="0"/>
          <w:numId w:val="2"/>
        </w:numPr>
        <w:spacing w:after="60" w:before="40"/>
      </w:pPr>
      <w:r>
        <w:rPr>
          <w:rFonts w:ascii="Arial" w:cs="Arial" w:eastAsia="Arial" w:hAnsi="Arial"/>
          <w:color w:val="595959"/>
          <w:sz w:val="20"/>
          <w:szCs w:val="20"/>
        </w:rPr>
        <w:t xml:space="preserve">Usuarios Remotos (65): VPN P2S (laptop/dispositivo → Azure VNet) → VM App → SQL MI.</w:t>
      </w:r>
    </w:p>
    <w:p>
      <w:pPr>
        <w:pStyle w:val="ListParagraph"/>
        <w:numPr>
          <w:ilvl w:val="0"/>
          <w:numId w:val="2"/>
        </w:numPr>
        <w:spacing w:after="60" w:before="40"/>
      </w:pPr>
      <w:r>
        <w:rPr>
          <w:rFonts w:ascii="Arial" w:cs="Arial" w:eastAsia="Arial" w:hAnsi="Arial"/>
          <w:color w:val="595959"/>
          <w:sz w:val="20"/>
          <w:szCs w:val="20"/>
        </w:rPr>
        <w:t xml:space="preserve">VM App → SQL MI: Conexión privada vía IP interna de la VNet (puerto 1433 TCP, TLS 1.2 obligatorio).</w:t>
      </w:r>
    </w:p>
    <w:p>
      <w:pPr>
        <w:pStyle w:val="ListParagraph"/>
        <w:numPr>
          <w:ilvl w:val="0"/>
          <w:numId w:val="2"/>
        </w:numPr>
        <w:spacing w:after="60" w:before="40"/>
      </w:pPr>
      <w:r>
        <w:rPr>
          <w:rFonts w:ascii="Arial" w:cs="Arial" w:eastAsia="Arial" w:hAnsi="Arial"/>
          <w:color w:val="595959"/>
          <w:sz w:val="20"/>
          <w:szCs w:val="20"/>
        </w:rPr>
        <w:t xml:space="preserve">Administración VM: Exclusivamente vía Azure Bastion (HTTPS/443), sin RDP expuesto a Internet.</w:t>
      </w:r>
    </w:p>
    <w:p>
      <w:pPr>
        <w:pStyle w:val="ListParagraph"/>
        <w:numPr>
          <w:ilvl w:val="0"/>
          <w:numId w:val="2"/>
        </w:numPr>
        <w:spacing w:after="60" w:before="40"/>
      </w:pPr>
      <w:r>
        <w:rPr>
          <w:rFonts w:ascii="Arial" w:cs="Arial" w:eastAsia="Arial" w:hAnsi="Arial"/>
          <w:color w:val="595959"/>
          <w:sz w:val="20"/>
          <w:szCs w:val="20"/>
        </w:rPr>
        <w:t xml:space="preserve">SQL MI Admin: Azure Data Studio o SSMS a través de VPN o Bastion (no expuesto a Internet público).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Principio de Seguridad: Zero Public Exposure</w:t>
            </w:r>
          </w:p>
        </w:tc>
      </w:tr>
      <w:tr>
        <w:tc>
          <w:tcPr>
            <w:tcW w:type="dxa" w:w="9360"/>
            <w:tcBorders>
              <w:top w:val="none" w:color="FFFFFF" w:sz="0"/>
              <w:left w:val="none" w:color="FFFFFF" w:sz="0"/>
              <w:bottom w:val="none" w:color="FFFFFF" w:sz="0"/>
              <w:right w:val="none" w:color="FFFFFF" w:sz="0"/>
            </w:tcBorders>
            <w:shd w:fill="D9EB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Azure SQL Managed Instance NO tiene endpoint público habilitado. Todo el acceso al motor SQL ocurre dentro de la VNet de Azure a través de IP privada. La VM de aplicación tampoco tiene RDP expuesto — el acceso administrativo es exclusivamente vía Azure Bastion.</w:t>
            </w:r>
          </w:p>
        </w:tc>
      </w:tr>
    </w:tbl>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6. Azure SQL Managed Instance (PaaS)</w:t>
      </w:r>
    </w:p>
    <w:p>
      <w:pPr>
        <w:pStyle w:val="Heading2"/>
        <w:spacing w:after="120" w:before="260"/>
      </w:pPr>
      <w:r>
        <w:rPr>
          <w:rFonts w:ascii="Arial" w:cs="Arial" w:eastAsia="Arial" w:hAnsi="Arial"/>
          <w:b/>
          <w:bCs/>
          <w:color w:val="005A9E"/>
          <w:sz w:val="28"/>
          <w:szCs w:val="28"/>
        </w:rPr>
        <w:t xml:space="preserve">6.1 ¿Qué es Azure SQL Managed Instance?</w:t>
      </w:r>
    </w:p>
    <w:p>
      <w:pPr>
        <w:spacing w:after="100" w:before="60"/>
        <w:jc w:val="both"/>
      </w:pPr>
      <w:r>
        <w:rPr>
          <w:rFonts w:ascii="Arial" w:cs="Arial" w:eastAsia="Arial" w:hAnsi="Arial"/>
          <w:b w:val="false"/>
          <w:bCs w:val="false"/>
          <w:i w:val="false"/>
          <w:iCs w:val="false"/>
          <w:color w:val="595959"/>
          <w:sz w:val="20"/>
          <w:szCs w:val="20"/>
        </w:rPr>
        <w:t xml:space="preserve">Azure SQL Managed Instance es un servicio PaaS de base de datos en la nube que proporciona casi el 100% de compatibilidad con SQL Server on-premise (nivel de compatibilidad 150 = SQL Server 2019), con todos los beneficios de un servicio totalmente administrado por Microsoft: parches automáticos, alta disponibilidad nativa, backups automatizados y escalabilidad sin downtime.</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6.2 SKU Recomendado para la Carga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Parámetro</w:t>
            </w:r>
          </w:p>
        </w:tc>
        <w:tc>
          <w:tcPr>
            <w:tcW w:type="dxa" w:w="61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Especificación Recomendada</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Tier de Servicio</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General Purpose (GP) – balanceado para OLTP + reporting</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Generación de Hardware</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Gen5 (última generación estable)</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vCores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8 vCores (equivalente a ~16 threads físicos del Xeon Gold)</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Memoria RAM</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~40.8 GB (fija por el tier GP – 5.1 GB por vCore)</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Almacenamiento inicial</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512 GB (escala hasta 16 TB sin downtime)</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Almacenamiento máximo</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 TB (expansión online)</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IOPS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Hasta 40,960 IOPS (GP, 8 vCores)</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Nivel de Compatibilidad</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150 (SQL Server 2019)</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Licenciamiento</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Hybrid Benefit (si cliente tiene SA activo = ~35% descuento)</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SLA de Disponibilidad</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99.99% (HA nativa incluida – sin configuración adicional)</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Zona de Alta Disponibilidad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Redundancia de zona disponible en la región seleccionada</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6.3 Funcionalidades PaaS Incluidas Sin Costo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Funcionalidad</w:t>
            </w:r>
          </w:p>
        </w:tc>
        <w:tc>
          <w:tcPr>
            <w:tcW w:type="dxa" w:w="4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Descripción</w:t>
            </w:r>
          </w:p>
        </w:tc>
        <w:tc>
          <w:tcPr>
            <w:tcW w:type="dxa" w:w="23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¿Requiere config. manual?</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Alta Disponibilidad (Always On)</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Réplica Always On integrada con failover automático</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NO – nativa</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Backups automáticos</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Full semanal, diferencial diario, log cada 5-10 min</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NO – automático</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Retención de backup</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Configurable 7 a 35 días (point-in-time restore)</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Solo política</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Parches del motor SQL</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Actualizaciones y parches aplicados por Microsoft</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NO – transparente</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Parches del SO subyacente</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Totalmente gestionado por Microsoft</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NO – invisible</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TDE (Encriptación en reposo)</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Transparent Data Encryption habilitado por defecto</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NO – automático</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Microsoft Defender for SQL</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Detección de amenazas y vulnerabilidades SQL</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Solo activación</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Audit</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Auditoría de consultas y accesos a Azure Storage</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Configuración simple</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In-Memory OLTP</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Tablas en memoria para cargas transaccionales intensas</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Disponible</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Linked Servers</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Compatible con linked servers a otras instancias</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Configurable</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Agent</w:t>
            </w:r>
          </w:p>
        </w:tc>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Agente SQL Server nativo para jobs y automatizaciones</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Disponible</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CLR, Service Broker, DBCC</w:t>
            </w:r>
          </w:p>
        </w:tc>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Compatibilidad casi completa con SQL Server 2019</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Disponible</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6.4 Auto-Failover Groups (Recuperación ante Desastres)</w:t>
      </w:r>
    </w:p>
    <w:p>
      <w:pPr>
        <w:spacing w:after="100" w:before="60"/>
        <w:jc w:val="both"/>
      </w:pPr>
      <w:r>
        <w:rPr>
          <w:rFonts w:ascii="Arial" w:cs="Arial" w:eastAsia="Arial" w:hAnsi="Arial"/>
          <w:b w:val="false"/>
          <w:bCs w:val="false"/>
          <w:i w:val="false"/>
          <w:iCs w:val="false"/>
          <w:color w:val="595959"/>
          <w:sz w:val="20"/>
          <w:szCs w:val="20"/>
        </w:rPr>
        <w:t xml:space="preserve">Para garantizar continuidad de negocio ante una falla catastrófica de la región de Azure, se configurará un Auto-Failover Group entre la instancia principal y una instancia secundaria de lectura en región alternativa:</w:t>
      </w:r>
    </w:p>
    <w:p>
      <w:pPr>
        <w:pStyle w:val="ListParagraph"/>
        <w:numPr>
          <w:ilvl w:val="0"/>
          <w:numId w:val="2"/>
        </w:numPr>
        <w:spacing w:after="60" w:before="40"/>
      </w:pPr>
      <w:r>
        <w:rPr>
          <w:rFonts w:ascii="Arial" w:cs="Arial" w:eastAsia="Arial" w:hAnsi="Arial"/>
          <w:color w:val="595959"/>
          <w:sz w:val="20"/>
          <w:szCs w:val="20"/>
        </w:rPr>
        <w:t xml:space="preserve">Región Primaria: South Central US (o Mexico Central cuando esté disponible para SQL MI).</w:t>
      </w:r>
    </w:p>
    <w:p>
      <w:pPr>
        <w:pStyle w:val="ListParagraph"/>
        <w:numPr>
          <w:ilvl w:val="0"/>
          <w:numId w:val="2"/>
        </w:numPr>
        <w:spacing w:after="60" w:before="40"/>
      </w:pPr>
      <w:r>
        <w:rPr>
          <w:rFonts w:ascii="Arial" w:cs="Arial" w:eastAsia="Arial" w:hAnsi="Arial"/>
          <w:color w:val="595959"/>
          <w:sz w:val="20"/>
          <w:szCs w:val="20"/>
        </w:rPr>
        <w:t xml:space="preserve">Región Secundaria (DR): East US 2.</w:t>
      </w:r>
    </w:p>
    <w:p>
      <w:pPr>
        <w:pStyle w:val="ListParagraph"/>
        <w:numPr>
          <w:ilvl w:val="0"/>
          <w:numId w:val="2"/>
        </w:numPr>
        <w:spacing w:after="60" w:before="40"/>
      </w:pPr>
      <w:r>
        <w:rPr>
          <w:rFonts w:ascii="Arial" w:cs="Arial" w:eastAsia="Arial" w:hAnsi="Arial"/>
          <w:color w:val="595959"/>
          <w:sz w:val="20"/>
          <w:szCs w:val="20"/>
        </w:rPr>
        <w:t xml:space="preserve">RPO (Recovery Point Objective): &lt; 5 segundos (replicación síncrona).</w:t>
      </w:r>
    </w:p>
    <w:p>
      <w:pPr>
        <w:pStyle w:val="ListParagraph"/>
        <w:numPr>
          <w:ilvl w:val="0"/>
          <w:numId w:val="2"/>
        </w:numPr>
        <w:spacing w:after="60" w:before="40"/>
      </w:pPr>
      <w:r>
        <w:rPr>
          <w:rFonts w:ascii="Arial" w:cs="Arial" w:eastAsia="Arial" w:hAnsi="Arial"/>
          <w:color w:val="595959"/>
          <w:sz w:val="20"/>
          <w:szCs w:val="20"/>
        </w:rPr>
        <w:t xml:space="preserve">RTO (Recovery Time Objective): &lt; 30 segundos (failover automático configurable).</w:t>
      </w:r>
    </w:p>
    <w:p>
      <w:pPr>
        <w:pStyle w:val="ListParagraph"/>
        <w:numPr>
          <w:ilvl w:val="0"/>
          <w:numId w:val="2"/>
        </w:numPr>
        <w:spacing w:after="60" w:before="40"/>
      </w:pPr>
      <w:r>
        <w:rPr>
          <w:rFonts w:ascii="Arial" w:cs="Arial" w:eastAsia="Arial" w:hAnsi="Arial"/>
          <w:color w:val="595959"/>
          <w:sz w:val="20"/>
          <w:szCs w:val="20"/>
        </w:rPr>
        <w:t xml:space="preserve">La instancia secundaria puede usarse como réplica de solo lectura para reportes (Read Scale-Out).</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7. Máquina Virtual Azure para la Aplicación</w:t>
      </w:r>
    </w:p>
    <w:p>
      <w:pPr>
        <w:pStyle w:val="Heading2"/>
        <w:spacing w:after="120" w:before="260"/>
      </w:pPr>
      <w:r>
        <w:rPr>
          <w:rFonts w:ascii="Arial" w:cs="Arial" w:eastAsia="Arial" w:hAnsi="Arial"/>
          <w:b/>
          <w:bCs/>
          <w:color w:val="005A9E"/>
          <w:sz w:val="28"/>
          <w:szCs w:val="28"/>
        </w:rPr>
        <w:t xml:space="preserve">7.1 Justificación del Modelo IaaS para la App</w:t>
      </w:r>
    </w:p>
    <w:p>
      <w:pPr>
        <w:spacing w:after="100" w:before="60"/>
        <w:jc w:val="both"/>
      </w:pPr>
      <w:r>
        <w:rPr>
          <w:rFonts w:ascii="Arial" w:cs="Arial" w:eastAsia="Arial" w:hAnsi="Arial"/>
          <w:b w:val="false"/>
          <w:bCs w:val="false"/>
          <w:i w:val="false"/>
          <w:iCs w:val="false"/>
          <w:color w:val="595959"/>
          <w:sz w:val="20"/>
          <w:szCs w:val="20"/>
        </w:rPr>
        <w:t xml:space="preserve">Dado que la migración de la aplicación es responsabilidad del cliente y no se conoce si la aplicación es compatible con Azure App Service o contenedores, se recomienda una VM Windows Server como plataforma de aplicación. Esto garantiza compatibilidad total con la aplicación existente, facilita la migración (lift &amp; shift) y permite al cliente migrar la app sin modificaciones de código.</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7.2 SKU Recomendado para la VM de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Parámetro</w:t>
            </w:r>
          </w:p>
        </w:tc>
        <w:tc>
          <w:tcPr>
            <w:tcW w:type="dxa" w:w="61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Especificación</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Serie / SKU</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Standard_D16ds_v5 (o D8ds_v5 si la carga es moderada)</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vCPUs</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 vCPUs (ajustable según carga real post-migración)</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Memoria RAM</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64 GB</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Disco OS</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Premium SSD P30 – 1 TB (Windows Server 2022)</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Disco de App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Premium SSD P20 – 512 GB (binarios y archivos de aplicación)</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SO</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Windows Server 2022 Datacenter</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Hybrid Benefit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Aplicable si cliente tiene licencia Windows Server con SA</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SLA VM</w:t>
            </w:r>
          </w:p>
        </w:tc>
        <w:tc>
          <w:tcPr>
            <w:tcW w:type="dxa" w:w="6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99.9% (instancia única) | 99.99% (con Availability Zone)</w:t>
            </w:r>
          </w:p>
        </w:tc>
      </w:tr>
    </w:tbl>
    <w:p>
      <w:pPr>
        <w:spacing w:after="60" w:before="60"/>
      </w:pPr>
      <w:r>
        <w:t xml:space="preserve"/>
      </w:r>
    </w:p>
    <w:p>
      <w:pPr>
        <w:spacing w:after="100" w:before="60"/>
        <w:jc w:val="both"/>
      </w:pPr>
      <w:r>
        <w:rPr>
          <w:rFonts w:ascii="Arial" w:cs="Arial" w:eastAsia="Arial" w:hAnsi="Arial"/>
          <w:b w:val="false"/>
          <w:bCs w:val="false"/>
          <w:i/>
          <w:iCs/>
          <w:color w:val="595959"/>
          <w:sz w:val="20"/>
          <w:szCs w:val="20"/>
        </w:rPr>
        <w:t xml:space="preserve">Nota: Al mover SQL Server a Azure SQL MI (PaaS), la VM de aplicación puede ser significativamente más pequeña que el servidor físico actual, reduciendo costos. La VM ya no necesita cargar el motor SQL.</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8. Almacenamiento Incremental (Azure Blob Storage)</w:t>
      </w:r>
    </w:p>
    <w:p>
      <w:pPr>
        <w:pStyle w:val="Heading2"/>
        <w:spacing w:after="120" w:before="260"/>
      </w:pPr>
      <w:r>
        <w:rPr>
          <w:rFonts w:ascii="Arial" w:cs="Arial" w:eastAsia="Arial" w:hAnsi="Arial"/>
          <w:b/>
          <w:bCs/>
          <w:color w:val="005A9E"/>
          <w:sz w:val="28"/>
          <w:szCs w:val="28"/>
        </w:rPr>
        <w:t xml:space="preserve">8.1 Modelo de Crecimiento desde 1 GB</w:t>
      </w:r>
    </w:p>
    <w:p>
      <w:pPr>
        <w:spacing w:after="100" w:before="60"/>
        <w:jc w:val="both"/>
      </w:pPr>
      <w:r>
        <w:rPr>
          <w:rFonts w:ascii="Arial" w:cs="Arial" w:eastAsia="Arial" w:hAnsi="Arial"/>
          <w:b w:val="false"/>
          <w:bCs w:val="false"/>
          <w:i w:val="false"/>
          <w:iCs w:val="false"/>
          <w:color w:val="595959"/>
          <w:sz w:val="20"/>
          <w:szCs w:val="20"/>
        </w:rPr>
        <w:t xml:space="preserve">Azure Blob Storage opera bajo un modelo pay-as-you-go donde se factura únicamente el almacenamiento consumido. No existe un techo prepagado — el storage crece automáticamente conforme la aplicación lo requiera: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rPr>
          <w:tblHeader/>
        </w:trPr>
        <w:tc>
          <w:tcPr>
            <w:tcW w:type="dxa" w:w="1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Fase</w:t>
            </w:r>
          </w:p>
        </w:tc>
        <w:tc>
          <w:tcPr>
            <w:tcW w:type="dxa" w:w="2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Capacidad Estimada</w:t>
            </w:r>
          </w:p>
        </w:tc>
        <w:tc>
          <w:tcPr>
            <w:tcW w:type="dxa" w:w="25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Costo Aprox./mes (LRS Hot)</w:t>
            </w:r>
          </w:p>
        </w:tc>
        <w:tc>
          <w:tcPr>
            <w:tcW w:type="dxa" w:w="2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Trigger de Crecimiento</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Inicio</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GB – 10 GB</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&lt; $0.20 USD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Inicio del proyecto</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1</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Hasta 100 GB</w:t>
            </w:r>
          </w:p>
        </w:tc>
        <w:tc>
          <w:tcPr>
            <w:tcW w:type="dxa" w:w="25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~$2.00 USD</w:t>
            </w:r>
          </w:p>
        </w:tc>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Primeros 3 meses</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2</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Hasta 500 GB</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~$10.00 USD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Mes 4-6</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3</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Hasta 1 TB</w:t>
            </w:r>
          </w:p>
        </w:tc>
        <w:tc>
          <w:tcPr>
            <w:tcW w:type="dxa" w:w="25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~$20.00 USD</w:t>
            </w:r>
          </w:p>
        </w:tc>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Mes 7-12</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4</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Hasta 5 TB</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~$100.00 USD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Año 2+</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Sin límite</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Escala automática</w:t>
            </w:r>
          </w:p>
        </w:tc>
        <w:tc>
          <w:tcPr>
            <w:tcW w:type="dxa" w:w="25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Por consumo real</w:t>
            </w:r>
          </w:p>
        </w:tc>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escala automático</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8.2 Niveles de Acceso (Lifecycle Tiering)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60"/>
        <w:gridCol w:w="2000"/>
        <w:gridCol w:w="1900"/>
      </w:tblGrid>
      <w:tr>
        <w:trPr>
          <w:tblHeader/>
        </w:trPr>
        <w:tc>
          <w:tcPr>
            <w:tcW w:type="dxa" w:w="14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Nivel</w:t>
            </w:r>
          </w:p>
        </w:tc>
        <w:tc>
          <w:tcPr>
            <w:tcW w:type="dxa" w:w="40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Uso Recomendado</w:t>
            </w:r>
          </w:p>
        </w:tc>
        <w:tc>
          <w:tcPr>
            <w:tcW w:type="dxa" w:w="20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Costo/GB/mes</w:t>
            </w:r>
          </w:p>
        </w:tc>
        <w:tc>
          <w:tcPr>
            <w:tcW w:type="dxa" w:w="19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Latencia</w:t>
            </w:r>
          </w:p>
        </w:tc>
      </w:tr>
      <w:tr>
        <w:trPr>
          <w:tblHeader w:val="false"/>
        </w:trP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Hot</w:t>
            </w:r>
          </w:p>
        </w:tc>
        <w:tc>
          <w:tcPr>
            <w:tcW w:type="dxa" w:w="40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Archivos activos de la aplicación, logs recientes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$0.020</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Inmediata</w:t>
            </w:r>
          </w:p>
        </w:tc>
      </w:tr>
      <w:tr>
        <w:trPr>
          <w:tblHeader w:val="false"/>
        </w:trPr>
        <w:tc>
          <w:tcPr>
            <w:tcW w:type="dxa" w:w="1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Cool</w:t>
            </w:r>
          </w:p>
        </w:tc>
        <w:tc>
          <w:tcPr>
            <w:tcW w:type="dxa" w:w="40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Archivos accedidos &lt; 1 vez/mes, backups corto plazo</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$0.010</w:t>
            </w:r>
          </w:p>
        </w:tc>
        <w:tc>
          <w:tcPr>
            <w:tcW w:type="dxa" w:w="19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Inmediata</w:t>
            </w:r>
          </w:p>
        </w:tc>
      </w:tr>
      <w:tr>
        <w:trPr>
          <w:tblHeader w:val="false"/>
        </w:trP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Archive</w:t>
            </w:r>
          </w:p>
        </w:tc>
        <w:tc>
          <w:tcPr>
            <w:tcW w:type="dxa" w:w="40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Respaldos históricos, auditoría de largo plazo</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$0.001</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Horas (rehidratación)</w:t>
            </w:r>
          </w:p>
        </w:tc>
      </w:tr>
    </w:tbl>
    <w:p>
      <w:pPr>
        <w:spacing w:after="60" w:before="60"/>
      </w:pPr>
      <w:r>
        <w:t xml:space="preserve"/>
      </w:r>
    </w:p>
    <w:p>
      <w:pPr>
        <w:spacing w:after="100" w:before="60"/>
        <w:jc w:val="both"/>
      </w:pPr>
      <w:r>
        <w:rPr>
          <w:rFonts w:ascii="Arial" w:cs="Arial" w:eastAsia="Arial" w:hAnsi="Arial"/>
          <w:b w:val="false"/>
          <w:bCs w:val="false"/>
          <w:i w:val="false"/>
          <w:iCs w:val="false"/>
          <w:color w:val="595959"/>
          <w:sz w:val="20"/>
          <w:szCs w:val="20"/>
        </w:rPr>
        <w:t xml:space="preserve">Azure Blob Lifecycle Management moverá automáticamente los archivos entre niveles según reglas de antigüedad, sin intervención manual, optimizando costos de almacenamiento progresivamente.</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9. Diseño de VPN – Usuarios Internos y Externos</w:t>
      </w:r>
    </w:p>
    <w:p>
      <w:pPr>
        <w:pStyle w:val="Heading2"/>
        <w:spacing w:after="120" w:before="260"/>
      </w:pPr>
      <w:r>
        <w:rPr>
          <w:rFonts w:ascii="Arial" w:cs="Arial" w:eastAsia="Arial" w:hAnsi="Arial"/>
          <w:b/>
          <w:bCs/>
          <w:color w:val="005A9E"/>
          <w:sz w:val="28"/>
          <w:szCs w:val="28"/>
        </w:rPr>
        <w:t xml:space="preserve">9.1 Resumen de la Solución VPN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Componente</w:t>
            </w:r>
          </w:p>
        </w:tc>
        <w:tc>
          <w:tcPr>
            <w:tcW w:type="dxa" w:w="37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Servicio / Tecnología</w:t>
            </w:r>
          </w:p>
        </w:tc>
        <w:tc>
          <w:tcPr>
            <w:tcW w:type="dxa" w:w="3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Usuarios Atendidos</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 Site-to-Site</w:t>
            </w:r>
          </w:p>
        </w:tc>
        <w:tc>
          <w:tcPr>
            <w:tcW w:type="dxa" w:w="3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VPN Gateway VpnGw2 – IPSec/IKEv2</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65 usuarios locales (LAN → Azure)</w:t>
            </w:r>
          </w:p>
        </w:tc>
      </w:tr>
      <w:tr>
        <w:trPr>
          <w:tblHeader w:val="false"/>
        </w:trPr>
        <w:tc>
          <w:tcPr>
            <w:tcW w:type="dxa" w:w="2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 Point-to-Site</w:t>
            </w:r>
          </w:p>
        </w:tc>
        <w:tc>
          <w:tcPr>
            <w:tcW w:type="dxa" w:w="3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OpenVPN / IKEv2 con Azure AD + MFA</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65 usuarios remotos (Internet → Azure)</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Bastion</w:t>
            </w:r>
          </w:p>
        </w:tc>
        <w:tc>
          <w:tcPr>
            <w:tcW w:type="dxa" w:w="3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RDP/SSH seguro vía browser (HTTPS/443)</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Administradores (acceso a VM)</w:t>
            </w:r>
          </w:p>
        </w:tc>
      </w:tr>
      <w:tr>
        <w:trPr>
          <w:tblHeader w:val="false"/>
        </w:trPr>
        <w:tc>
          <w:tcPr>
            <w:tcW w:type="dxa" w:w="2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NSG Rules</w:t>
            </w:r>
          </w:p>
        </w:tc>
        <w:tc>
          <w:tcPr>
            <w:tcW w:type="dxa" w:w="3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Network Security Groups por subred</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Control de tráfico en todas las subredes</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AD + MFA</w:t>
            </w:r>
          </w:p>
        </w:tc>
        <w:tc>
          <w:tcPr>
            <w:tcW w:type="dxa" w:w="3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Autenticación multi-factor obligatoria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 de los 130 usuarios</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9.2 VPN Site-to-Site – 65 Usuarios Locales</w:t>
      </w:r>
    </w:p>
    <w:p>
      <w:pPr>
        <w:pStyle w:val="ListParagraph"/>
        <w:numPr>
          <w:ilvl w:val="0"/>
          <w:numId w:val="2"/>
        </w:numPr>
        <w:spacing w:after="60" w:before="40"/>
      </w:pPr>
      <w:r>
        <w:rPr>
          <w:rFonts w:ascii="Arial" w:cs="Arial" w:eastAsia="Arial" w:hAnsi="Arial"/>
          <w:color w:val="595959"/>
          <w:sz w:val="20"/>
          <w:szCs w:val="20"/>
        </w:rPr>
        <w:t xml:space="preserve">Conecta la red LAN de la oficina del cliente de forma permanente con la Azure VNet.</w:t>
      </w:r>
    </w:p>
    <w:p>
      <w:pPr>
        <w:pStyle w:val="ListParagraph"/>
        <w:numPr>
          <w:ilvl w:val="0"/>
          <w:numId w:val="2"/>
        </w:numPr>
        <w:spacing w:after="60" w:before="40"/>
      </w:pPr>
      <w:r>
        <w:rPr>
          <w:rFonts w:ascii="Arial" w:cs="Arial" w:eastAsia="Arial" w:hAnsi="Arial"/>
          <w:color w:val="595959"/>
          <w:sz w:val="20"/>
          <w:szCs w:val="20"/>
        </w:rPr>
        <w:t xml:space="preserve">Los usuarios locales acceden a la VM y a SQL MI como si estuvieran en la misma red local.</w:t>
      </w:r>
    </w:p>
    <w:p>
      <w:pPr>
        <w:pStyle w:val="ListParagraph"/>
        <w:numPr>
          <w:ilvl w:val="0"/>
          <w:numId w:val="2"/>
        </w:numPr>
        <w:spacing w:after="60" w:before="40"/>
      </w:pPr>
      <w:r>
        <w:rPr>
          <w:rFonts w:ascii="Arial" w:cs="Arial" w:eastAsia="Arial" w:hAnsi="Arial"/>
          <w:color w:val="595959"/>
          <w:sz w:val="20"/>
          <w:szCs w:val="20"/>
        </w:rPr>
        <w:t xml:space="preserve">Protocolo: IKEv2 / IPSec con cifrado AES-256-GCM + SHA-256.</w:t>
      </w:r>
    </w:p>
    <w:p>
      <w:pPr>
        <w:pStyle w:val="ListParagraph"/>
        <w:numPr>
          <w:ilvl w:val="0"/>
          <w:numId w:val="2"/>
        </w:numPr>
        <w:spacing w:after="60" w:before="40"/>
      </w:pPr>
      <w:r>
        <w:rPr>
          <w:rFonts w:ascii="Arial" w:cs="Arial" w:eastAsia="Arial" w:hAnsi="Arial"/>
          <w:color w:val="595959"/>
          <w:sz w:val="20"/>
          <w:szCs w:val="20"/>
        </w:rPr>
        <w:t xml:space="preserve">Requiere un router/firewall en la oficina compatible con IKEv2 (Cisco, Fortinet, pfSense, MikroTik).</w:t>
      </w:r>
    </w:p>
    <w:p>
      <w:pPr>
        <w:pStyle w:val="ListParagraph"/>
        <w:numPr>
          <w:ilvl w:val="0"/>
          <w:numId w:val="2"/>
        </w:numPr>
        <w:spacing w:after="60" w:before="40"/>
      </w:pPr>
      <w:r>
        <w:rPr>
          <w:rFonts w:ascii="Arial" w:cs="Arial" w:eastAsia="Arial" w:hAnsi="Arial"/>
          <w:color w:val="595959"/>
          <w:sz w:val="20"/>
          <w:szCs w:val="20"/>
        </w:rPr>
        <w:t xml:space="preserve">Ancho de banda recomendado en oficina: mínimo 100 Mbps simétricos dedicados.</w:t>
      </w:r>
    </w:p>
    <w:p>
      <w:pPr>
        <w:pStyle w:val="ListParagraph"/>
        <w:numPr>
          <w:ilvl w:val="0"/>
          <w:numId w:val="2"/>
        </w:numPr>
        <w:spacing w:after="60" w:before="40"/>
      </w:pPr>
      <w:r>
        <w:rPr>
          <w:rFonts w:ascii="Arial" w:cs="Arial" w:eastAsia="Arial" w:hAnsi="Arial"/>
          <w:color w:val="595959"/>
          <w:sz w:val="20"/>
          <w:szCs w:val="20"/>
        </w:rPr>
        <w:t xml:space="preserve">Alta disponibilidad: VPN Gateway activo-activo con dos instancias para tolerancia a fallos.</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9.3 VPN Point-to-Site – 65 Usuarios Remotos</w:t>
      </w:r>
    </w:p>
    <w:p>
      <w:pPr>
        <w:pStyle w:val="ListParagraph"/>
        <w:numPr>
          <w:ilvl w:val="0"/>
          <w:numId w:val="2"/>
        </w:numPr>
        <w:spacing w:after="60" w:before="40"/>
      </w:pPr>
      <w:r>
        <w:rPr>
          <w:rFonts w:ascii="Arial" w:cs="Arial" w:eastAsia="Arial" w:hAnsi="Arial"/>
          <w:color w:val="595959"/>
          <w:sz w:val="20"/>
          <w:szCs w:val="20"/>
        </w:rPr>
        <w:t xml:space="preserve">Cada usuario remoto instala el cliente VPN de Azure (gratuito) en su dispositivo.</w:t>
      </w:r>
    </w:p>
    <w:p>
      <w:pPr>
        <w:pStyle w:val="ListParagraph"/>
        <w:numPr>
          <w:ilvl w:val="0"/>
          <w:numId w:val="2"/>
        </w:numPr>
        <w:spacing w:after="60" w:before="40"/>
      </w:pPr>
      <w:r>
        <w:rPr>
          <w:rFonts w:ascii="Arial" w:cs="Arial" w:eastAsia="Arial" w:hAnsi="Arial"/>
          <w:color w:val="595959"/>
          <w:sz w:val="20"/>
          <w:szCs w:val="20"/>
        </w:rPr>
        <w:t xml:space="preserve">Autenticación: Azure Active Directory + MFA obligatorio (sin excepción).</w:t>
      </w:r>
    </w:p>
    <w:p>
      <w:pPr>
        <w:pStyle w:val="ListParagraph"/>
        <w:numPr>
          <w:ilvl w:val="0"/>
          <w:numId w:val="2"/>
        </w:numPr>
        <w:spacing w:after="60" w:before="40"/>
      </w:pPr>
      <w:r>
        <w:rPr>
          <w:rFonts w:ascii="Arial" w:cs="Arial" w:eastAsia="Arial" w:hAnsi="Arial"/>
          <w:color w:val="595959"/>
          <w:sz w:val="20"/>
          <w:szCs w:val="20"/>
        </w:rPr>
        <w:t xml:space="preserve">Protocolo: OpenVPN (compatible con Windows 10/11, macOS, iOS, Android).</w:t>
      </w:r>
    </w:p>
    <w:p>
      <w:pPr>
        <w:pStyle w:val="ListParagraph"/>
        <w:numPr>
          <w:ilvl w:val="0"/>
          <w:numId w:val="2"/>
        </w:numPr>
        <w:spacing w:after="60" w:before="40"/>
      </w:pPr>
      <w:r>
        <w:rPr>
          <w:rFonts w:ascii="Arial" w:cs="Arial" w:eastAsia="Arial" w:hAnsi="Arial"/>
          <w:color w:val="595959"/>
          <w:sz w:val="20"/>
          <w:szCs w:val="20"/>
        </w:rPr>
        <w:t xml:space="preserve">Split Tunneling: Solo el tráfico corporativo va por VPN; el tráfico de Internet va directo.</w:t>
      </w:r>
    </w:p>
    <w:p>
      <w:pPr>
        <w:pStyle w:val="ListParagraph"/>
        <w:numPr>
          <w:ilvl w:val="0"/>
          <w:numId w:val="2"/>
        </w:numPr>
        <w:spacing w:after="60" w:before="40"/>
      </w:pPr>
      <w:r>
        <w:rPr>
          <w:rFonts w:ascii="Arial" w:cs="Arial" w:eastAsia="Arial" w:hAnsi="Arial"/>
          <w:color w:val="595959"/>
          <w:sz w:val="20"/>
          <w:szCs w:val="20"/>
        </w:rPr>
        <w:t xml:space="preserve">El VpnGw2 soporta hasta 500 conexiones P2S simultáneas (más que suficiente para 65 usuarios).</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9.4 SKU VPN Gateway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SKU</w:t>
            </w:r>
          </w:p>
        </w:tc>
        <w:tc>
          <w:tcPr>
            <w:tcW w:type="dxa" w:w="20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Throughput Agregado</w:t>
            </w:r>
          </w:p>
        </w:tc>
        <w:tc>
          <w:tcPr>
            <w:tcW w:type="dxa" w:w="20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Conexiones P2S</w:t>
            </w:r>
          </w:p>
        </w:tc>
        <w:tc>
          <w:tcPr>
            <w:tcW w:type="dxa" w:w="23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Costo Aprox./mes</w:t>
            </w:r>
          </w:p>
        </w:tc>
      </w:tr>
      <w:tr>
        <w:trPr>
          <w:tblHeader w:val="false"/>
        </w:trP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VpnGw1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650 Mbps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250</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~$140 USD</w:t>
            </w:r>
          </w:p>
        </w:tc>
      </w:tr>
      <w:tr>
        <w:trPr>
          <w:tblHeader w:val="false"/>
        </w:trPr>
        <w:tc>
          <w:tcPr>
            <w:tcW w:type="dxa" w:w="3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VpnGw2 ✓ Recomendado</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Gbps</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500</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~$280 USD</w:t>
            </w:r>
          </w:p>
        </w:tc>
      </w:tr>
      <w:tr>
        <w:trPr>
          <w:tblHeader w:val="false"/>
        </w:trP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VpnGw2AZ (con Zona HA)</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Gbps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500</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~$380 USD</w:t>
            </w:r>
          </w:p>
        </w:tc>
      </w:tr>
      <w:tr>
        <w:trPr>
          <w:tblHeader w:val="false"/>
        </w:trPr>
        <w:tc>
          <w:tcPr>
            <w:tcW w:type="dxa" w:w="3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VpnGw3</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1.25 Gbps</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1,000</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~$560 USD</w:t>
            </w:r>
          </w:p>
        </w:tc>
      </w:tr>
    </w:tbl>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10. Sistema de Respaldo</w:t>
      </w:r>
    </w:p>
    <w:p>
      <w:pPr>
        <w:pStyle w:val="Heading2"/>
        <w:spacing w:after="120" w:before="260"/>
      </w:pPr>
      <w:r>
        <w:rPr>
          <w:rFonts w:ascii="Arial" w:cs="Arial" w:eastAsia="Arial" w:hAnsi="Arial"/>
          <w:b/>
          <w:bCs/>
          <w:color w:val="005A9E"/>
          <w:sz w:val="28"/>
          <w:szCs w:val="28"/>
        </w:rPr>
        <w:t xml:space="preserve">10.1 Respaldo de Azure SQL Managed Instance (PaaS Nativo)</w:t>
      </w:r>
    </w:p>
    <w:p>
      <w:pPr>
        <w:spacing w:after="100" w:before="60"/>
        <w:jc w:val="both"/>
      </w:pPr>
      <w:r>
        <w:rPr>
          <w:rFonts w:ascii="Arial" w:cs="Arial" w:eastAsia="Arial" w:hAnsi="Arial"/>
          <w:b w:val="false"/>
          <w:bCs w:val="false"/>
          <w:i w:val="false"/>
          <w:iCs w:val="false"/>
          <w:color w:val="595959"/>
          <w:sz w:val="20"/>
          <w:szCs w:val="20"/>
        </w:rPr>
        <w:t xml:space="preserve">Una de las ventajas fundamentales del modelo PaaS es que Azure SQL Managed Instance gestiona automáticamente todos los backups sin intervención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Tipo de Backup</w:t>
            </w:r>
          </w:p>
        </w:tc>
        <w:tc>
          <w:tcPr>
            <w:tcW w:type="dxa" w:w="2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Frecuencia</w:t>
            </w:r>
          </w:p>
        </w:tc>
        <w:tc>
          <w:tcPr>
            <w:tcW w:type="dxa" w:w="24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Retención Configurable</w:t>
            </w:r>
          </w:p>
        </w:tc>
        <w:tc>
          <w:tcPr>
            <w:tcW w:type="dxa" w:w="23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Almacenamiento</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Full Backup</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vez por semana</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 a 35 días</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RA-GRS (geo-redundante)</w:t>
            </w:r>
          </w:p>
        </w:tc>
      </w:tr>
      <w:tr>
        <w:trPr>
          <w:tblHeader w:val="false"/>
        </w:trPr>
        <w:tc>
          <w:tcPr>
            <w:tcW w:type="dxa" w:w="2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Diferencial</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Cada 12 horas</w:t>
            </w:r>
          </w:p>
        </w:tc>
        <w:tc>
          <w:tcPr>
            <w:tcW w:type="dxa" w:w="2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 a 35 días</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RA-GRS</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Log Backup (WAL)</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Cada 5 a 10 minutos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 a 35 días</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RA-GRS</w:t>
            </w:r>
          </w:p>
        </w:tc>
      </w:tr>
      <w:tr>
        <w:trPr>
          <w:tblHeader w:val="false"/>
        </w:trPr>
        <w:tc>
          <w:tcPr>
            <w:tcW w:type="dxa" w:w="2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Point-in-Time Restore</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 cualquier segundo</w:t>
            </w:r>
          </w:p>
        </w:tc>
        <w:tc>
          <w:tcPr>
            <w:tcW w:type="dxa" w:w="2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Dentro del período</w:t>
            </w:r>
          </w:p>
        </w:tc>
        <w:tc>
          <w:tcPr>
            <w:tcW w:type="dxa" w:w="2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Incluido en el servicio</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Retención Larga (LTR)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Mensual / Anual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Hasta 10 años</w:t>
            </w:r>
          </w:p>
        </w:tc>
        <w:tc>
          <w:tcPr>
            <w:tcW w:type="dxa" w:w="2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Backup LTR – costo por GB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7C1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Cero esfuerzo operativo para backups SQL</w:t>
            </w:r>
          </w:p>
        </w:tc>
      </w:tr>
      <w:tr>
        <w:tc>
          <w:tcPr>
            <w:tcW w:type="dxa" w:w="9360"/>
            <w:tcBorders>
              <w:top w:val="none" w:color="FFFFFF" w:sz="0"/>
              <w:left w:val="none" w:color="FFFFFF" w:sz="0"/>
              <w:bottom w:val="none" w:color="FFFFFF" w:sz="0"/>
              <w:right w:val="none" w:color="FFFFFF" w:sz="0"/>
            </w:tcBorders>
            <w:shd w:fill="D9EBF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Con Azure SQL Managed Instance, los backups son 100% automáticos. No se requiere SQL Agent, ni scripts de backup, ni monitoreo manual. La restauración point-in-time permite recuperar la base de datos a cualquier segundo dentro del período de retención.</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10.2 Respaldo de la VM de Aplicación (Azure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Elemento</w:t>
            </w:r>
          </w:p>
        </w:tc>
        <w:tc>
          <w:tcPr>
            <w:tcW w:type="dxa" w:w="3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Configuración</w:t>
            </w:r>
          </w:p>
        </w:tc>
        <w:tc>
          <w:tcPr>
            <w:tcW w:type="dxa" w:w="27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Retención</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VM Completa (OS+App)</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Backup – snapshot diario</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30 días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Disco de Aplicación</w:t>
            </w:r>
          </w:p>
        </w:tc>
        <w:tc>
          <w:tcPr>
            <w:tcW w:type="dxa" w:w="3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Backup incremental diario</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90 días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Retención Mensual</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1er domingo de cada mes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 meses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Retención Anual</w:t>
            </w:r>
          </w:p>
        </w:tc>
        <w:tc>
          <w:tcPr>
            <w:tcW w:type="dxa" w:w="3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1er día del año</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 años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Archivos/Carpetas</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MARS Agent – backup 2x/día</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año</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10.3 Recuperación ante Desastres – Auto-Failover Group (SQL MI)</w:t>
      </w:r>
    </w:p>
    <w:p>
      <w:pPr>
        <w:pStyle w:val="ListParagraph"/>
        <w:numPr>
          <w:ilvl w:val="0"/>
          <w:numId w:val="2"/>
        </w:numPr>
        <w:spacing w:after="60" w:before="40"/>
      </w:pPr>
      <w:r>
        <w:rPr>
          <w:rFonts w:ascii="Arial" w:cs="Arial" w:eastAsia="Arial" w:hAnsi="Arial"/>
          <w:color w:val="595959"/>
          <w:sz w:val="20"/>
          <w:szCs w:val="20"/>
        </w:rPr>
        <w:t xml:space="preserve">SQL MI Primary: Región South Central US (o Mexico Central).</w:t>
      </w:r>
    </w:p>
    <w:p>
      <w:pPr>
        <w:pStyle w:val="ListParagraph"/>
        <w:numPr>
          <w:ilvl w:val="0"/>
          <w:numId w:val="2"/>
        </w:numPr>
        <w:spacing w:after="60" w:before="40"/>
      </w:pPr>
      <w:r>
        <w:rPr>
          <w:rFonts w:ascii="Arial" w:cs="Arial" w:eastAsia="Arial" w:hAnsi="Arial"/>
          <w:color w:val="595959"/>
          <w:sz w:val="20"/>
          <w:szCs w:val="20"/>
        </w:rPr>
        <w:t xml:space="preserve">SQL MI Secondary: Región East US 2 – réplica síncrona continua.</w:t>
      </w:r>
    </w:p>
    <w:p>
      <w:pPr>
        <w:pStyle w:val="ListParagraph"/>
        <w:numPr>
          <w:ilvl w:val="0"/>
          <w:numId w:val="2"/>
        </w:numPr>
        <w:spacing w:after="60" w:before="40"/>
      </w:pPr>
      <w:r>
        <w:rPr>
          <w:rFonts w:ascii="Arial" w:cs="Arial" w:eastAsia="Arial" w:hAnsi="Arial"/>
          <w:color w:val="595959"/>
          <w:sz w:val="20"/>
          <w:szCs w:val="20"/>
        </w:rPr>
        <w:t xml:space="preserve">RPO &lt; 5 segundos | RTO &lt; 30 segundos – failover automático sin intervención humana.</w:t>
      </w:r>
    </w:p>
    <w:p>
      <w:pPr>
        <w:pStyle w:val="ListParagraph"/>
        <w:numPr>
          <w:ilvl w:val="0"/>
          <w:numId w:val="2"/>
        </w:numPr>
        <w:spacing w:after="60" w:before="40"/>
      </w:pPr>
      <w:r>
        <w:rPr>
          <w:rFonts w:ascii="Arial" w:cs="Arial" w:eastAsia="Arial" w:hAnsi="Arial"/>
          <w:color w:val="595959"/>
          <w:sz w:val="20"/>
          <w:szCs w:val="20"/>
        </w:rPr>
        <w:t xml:space="preserve">La instancia secundaria puede utilizarse como réplica de solo lectura para reportes y BI.</w:t>
      </w:r>
    </w:p>
    <w:p>
      <w:pPr>
        <w:pStyle w:val="ListParagraph"/>
        <w:numPr>
          <w:ilvl w:val="0"/>
          <w:numId w:val="2"/>
        </w:numPr>
        <w:spacing w:after="60" w:before="40"/>
      </w:pPr>
      <w:r>
        <w:rPr>
          <w:rFonts w:ascii="Arial" w:cs="Arial" w:eastAsia="Arial" w:hAnsi="Arial"/>
          <w:color w:val="595959"/>
          <w:sz w:val="20"/>
          <w:szCs w:val="20"/>
        </w:rPr>
        <w:t xml:space="preserve">VM de aplicación protegida por Azure Site Recovery (ASR) para failover regional.</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11. Encriptación en Reposo y en Tránsito</w:t>
      </w:r>
    </w:p>
    <w:p>
      <w:pPr>
        <w:pStyle w:val="Heading2"/>
        <w:spacing w:after="120" w:before="260"/>
      </w:pPr>
      <w:r>
        <w:rPr>
          <w:rFonts w:ascii="Arial" w:cs="Arial" w:eastAsia="Arial" w:hAnsi="Arial"/>
          <w:b/>
          <w:bCs/>
          <w:color w:val="005A9E"/>
          <w:sz w:val="28"/>
          <w:szCs w:val="28"/>
        </w:rPr>
        <w:t xml:space="preserve">11.1 Encriptación en Reposo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Servicio / Componente</w:t>
            </w:r>
          </w:p>
        </w:tc>
        <w:tc>
          <w:tcPr>
            <w:tcW w:type="dxa" w:w="36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Mecanismo</w:t>
            </w:r>
          </w:p>
        </w:tc>
        <w:tc>
          <w:tcPr>
            <w:tcW w:type="dxa" w:w="29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Habilitación</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 Bases de Datos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TDE (Transparent Data Encryption) AES-256</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Automático al crear SQL MI</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 Backups</w:t>
            </w:r>
          </w:p>
        </w:tc>
        <w:tc>
          <w:tcPr>
            <w:tcW w:type="dxa" w:w="3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Encriptados con la misma clave TDE</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Automático</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VM OS &amp; Data Disks</w:t>
            </w:r>
          </w:p>
        </w:tc>
        <w:tc>
          <w:tcPr>
            <w:tcW w:type="dxa" w:w="3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Disk Encryption (ADE) – BitLocker</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Configuración del proyecto</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Blob Storage</w:t>
            </w:r>
          </w:p>
        </w:tc>
        <w:tc>
          <w:tcPr>
            <w:tcW w:type="dxa" w:w="3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SSE (Storage Service Encryption) AES-256</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Automático por defecto</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Backup Vault</w:t>
            </w:r>
          </w:p>
        </w:tc>
        <w:tc>
          <w:tcPr>
            <w:tcW w:type="dxa" w:w="3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AES-256 con clave gestionada por Azure</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Automático</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Key Vault</w:t>
            </w:r>
          </w:p>
        </w:tc>
        <w:tc>
          <w:tcPr>
            <w:tcW w:type="dxa" w:w="3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HSM – FIPS 140-2 Level 2</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Servicio dedicado</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Claves TDE Gestionadas Cliente</w:t>
            </w:r>
          </w:p>
        </w:tc>
        <w:tc>
          <w:tcPr>
            <w:tcW w:type="dxa" w:w="3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CMK en Azure Key Vault (opcional avanzado)</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Configuración opcional</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11.2 Encriptación en Tránsito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Conexión</w:t>
            </w:r>
          </w:p>
        </w:tc>
        <w:tc>
          <w:tcPr>
            <w:tcW w:type="dxa" w:w="34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Protocolo</w:t>
            </w:r>
          </w:p>
        </w:tc>
        <w:tc>
          <w:tcPr>
            <w:tcW w:type="dxa" w:w="31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Forzado</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 S2S (Oficina → Azure)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IPSec/IKEv2 AES-256-GCM</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Sí – por diseño de VPN</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 P2S (Remoto → Azure)</w:t>
            </w:r>
          </w:p>
        </w:tc>
        <w:tc>
          <w:tcPr>
            <w:tcW w:type="dxa" w:w="3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TLS 1.2+ / OpenVPN</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Sí – por diseño de VPN</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App (VM) → SQL MI</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TLS 1.2 obligatorio</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Sí – forzado en SQL MI</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 → Aplicación (HTTPS)</w:t>
            </w:r>
          </w:p>
        </w:tc>
        <w:tc>
          <w:tcPr>
            <w:tcW w:type="dxa" w:w="3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TLS 1.2+ con certificado</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Recomendado (config. app)</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Bastion (Admin)</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HTTPS/TLS 1.2 puerto 443</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Sí – por diseño de Bastion</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 Backup Storage</w:t>
            </w:r>
          </w:p>
        </w:tc>
        <w:tc>
          <w:tcPr>
            <w:tcW w:type="dxa" w:w="34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TLS 1.2 interno Azure backbone</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Sí – transparente</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Inter-servicios Azure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backbone encriptado</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Sí – automático</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11.3 Azure Key Vault – Gestión Centralizada de Secretos</w:t>
      </w:r>
    </w:p>
    <w:p>
      <w:pPr>
        <w:pStyle w:val="ListParagraph"/>
        <w:numPr>
          <w:ilvl w:val="0"/>
          <w:numId w:val="2"/>
        </w:numPr>
        <w:spacing w:after="60" w:before="40"/>
      </w:pPr>
      <w:r>
        <w:rPr>
          <w:rFonts w:ascii="Arial" w:cs="Arial" w:eastAsia="Arial" w:hAnsi="Arial"/>
          <w:color w:val="595959"/>
          <w:sz w:val="20"/>
          <w:szCs w:val="20"/>
        </w:rPr>
        <w:t xml:space="preserve">Almacenamiento de cadenas de conexión, contraseñas y certificados (sin hardcoding en la app).</w:t>
      </w:r>
    </w:p>
    <w:p>
      <w:pPr>
        <w:pStyle w:val="ListParagraph"/>
        <w:numPr>
          <w:ilvl w:val="0"/>
          <w:numId w:val="2"/>
        </w:numPr>
        <w:spacing w:after="60" w:before="40"/>
      </w:pPr>
      <w:r>
        <w:rPr>
          <w:rFonts w:ascii="Arial" w:cs="Arial" w:eastAsia="Arial" w:hAnsi="Arial"/>
          <w:color w:val="595959"/>
          <w:sz w:val="20"/>
          <w:szCs w:val="20"/>
        </w:rPr>
        <w:t xml:space="preserve">Rotación automática de secretos según políticas configurables.</w:t>
      </w:r>
    </w:p>
    <w:p>
      <w:pPr>
        <w:pStyle w:val="ListParagraph"/>
        <w:numPr>
          <w:ilvl w:val="0"/>
          <w:numId w:val="2"/>
        </w:numPr>
        <w:spacing w:after="60" w:before="40"/>
      </w:pPr>
      <w:r>
        <w:rPr>
          <w:rFonts w:ascii="Arial" w:cs="Arial" w:eastAsia="Arial" w:hAnsi="Arial"/>
          <w:color w:val="595959"/>
          <w:sz w:val="20"/>
          <w:szCs w:val="20"/>
        </w:rPr>
        <w:t xml:space="preserve">Integración con SQL MI para gestión de claves TDE (Customer Managed Keys – CMK).</w:t>
      </w:r>
    </w:p>
    <w:p>
      <w:pPr>
        <w:pStyle w:val="ListParagraph"/>
        <w:numPr>
          <w:ilvl w:val="0"/>
          <w:numId w:val="2"/>
        </w:numPr>
        <w:spacing w:after="60" w:before="40"/>
      </w:pPr>
      <w:r>
        <w:rPr>
          <w:rFonts w:ascii="Arial" w:cs="Arial" w:eastAsia="Arial" w:hAnsi="Arial"/>
          <w:color w:val="595959"/>
          <w:sz w:val="20"/>
          <w:szCs w:val="20"/>
        </w:rPr>
        <w:t xml:space="preserve">Acceso controlado mediante Azure RBAC y políticas de acceso granulares.</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12. Monitoreo Básico</w:t>
      </w:r>
    </w:p>
    <w:p>
      <w:pPr>
        <w:pStyle w:val="Heading2"/>
        <w:spacing w:after="120" w:before="260"/>
      </w:pPr>
      <w:r>
        <w:rPr>
          <w:rFonts w:ascii="Arial" w:cs="Arial" w:eastAsia="Arial" w:hAnsi="Arial"/>
          <w:b/>
          <w:bCs/>
          <w:color w:val="005A9E"/>
          <w:sz w:val="28"/>
          <w:szCs w:val="28"/>
        </w:rPr>
        <w:t xml:space="preserve">12.1 Stack de Monitoreo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Herramienta</w:t>
            </w:r>
          </w:p>
        </w:tc>
        <w:tc>
          <w:tcPr>
            <w:tcW w:type="dxa" w:w="3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Función</w:t>
            </w:r>
          </w:p>
        </w:tc>
        <w:tc>
          <w:tcPr>
            <w:tcW w:type="dxa" w:w="29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Cubre</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Monitor</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Métricas de CPU, RAM, disco, red de la VM</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VM App</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Insights</w:t>
            </w:r>
          </w:p>
        </w:tc>
        <w:tc>
          <w:tcPr>
            <w:tcW w:type="dxa" w:w="3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Métricas de DTU, conexiones, espera y queries</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PaaS</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Log Analytics Workspace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Centralización de logs VM + SQL + VPN + Backup</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Todo el entorno</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Query Performance Insight</w:t>
            </w:r>
          </w:p>
        </w:tc>
        <w:tc>
          <w:tcPr>
            <w:tcW w:type="dxa" w:w="3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Top queries lentas y consumo de recursos SQL</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Advisor</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Recomendaciones proactivas de costo y seguridad</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Todo el entorno</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Microsoft Defender for SQL</w:t>
            </w:r>
          </w:p>
        </w:tc>
        <w:tc>
          <w:tcPr>
            <w:tcW w:type="dxa" w:w="3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Detección de amenazas SQL, inyección, accesos anómalos</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Backup Reports</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Estado de respaldos y tendencias</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VM Backup</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Security Center</w:t>
            </w:r>
          </w:p>
        </w:tc>
        <w:tc>
          <w:tcPr>
            <w:tcW w:type="dxa" w:w="3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Puntuación de seguridad y vulnerabilidades</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Todo el entorno</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12.2 Alertas Configuradas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Alerta</w:t>
            </w:r>
          </w:p>
        </w:tc>
        <w:tc>
          <w:tcPr>
            <w:tcW w:type="dxa" w:w="3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Umbral</w:t>
            </w:r>
          </w:p>
        </w:tc>
        <w:tc>
          <w:tcPr>
            <w:tcW w:type="dxa" w:w="29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Severidad</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CPU de VM &gt; 80%</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Sostenido &gt; 10 min</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Media</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Memoria disponible VM &lt; 10%</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En cualquier momento</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Alta</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Disco libre VM &lt; 15%</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En cualquier momento</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Media</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 DTU utilización &gt; 85%</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Sostenido &gt; 15 min</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Alta → revisar vCores</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 Espacio libre &lt; 20%</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En cualquier momento</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Alta</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Fallo de backup VM</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Cualquier backup fallido</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Crítica</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 Gateway desconectado</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Pérdida de conectividad S2S</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Crítica</w:t>
            </w:r>
          </w:p>
        </w:tc>
      </w:tr>
      <w:tr>
        <w:trPr>
          <w:tblHeader w:val="false"/>
        </w:trPr>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Inicio de sesión sospechoso (AAD)</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Detección automática de AAD</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Alta</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Microsoft Defender – Amenaza SQL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Detección automática</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Crítica</w:t>
            </w:r>
          </w:p>
        </w:tc>
      </w:tr>
    </w:tbl>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13. Calculadora de Costos Azure – Estimación Mensual</w:t>
      </w:r>
    </w:p>
    <w:p>
      <w:pPr>
        <w:spacing w:after="100" w:before="60"/>
        <w:jc w:val="both"/>
      </w:pPr>
      <w:r>
        <w:rPr>
          <w:rFonts w:ascii="Arial" w:cs="Arial" w:eastAsia="Arial" w:hAnsi="Arial"/>
          <w:b w:val="false"/>
          <w:bCs w:val="false"/>
          <w:i w:val="false"/>
          <w:iCs w:val="false"/>
          <w:color w:val="595959"/>
          <w:sz w:val="20"/>
          <w:szCs w:val="20"/>
        </w:rPr>
        <w:t xml:space="preserve">Estimaciones en USD basadas en precios publicados de Microsoft Azure para South Central US. Aplica Azure Hybrid Benefit (AHB) donde el cliente tenga licencias con Software Assurance. Precios sujetos a cambio – validar en azure.microsoft.com/pricing/calculator.</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13.1 Desglose de Costos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780"/>
        <w:gridCol w:w="1780"/>
      </w:tblGrid>
      <w:tr>
        <w:trPr>
          <w:tblHeader/>
        </w:trPr>
        <w:tc>
          <w:tcPr>
            <w:tcW w:type="dxa" w:w="26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Servicio</w:t>
            </w:r>
          </w:p>
        </w:tc>
        <w:tc>
          <w:tcPr>
            <w:tcW w:type="dxa" w:w="3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Configuración</w:t>
            </w:r>
          </w:p>
        </w:tc>
        <w:tc>
          <w:tcPr>
            <w:tcW w:type="dxa" w:w="178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Pay-as-you-go/mes</w:t>
            </w:r>
          </w:p>
        </w:tc>
        <w:tc>
          <w:tcPr>
            <w:tcW w:type="dxa" w:w="178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1 Año Reservado/mes</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VM (App)</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Standard_D16ds_v5, Windows Server 2022, AHB</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~$780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~$490 USD</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VM OS Disk</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Premium SSD P30 – 1 TB</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~$135 USD</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~$135 USD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VM App Disk</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Premium SSD P20 – 512 GB</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~$70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~$70 USD</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SQL MI – Cómputo</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General Purpose, Gen5, 8 vCores, AHB</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~$730 USD</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~$460 USD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SQL MI – Storage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512 GB (escala hasta 16 TB sin costo extra en GP)</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~$115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~$115 USD</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 LTR Backup</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Retención larga &gt; 35 días (por GB)</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~$30 USD</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~$30 USD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VPN Gateway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VpnGw2 – S2S + P2S activo-activo</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~$280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~$280 USD</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Bastion</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Standard Tier</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~$140 USD</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~$140 USD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Backup (VM)</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TB protegido, GRS</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 USD</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Site Recovery (VM)</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Replicación VM a región secundaria</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~$50 USD</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~$50 USD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SQL MI Failover Group</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Instancia secundaria GP 8 vCores (DR)</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~$460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~$295 USD</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Blob Storage</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Incremental desde 1 GB (Hot LRS)</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 $100 USD</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 $100 USD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Key Vault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Standard – secretos, claves y certs</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 USD</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Log Analytics</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 GB/día ingestión de logs</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~$75 USD</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~$75 USD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Microsoft Defender for SQL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Por instancia SQL MI</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~$15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~$15 USD</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Monitor / Alertas</w:t>
            </w:r>
          </w:p>
        </w:tc>
        <w:tc>
          <w:tcPr>
            <w:tcW w:type="dxa" w:w="3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Alertas básicas y métricas</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~$15 USD</w:t>
            </w:r>
          </w:p>
        </w:tc>
        <w:tc>
          <w:tcPr>
            <w:tcW w:type="dxa" w:w="17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~$15 USD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Egress / Banda saliente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Estimado 500 GB/mes</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~$40 USD</w:t>
            </w:r>
          </w:p>
        </w:tc>
        <w:tc>
          <w:tcPr>
            <w:tcW w:type="dxa" w:w="17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~$40 USD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TOTAL MENSUAL ESTIMADO (SIN FAILOVER GROUP)</w:t>
            </w:r>
          </w:p>
        </w:tc>
        <w:tc>
          <w:tcPr>
            <w:tcW w:type="dxa" w:w="3760"/>
            <w:tcBorders>
              <w:top w:val="none" w:color="FFFFFF" w:sz="0"/>
              <w:left w:val="none" w:color="FFFFFF" w:sz="0"/>
              <w:bottom w:val="none" w:color="FFFFFF" w:sz="0"/>
              <w:right w:val="none" w:color="FFFFFF" w:sz="0"/>
            </w:tcBorders>
            <w:shd w:fill="D83B01"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~$2,566 – $2,665 USD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TOTAL MENSUAL ESTIMADO (CON FAILOVER GROUP – DR)</w:t>
            </w:r>
          </w:p>
        </w:tc>
        <w:tc>
          <w:tcPr>
            <w:tcW w:type="dxa" w:w="3760"/>
            <w:tcBorders>
              <w:top w:val="none" w:color="FFFFFF" w:sz="0"/>
              <w:left w:val="none" w:color="FFFFFF" w:sz="0"/>
              <w:bottom w:val="none" w:color="FFFFFF" w:sz="0"/>
              <w:right w:val="none" w:color="FFFFFF" w:sz="0"/>
            </w:tcBorders>
            <w:shd w:fill="005A9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~$3,026 – $3,125 USD</w:t>
            </w:r>
          </w:p>
        </w:tc>
      </w:tr>
    </w:tbl>
    <w:p>
      <w:pPr>
        <w:spacing w:after="60" w:before="60"/>
      </w:pPr>
      <w:r>
        <w:t xml:space="preserve"/>
      </w:r>
    </w:p>
    <w:p>
      <w:pPr>
        <w:spacing w:after="100" w:before="60"/>
        <w:jc w:val="both"/>
      </w:pPr>
      <w:r>
        <w:rPr>
          <w:rFonts w:ascii="Arial" w:cs="Arial" w:eastAsia="Arial" w:hAnsi="Arial"/>
          <w:b w:val="false"/>
          <w:bCs w:val="false"/>
          <w:i w:val="false"/>
          <w:iCs w:val="false"/>
          <w:color w:val="595959"/>
          <w:sz w:val="20"/>
          <w:szCs w:val="20"/>
        </w:rPr>
        <w:t xml:space="preserve">* El Failover Group (SQL MI secundario) es opcional. Si el cliente no requiere DR automático para SQL, puede omitirse y usar solo los backups automáticos (RPO &lt; 10 min).</w:t>
      </w:r>
    </w:p>
    <w:p>
      <w:pPr>
        <w:spacing w:after="100" w:before="60"/>
        <w:jc w:val="both"/>
      </w:pPr>
      <w:r>
        <w:rPr>
          <w:rFonts w:ascii="Arial" w:cs="Arial" w:eastAsia="Arial" w:hAnsi="Arial"/>
          <w:b w:val="false"/>
          <w:bCs w:val="false"/>
          <w:i w:val="false"/>
          <w:iCs w:val="false"/>
          <w:color w:val="595959"/>
          <w:sz w:val="20"/>
          <w:szCs w:val="20"/>
        </w:rPr>
        <w:t xml:space="preserve">* Azure Hybrid Benefit para Windows Server y SQL Server puede reducir los costos de VM y SQL MI entre 35-55% adicional si el cliente tiene licencias con SA activo.</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13.2 Comparativa de Costos: IaaS (Propuesta v1.0) vs PaaS (Propuesta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rPr>
          <w:tblHeader/>
        </w:trPr>
        <w:tc>
          <w:tcPr>
            <w:tcW w:type="dxa" w:w="2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Concepto</w:t>
            </w:r>
          </w:p>
        </w:tc>
        <w:tc>
          <w:tcPr>
            <w:tcW w:type="dxa" w:w="218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IaaS – SQL en VM</w:t>
            </w:r>
          </w:p>
        </w:tc>
        <w:tc>
          <w:tcPr>
            <w:tcW w:type="dxa" w:w="218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PaaS – SQL MI</w:t>
            </w:r>
          </w:p>
        </w:tc>
        <w:tc>
          <w:tcPr>
            <w:tcW w:type="dxa" w:w="2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Diferencia</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Costo mensual estimado</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~$2,988 – $3,975</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~$2,566 – $3,125</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Ahorro ~10-20%</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Admin. motor SQL</w:t>
            </w:r>
          </w:p>
        </w:tc>
        <w:tc>
          <w:tcPr>
            <w:tcW w:type="dxa" w:w="21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Responsabilidad cliente</w:t>
            </w:r>
          </w:p>
        </w:tc>
        <w:tc>
          <w:tcPr>
            <w:tcW w:type="dxa" w:w="21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Microsoft gestiona</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PaaS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HA y Failover automático</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Configuración manual</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Nativa 99.99% SLA</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PaaS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Backups automáticos SQL</w:t>
            </w:r>
          </w:p>
        </w:tc>
        <w:tc>
          <w:tcPr>
            <w:tcW w:type="dxa" w:w="21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Configurar manualmente</w:t>
            </w:r>
          </w:p>
        </w:tc>
        <w:tc>
          <w:tcPr>
            <w:tcW w:type="dxa" w:w="21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Incluidos nativos</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PaaS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Parches SQL + SO</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Manual cliente</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Automáticos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PaaS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Escalabilidad SQL</w:t>
            </w:r>
          </w:p>
        </w:tc>
        <w:tc>
          <w:tcPr>
            <w:tcW w:type="dxa" w:w="21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Downtime requerido</w:t>
            </w:r>
          </w:p>
        </w:tc>
        <w:tc>
          <w:tcPr>
            <w:tcW w:type="dxa" w:w="21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Online sin downtime</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PaaS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Encriptación SQL (TDE)</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Configuración manual</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Automática al crear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PaaS</w:t>
            </w:r>
          </w:p>
        </w:tc>
      </w:tr>
      <w:tr>
        <w:trPr>
          <w:tblHeader w:val="false"/>
        </w:trPr>
        <w:tc>
          <w:tcPr>
            <w:tcW w:type="dxa" w:w="2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Compatibilidad SQL 2019</w:t>
            </w:r>
          </w:p>
        </w:tc>
        <w:tc>
          <w:tcPr>
            <w:tcW w:type="dxa" w:w="21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w:t>
            </w:r>
          </w:p>
        </w:tc>
        <w:tc>
          <w:tcPr>
            <w:tcW w:type="dxa" w:w="218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~100% (nivel 150)</w:t>
            </w:r>
          </w:p>
        </w:tc>
        <w:tc>
          <w:tcPr>
            <w:tcW w:type="dxa" w:w="2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Equivalente</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Tamaño VM requerida</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E32ds_v5 (32 vCPU)</w:t>
            </w:r>
          </w:p>
        </w:tc>
        <w:tc>
          <w:tcPr>
            <w:tcW w:type="dxa" w:w="21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D16ds_v5 (16 vCPU)</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VM más pequeña</w:t>
            </w:r>
          </w:p>
        </w:tc>
      </w:tr>
    </w:tbl>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14. Requerimientos Técnicos y Humanos</w:t>
      </w:r>
    </w:p>
    <w:p>
      <w:pPr>
        <w:pStyle w:val="Heading2"/>
        <w:spacing w:after="120" w:before="260"/>
      </w:pPr>
      <w:r>
        <w:rPr>
          <w:rFonts w:ascii="Arial" w:cs="Arial" w:eastAsia="Arial" w:hAnsi="Arial"/>
          <w:b/>
          <w:bCs/>
          <w:color w:val="005A9E"/>
          <w:sz w:val="28"/>
          <w:szCs w:val="28"/>
        </w:rPr>
        <w:t xml:space="preserve">14.1 Requerimientos Técnicos del Cliente</w:t>
      </w:r>
    </w:p>
    <w:p>
      <w:pPr>
        <w:pStyle w:val="ListParagraph"/>
        <w:numPr>
          <w:ilvl w:val="0"/>
          <w:numId w:val="2"/>
        </w:numPr>
        <w:spacing w:after="60" w:before="40"/>
      </w:pPr>
      <w:r>
        <w:rPr>
          <w:rFonts w:ascii="Arial" w:cs="Arial" w:eastAsia="Arial" w:hAnsi="Arial"/>
          <w:color w:val="595959"/>
          <w:sz w:val="20"/>
          <w:szCs w:val="20"/>
        </w:rPr>
        <w:t xml:space="preserve">Suscripción activa de Microsoft Azure (EA, CSP o Pay-as-you-go).</w:t>
      </w:r>
    </w:p>
    <w:p>
      <w:pPr>
        <w:pStyle w:val="ListParagraph"/>
        <w:numPr>
          <w:ilvl w:val="0"/>
          <w:numId w:val="2"/>
        </w:numPr>
        <w:spacing w:after="60" w:before="40"/>
      </w:pPr>
      <w:r>
        <w:rPr>
          <w:rFonts w:ascii="Arial" w:cs="Arial" w:eastAsia="Arial" w:hAnsi="Arial"/>
          <w:color w:val="595959"/>
          <w:sz w:val="20"/>
          <w:szCs w:val="20"/>
        </w:rPr>
        <w:t xml:space="preserve">Licencias de SQL Server 2019 Standard con Software Assurance (para AHB – ahorro hasta 35%).</w:t>
      </w:r>
    </w:p>
    <w:p>
      <w:pPr>
        <w:pStyle w:val="ListParagraph"/>
        <w:numPr>
          <w:ilvl w:val="0"/>
          <w:numId w:val="2"/>
        </w:numPr>
        <w:spacing w:after="60" w:before="40"/>
      </w:pPr>
      <w:r>
        <w:rPr>
          <w:rFonts w:ascii="Arial" w:cs="Arial" w:eastAsia="Arial" w:hAnsi="Arial"/>
          <w:color w:val="595959"/>
          <w:sz w:val="20"/>
          <w:szCs w:val="20"/>
        </w:rPr>
        <w:t xml:space="preserve">Licencias de Windows Server con SA (para AHB en la VM de aplicación).</w:t>
      </w:r>
    </w:p>
    <w:p>
      <w:pPr>
        <w:pStyle w:val="ListParagraph"/>
        <w:numPr>
          <w:ilvl w:val="0"/>
          <w:numId w:val="2"/>
        </w:numPr>
        <w:spacing w:after="60" w:before="40"/>
      </w:pPr>
      <w:r>
        <w:rPr>
          <w:rFonts w:ascii="Arial" w:cs="Arial" w:eastAsia="Arial" w:hAnsi="Arial"/>
          <w:color w:val="595959"/>
          <w:sz w:val="20"/>
          <w:szCs w:val="20"/>
        </w:rPr>
        <w:t xml:space="preserve">Router/firewall en oficina compatible con IKEv2/IPSec para VPN S2S.</w:t>
      </w:r>
    </w:p>
    <w:p>
      <w:pPr>
        <w:pStyle w:val="ListParagraph"/>
        <w:numPr>
          <w:ilvl w:val="0"/>
          <w:numId w:val="2"/>
        </w:numPr>
        <w:spacing w:after="60" w:before="40"/>
      </w:pPr>
      <w:r>
        <w:rPr>
          <w:rFonts w:ascii="Arial" w:cs="Arial" w:eastAsia="Arial" w:hAnsi="Arial"/>
          <w:color w:val="595959"/>
          <w:sz w:val="20"/>
          <w:szCs w:val="20"/>
        </w:rPr>
        <w:t xml:space="preserve">Conexión a Internet en oficina de mínimo 100 Mbps simétricos para 65 usuarios locales.</w:t>
      </w:r>
    </w:p>
    <w:p>
      <w:pPr>
        <w:pStyle w:val="ListParagraph"/>
        <w:numPr>
          <w:ilvl w:val="0"/>
          <w:numId w:val="2"/>
        </w:numPr>
        <w:spacing w:after="60" w:before="40"/>
      </w:pPr>
      <w:r>
        <w:rPr>
          <w:rFonts w:ascii="Arial" w:cs="Arial" w:eastAsia="Arial" w:hAnsi="Arial"/>
          <w:color w:val="595959"/>
          <w:sz w:val="20"/>
          <w:szCs w:val="20"/>
        </w:rPr>
        <w:t xml:space="preserve">Azure Active Directory (tenant de Azure AD) para gestión de identidades y autenticación P2S.</w:t>
      </w:r>
    </w:p>
    <w:p>
      <w:pPr>
        <w:pStyle w:val="ListParagraph"/>
        <w:numPr>
          <w:ilvl w:val="0"/>
          <w:numId w:val="2"/>
        </w:numPr>
        <w:spacing w:after="60" w:before="40"/>
      </w:pPr>
      <w:r>
        <w:rPr>
          <w:rFonts w:ascii="Arial" w:cs="Arial" w:eastAsia="Arial" w:hAnsi="Arial"/>
          <w:color w:val="595959"/>
          <w:sz w:val="20"/>
          <w:szCs w:val="20"/>
        </w:rPr>
        <w:t xml:space="preserve">Acceso al instalador de la aplicación para que el equipo del cliente realice la migración de la app.</w:t>
      </w:r>
    </w:p>
    <w:p>
      <w:pPr>
        <w:pStyle w:val="ListParagraph"/>
        <w:numPr>
          <w:ilvl w:val="0"/>
          <w:numId w:val="2"/>
        </w:numPr>
        <w:spacing w:after="60" w:before="40"/>
      </w:pPr>
      <w:r>
        <w:rPr>
          <w:rFonts w:ascii="Arial" w:cs="Arial" w:eastAsia="Arial" w:hAnsi="Arial"/>
          <w:color w:val="595959"/>
          <w:sz w:val="20"/>
          <w:szCs w:val="20"/>
        </w:rPr>
        <w:t xml:space="preserve">Script de migración de base de datos (BACPAC, bak o DMS) – el cliente o DBA lo ejecuta.</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14.2 Requerimientos del Equipo Humano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Rol</w:t>
            </w:r>
          </w:p>
        </w:tc>
        <w:tc>
          <w:tcPr>
            <w:tcW w:type="dxa" w:w="40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Responsabilidad Principal</w:t>
            </w:r>
          </w:p>
        </w:tc>
        <w:tc>
          <w:tcPr>
            <w:tcW w:type="dxa" w:w="27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Origen</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Arquitecto de Soluciones Azure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Diseño, validación y supervisión de la arquitectura</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Ingeniero Cloud Senior</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Despliegue de VM, VNet, SQL MI, VPN, Blob Storage</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Especialista en Seguridad</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ADE, Key Vault, NSG, AAD, MFA, Defender for SQL</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Ingeniero de Backup/DR</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Backup, ASR, Failover Group SQL MI</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Líder de Proyecto</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Coordinación, seguimiento, comunicación, riesgos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DBA / Admin SQL del cliente</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Migración de bases de datos (BACPAC/DMS/backup)</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Admin de Red del cliente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Configuración VPN S2S en router/firewall local</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Responsable de la Aplicación</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Migración e instalación de la app en la nueva VM</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Líder Técnico del Cliente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Aprobaciones, accesos a Azure y validaciones UAT</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w:t>
            </w:r>
          </w:p>
        </w:tc>
      </w:tr>
    </w:tbl>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15. Alcances y Fuera de Alcance</w:t>
      </w:r>
    </w:p>
    <w:p>
      <w:pPr>
        <w:pStyle w:val="Heading2"/>
        <w:spacing w:after="120" w:before="260"/>
      </w:pPr>
      <w:r>
        <w:rPr>
          <w:rFonts w:ascii="Arial" w:cs="Arial" w:eastAsia="Arial" w:hAnsi="Arial"/>
          <w:b/>
          <w:bCs/>
          <w:color w:val="005A9E"/>
          <w:sz w:val="28"/>
          <w:szCs w:val="28"/>
        </w:rPr>
        <w:t xml:space="preserve">15.1 Dentro del Alcance</w:t>
      </w:r>
    </w:p>
    <w:p>
      <w:pPr>
        <w:pStyle w:val="ListParagraph"/>
        <w:numPr>
          <w:ilvl w:val="0"/>
          <w:numId w:val="2"/>
        </w:numPr>
        <w:spacing w:after="60" w:before="40"/>
      </w:pPr>
      <w:r>
        <w:rPr>
          <w:rFonts w:ascii="Arial" w:cs="Arial" w:eastAsia="Arial" w:hAnsi="Arial"/>
          <w:color w:val="595959"/>
          <w:sz w:val="20"/>
          <w:szCs w:val="20"/>
        </w:rPr>
        <w:t xml:space="preserve">Diseño y aprovisionamiento de Azure Virtual Network (VNet, subredes, NSG, Route Tables).</w:t>
      </w:r>
    </w:p>
    <w:p>
      <w:pPr>
        <w:pStyle w:val="ListParagraph"/>
        <w:numPr>
          <w:ilvl w:val="0"/>
          <w:numId w:val="2"/>
        </w:numPr>
        <w:spacing w:after="60" w:before="40"/>
      </w:pPr>
      <w:r>
        <w:rPr>
          <w:rFonts w:ascii="Arial" w:cs="Arial" w:eastAsia="Arial" w:hAnsi="Arial"/>
          <w:color w:val="595959"/>
          <w:sz w:val="20"/>
          <w:szCs w:val="20"/>
        </w:rPr>
        <w:t xml:space="preserve">Despliegue y configuración de la VM de aplicación (Standard_D16ds_v5, Windows Server 2022).</w:t>
      </w:r>
    </w:p>
    <w:p>
      <w:pPr>
        <w:pStyle w:val="ListParagraph"/>
        <w:numPr>
          <w:ilvl w:val="0"/>
          <w:numId w:val="2"/>
        </w:numPr>
        <w:spacing w:after="60" w:before="40"/>
      </w:pPr>
      <w:r>
        <w:rPr>
          <w:rFonts w:ascii="Arial" w:cs="Arial" w:eastAsia="Arial" w:hAnsi="Arial"/>
          <w:color w:val="595959"/>
          <w:sz w:val="20"/>
          <w:szCs w:val="20"/>
        </w:rPr>
        <w:t xml:space="preserve">Creación y configuración de Azure SQL Managed Instance (GP, Gen5, 8 vCores, 512 GB).</w:t>
      </w:r>
    </w:p>
    <w:p>
      <w:pPr>
        <w:pStyle w:val="ListParagraph"/>
        <w:numPr>
          <w:ilvl w:val="0"/>
          <w:numId w:val="2"/>
        </w:numPr>
        <w:spacing w:after="60" w:before="40"/>
      </w:pPr>
      <w:r>
        <w:rPr>
          <w:rFonts w:ascii="Arial" w:cs="Arial" w:eastAsia="Arial" w:hAnsi="Arial"/>
          <w:color w:val="595959"/>
          <w:sz w:val="20"/>
          <w:szCs w:val="20"/>
        </w:rPr>
        <w:t xml:space="preserve">Configuración de nivel de compatibilidad SQL 150 (SQL Server 2019) en SQL MI.</w:t>
      </w:r>
    </w:p>
    <w:p>
      <w:pPr>
        <w:pStyle w:val="ListParagraph"/>
        <w:numPr>
          <w:ilvl w:val="0"/>
          <w:numId w:val="2"/>
        </w:numPr>
        <w:spacing w:after="60" w:before="40"/>
      </w:pPr>
      <w:r>
        <w:rPr>
          <w:rFonts w:ascii="Arial" w:cs="Arial" w:eastAsia="Arial" w:hAnsi="Arial"/>
          <w:color w:val="595959"/>
          <w:sz w:val="20"/>
          <w:szCs w:val="20"/>
        </w:rPr>
        <w:t xml:space="preserve">Configuración de Azure VPN Gateway VpnGw2 (S2S + P2S) y distribución de clientes VPN.</w:t>
      </w:r>
    </w:p>
    <w:p>
      <w:pPr>
        <w:pStyle w:val="ListParagraph"/>
        <w:numPr>
          <w:ilvl w:val="0"/>
          <w:numId w:val="2"/>
        </w:numPr>
        <w:spacing w:after="60" w:before="40"/>
      </w:pPr>
      <w:r>
        <w:rPr>
          <w:rFonts w:ascii="Arial" w:cs="Arial" w:eastAsia="Arial" w:hAnsi="Arial"/>
          <w:color w:val="595959"/>
          <w:sz w:val="20"/>
          <w:szCs w:val="20"/>
        </w:rPr>
        <w:t xml:space="preserve">Configuración de Azure Bastion para acceso administrativo seguro a la VM.</w:t>
      </w:r>
    </w:p>
    <w:p>
      <w:pPr>
        <w:pStyle w:val="ListParagraph"/>
        <w:numPr>
          <w:ilvl w:val="0"/>
          <w:numId w:val="2"/>
        </w:numPr>
        <w:spacing w:after="60" w:before="40"/>
      </w:pPr>
      <w:r>
        <w:rPr>
          <w:rFonts w:ascii="Arial" w:cs="Arial" w:eastAsia="Arial" w:hAnsi="Arial"/>
          <w:color w:val="595959"/>
          <w:sz w:val="20"/>
          <w:szCs w:val="20"/>
        </w:rPr>
        <w:t xml:space="preserve">Implementación de Azure Backup con políticas para VM (OS + App disk).</w:t>
      </w:r>
    </w:p>
    <w:p>
      <w:pPr>
        <w:pStyle w:val="ListParagraph"/>
        <w:numPr>
          <w:ilvl w:val="0"/>
          <w:numId w:val="2"/>
        </w:numPr>
        <w:spacing w:after="60" w:before="40"/>
      </w:pPr>
      <w:r>
        <w:rPr>
          <w:rFonts w:ascii="Arial" w:cs="Arial" w:eastAsia="Arial" w:hAnsi="Arial"/>
          <w:color w:val="595959"/>
          <w:sz w:val="20"/>
          <w:szCs w:val="20"/>
        </w:rPr>
        <w:t xml:space="preserve">Configuración de Auto-Failover Group de SQL MI (si aplica en el contrato).</w:t>
      </w:r>
    </w:p>
    <w:p>
      <w:pPr>
        <w:pStyle w:val="ListParagraph"/>
        <w:numPr>
          <w:ilvl w:val="0"/>
          <w:numId w:val="2"/>
        </w:numPr>
        <w:spacing w:after="60" w:before="40"/>
      </w:pPr>
      <w:r>
        <w:rPr>
          <w:rFonts w:ascii="Arial" w:cs="Arial" w:eastAsia="Arial" w:hAnsi="Arial"/>
          <w:color w:val="595959"/>
          <w:sz w:val="20"/>
          <w:szCs w:val="20"/>
        </w:rPr>
        <w:t xml:space="preserve">Habilitación de Azure Disk Encryption (ADE) en los discos de la VM.</w:t>
      </w:r>
    </w:p>
    <w:p>
      <w:pPr>
        <w:pStyle w:val="ListParagraph"/>
        <w:numPr>
          <w:ilvl w:val="0"/>
          <w:numId w:val="2"/>
        </w:numPr>
        <w:spacing w:after="60" w:before="40"/>
      </w:pPr>
      <w:r>
        <w:rPr>
          <w:rFonts w:ascii="Arial" w:cs="Arial" w:eastAsia="Arial" w:hAnsi="Arial"/>
          <w:color w:val="595959"/>
          <w:sz w:val="20"/>
          <w:szCs w:val="20"/>
        </w:rPr>
        <w:t xml:space="preserve">Configuración de Azure Key Vault y vinculación con servicios del proyecto.</w:t>
      </w:r>
    </w:p>
    <w:p>
      <w:pPr>
        <w:pStyle w:val="ListParagraph"/>
        <w:numPr>
          <w:ilvl w:val="0"/>
          <w:numId w:val="2"/>
        </w:numPr>
        <w:spacing w:after="60" w:before="40"/>
      </w:pPr>
      <w:r>
        <w:rPr>
          <w:rFonts w:ascii="Arial" w:cs="Arial" w:eastAsia="Arial" w:hAnsi="Arial"/>
          <w:color w:val="595959"/>
          <w:sz w:val="20"/>
          <w:szCs w:val="20"/>
        </w:rPr>
        <w:t xml:space="preserve">Activación de Microsoft Defender for SQL en SQL MI.</w:t>
      </w:r>
    </w:p>
    <w:p>
      <w:pPr>
        <w:pStyle w:val="ListParagraph"/>
        <w:numPr>
          <w:ilvl w:val="0"/>
          <w:numId w:val="2"/>
        </w:numPr>
        <w:spacing w:after="60" w:before="40"/>
      </w:pPr>
      <w:r>
        <w:rPr>
          <w:rFonts w:ascii="Arial" w:cs="Arial" w:eastAsia="Arial" w:hAnsi="Arial"/>
          <w:color w:val="595959"/>
          <w:sz w:val="20"/>
          <w:szCs w:val="20"/>
        </w:rPr>
        <w:t xml:space="preserve">Implementación de Azure Monitor, Log Analytics, SQL Insights y alertas básicas.</w:t>
      </w:r>
    </w:p>
    <w:p>
      <w:pPr>
        <w:pStyle w:val="ListParagraph"/>
        <w:numPr>
          <w:ilvl w:val="0"/>
          <w:numId w:val="2"/>
        </w:numPr>
        <w:spacing w:after="60" w:before="40"/>
      </w:pPr>
      <w:r>
        <w:rPr>
          <w:rFonts w:ascii="Arial" w:cs="Arial" w:eastAsia="Arial" w:hAnsi="Arial"/>
          <w:color w:val="595959"/>
          <w:sz w:val="20"/>
          <w:szCs w:val="20"/>
        </w:rPr>
        <w:t xml:space="preserve">Configuración de Azure Active Directory y políticas de Acceso Condicional + MFA.</w:t>
      </w:r>
    </w:p>
    <w:p>
      <w:pPr>
        <w:pStyle w:val="ListParagraph"/>
        <w:numPr>
          <w:ilvl w:val="0"/>
          <w:numId w:val="2"/>
        </w:numPr>
        <w:spacing w:after="60" w:before="40"/>
      </w:pPr>
      <w:r>
        <w:rPr>
          <w:rFonts w:ascii="Arial" w:cs="Arial" w:eastAsia="Arial" w:hAnsi="Arial"/>
          <w:color w:val="595959"/>
          <w:sz w:val="20"/>
          <w:szCs w:val="20"/>
        </w:rPr>
        <w:t xml:space="preserve">Configuración de Azure Blob Storage con Lifecycle Management (tiering automático).</w:t>
      </w:r>
    </w:p>
    <w:p>
      <w:pPr>
        <w:pStyle w:val="ListParagraph"/>
        <w:numPr>
          <w:ilvl w:val="0"/>
          <w:numId w:val="2"/>
        </w:numPr>
        <w:spacing w:after="60" w:before="40"/>
      </w:pPr>
      <w:r>
        <w:rPr>
          <w:rFonts w:ascii="Arial" w:cs="Arial" w:eastAsia="Arial" w:hAnsi="Arial"/>
          <w:color w:val="595959"/>
          <w:sz w:val="20"/>
          <w:szCs w:val="20"/>
        </w:rPr>
        <w:t xml:space="preserve">Documentación técnica de la arquitectura (runbook operativo básico).</w:t>
      </w:r>
    </w:p>
    <w:p>
      <w:pPr>
        <w:pStyle w:val="ListParagraph"/>
        <w:numPr>
          <w:ilvl w:val="0"/>
          <w:numId w:val="2"/>
        </w:numPr>
        <w:spacing w:after="60" w:before="40"/>
      </w:pPr>
      <w:r>
        <w:rPr>
          <w:rFonts w:ascii="Arial" w:cs="Arial" w:eastAsia="Arial" w:hAnsi="Arial"/>
          <w:color w:val="595959"/>
          <w:sz w:val="20"/>
          <w:szCs w:val="20"/>
        </w:rPr>
        <w:t xml:space="preserve">Transferencia de conocimiento: 1 sesión de 4 horas al equipo técnico del cliente.</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15.2 Fuera del Alcance</w:t>
      </w:r>
    </w:p>
    <w:p>
      <w:pPr>
        <w:pStyle w:val="ListParagraph"/>
        <w:numPr>
          <w:ilvl w:val="0"/>
          <w:numId w:val="2"/>
        </w:numPr>
        <w:spacing w:after="60" w:before="40"/>
      </w:pPr>
      <w:r>
        <w:rPr>
          <w:rFonts w:ascii="Arial" w:cs="Arial" w:eastAsia="Arial" w:hAnsi="Arial"/>
          <w:color w:val="595959"/>
          <w:sz w:val="20"/>
          <w:szCs w:val="20"/>
        </w:rPr>
        <w:t xml:space="preserve">Migración de las bases de datos SQL Server (responsabilidad del DBA del cliente o acuerdo adicional).</w:t>
      </w:r>
    </w:p>
    <w:p>
      <w:pPr>
        <w:pStyle w:val="ListParagraph"/>
        <w:numPr>
          <w:ilvl w:val="0"/>
          <w:numId w:val="2"/>
        </w:numPr>
        <w:spacing w:after="60" w:before="40"/>
      </w:pPr>
      <w:r>
        <w:rPr>
          <w:rFonts w:ascii="Arial" w:cs="Arial" w:eastAsia="Arial" w:hAnsi="Arial"/>
          <w:color w:val="595959"/>
          <w:sz w:val="20"/>
          <w:szCs w:val="20"/>
        </w:rPr>
        <w:t xml:space="preserve">Migración e instalación de la aplicación de negocio (responsabilidad del cliente).</w:t>
      </w:r>
    </w:p>
    <w:p>
      <w:pPr>
        <w:pStyle w:val="ListParagraph"/>
        <w:numPr>
          <w:ilvl w:val="0"/>
          <w:numId w:val="2"/>
        </w:numPr>
        <w:spacing w:after="60" w:before="40"/>
      </w:pPr>
      <w:r>
        <w:rPr>
          <w:rFonts w:ascii="Arial" w:cs="Arial" w:eastAsia="Arial" w:hAnsi="Arial"/>
          <w:color w:val="595959"/>
          <w:sz w:val="20"/>
          <w:szCs w:val="20"/>
        </w:rPr>
        <w:t xml:space="preserve">Desarrollo o modificación de código de la aplicación para compatibilidad con SQL MI.</w:t>
      </w:r>
    </w:p>
    <w:p>
      <w:pPr>
        <w:pStyle w:val="ListParagraph"/>
        <w:numPr>
          <w:ilvl w:val="0"/>
          <w:numId w:val="2"/>
        </w:numPr>
        <w:spacing w:after="60" w:before="40"/>
      </w:pPr>
      <w:r>
        <w:rPr>
          <w:rFonts w:ascii="Arial" w:cs="Arial" w:eastAsia="Arial" w:hAnsi="Arial"/>
          <w:color w:val="595959"/>
          <w:sz w:val="20"/>
          <w:szCs w:val="20"/>
        </w:rPr>
        <w:t xml:space="preserve">Soporte post-migración de la aplicación o errores derivados de la app del cliente.</w:t>
      </w:r>
    </w:p>
    <w:p>
      <w:pPr>
        <w:pStyle w:val="ListParagraph"/>
        <w:numPr>
          <w:ilvl w:val="0"/>
          <w:numId w:val="2"/>
        </w:numPr>
        <w:spacing w:after="60" w:before="40"/>
      </w:pPr>
      <w:r>
        <w:rPr>
          <w:rFonts w:ascii="Arial" w:cs="Arial" w:eastAsia="Arial" w:hAnsi="Arial"/>
          <w:color w:val="595959"/>
          <w:sz w:val="20"/>
          <w:szCs w:val="20"/>
        </w:rPr>
        <w:t xml:space="preserve">Adquisición de licencias de software de terceros.</w:t>
      </w:r>
    </w:p>
    <w:p>
      <w:pPr>
        <w:pStyle w:val="ListParagraph"/>
        <w:numPr>
          <w:ilvl w:val="0"/>
          <w:numId w:val="2"/>
        </w:numPr>
        <w:spacing w:after="60" w:before="40"/>
      </w:pPr>
      <w:r>
        <w:rPr>
          <w:rFonts w:ascii="Arial" w:cs="Arial" w:eastAsia="Arial" w:hAnsi="Arial"/>
          <w:color w:val="595959"/>
          <w:sz w:val="20"/>
          <w:szCs w:val="20"/>
        </w:rPr>
        <w:t xml:space="preserve">Configuración del dispositivo físico de red (router/firewall) en la oficina del cliente.</w:t>
      </w:r>
    </w:p>
    <w:p>
      <w:pPr>
        <w:pStyle w:val="ListParagraph"/>
        <w:numPr>
          <w:ilvl w:val="0"/>
          <w:numId w:val="2"/>
        </w:numPr>
        <w:spacing w:after="60" w:before="40"/>
      </w:pPr>
      <w:r>
        <w:rPr>
          <w:rFonts w:ascii="Arial" w:cs="Arial" w:eastAsia="Arial" w:hAnsi="Arial"/>
          <w:color w:val="595959"/>
          <w:sz w:val="20"/>
          <w:szCs w:val="20"/>
        </w:rPr>
        <w:t xml:space="preserve">Migración de correo, SharePoint, Teams u otros servicios Microsoft 365.</w:t>
      </w:r>
    </w:p>
    <w:p>
      <w:pPr>
        <w:pStyle w:val="ListParagraph"/>
        <w:numPr>
          <w:ilvl w:val="0"/>
          <w:numId w:val="2"/>
        </w:numPr>
        <w:spacing w:after="60" w:before="40"/>
      </w:pPr>
      <w:r>
        <w:rPr>
          <w:rFonts w:ascii="Arial" w:cs="Arial" w:eastAsia="Arial" w:hAnsi="Arial"/>
          <w:color w:val="595959"/>
          <w:sz w:val="20"/>
          <w:szCs w:val="20"/>
        </w:rPr>
        <w:t xml:space="preserve">Integración con sistemas externos no contemplados en esta propuesta.</w:t>
      </w:r>
    </w:p>
    <w:p>
      <w:pPr>
        <w:pStyle w:val="ListParagraph"/>
        <w:numPr>
          <w:ilvl w:val="0"/>
          <w:numId w:val="2"/>
        </w:numPr>
        <w:spacing w:after="60" w:before="40"/>
      </w:pPr>
      <w:r>
        <w:rPr>
          <w:rFonts w:ascii="Arial" w:cs="Arial" w:eastAsia="Arial" w:hAnsi="Arial"/>
          <w:color w:val="595959"/>
          <w:sz w:val="20"/>
          <w:szCs w:val="20"/>
        </w:rPr>
        <w:t xml:space="preserve">Capacitación a usuarios finales en el uso de la aplicación de negocio.</w:t>
      </w:r>
    </w:p>
    <w:p>
      <w:pPr>
        <w:pStyle w:val="ListParagraph"/>
        <w:numPr>
          <w:ilvl w:val="0"/>
          <w:numId w:val="2"/>
        </w:numPr>
        <w:spacing w:after="60" w:before="40"/>
      </w:pPr>
      <w:r>
        <w:rPr>
          <w:rFonts w:ascii="Arial" w:cs="Arial" w:eastAsia="Arial" w:hAnsi="Arial"/>
          <w:color w:val="595959"/>
          <w:sz w:val="20"/>
          <w:szCs w:val="20"/>
        </w:rPr>
        <w:t xml:space="preserve">Soporte y operación continua post-go-live (requiere contrato de managed services adicional).</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16. Supuestos del Proyecto</w:t>
      </w:r>
    </w:p>
    <w:p>
      <w:pPr>
        <w:pStyle w:val="ListParagraph"/>
        <w:numPr>
          <w:ilvl w:val="0"/>
          <w:numId w:val="2"/>
        </w:numPr>
        <w:spacing w:after="60" w:before="40"/>
      </w:pPr>
      <w:r>
        <w:rPr>
          <w:rFonts w:ascii="Arial" w:cs="Arial" w:eastAsia="Arial" w:hAnsi="Arial"/>
          <w:color w:val="595959"/>
          <w:sz w:val="20"/>
          <w:szCs w:val="20"/>
        </w:rPr>
        <w:t xml:space="preserve">La aplicación del cliente es compatible con Windows Server 2022 sin modificaciones de código.</w:t>
      </w:r>
    </w:p>
    <w:p>
      <w:pPr>
        <w:pStyle w:val="ListParagraph"/>
        <w:numPr>
          <w:ilvl w:val="0"/>
          <w:numId w:val="2"/>
        </w:numPr>
        <w:spacing w:after="60" w:before="40"/>
      </w:pPr>
      <w:r>
        <w:rPr>
          <w:rFonts w:ascii="Arial" w:cs="Arial" w:eastAsia="Arial" w:hAnsi="Arial"/>
          <w:color w:val="595959"/>
          <w:sz w:val="20"/>
          <w:szCs w:val="20"/>
        </w:rPr>
        <w:t xml:space="preserve">La aplicación se conecta a SQL Server por cadena de conexión estándar (TDS/TCP 1433) – compatible con SQL MI.</w:t>
      </w:r>
    </w:p>
    <w:p>
      <w:pPr>
        <w:pStyle w:val="ListParagraph"/>
        <w:numPr>
          <w:ilvl w:val="0"/>
          <w:numId w:val="2"/>
        </w:numPr>
        <w:spacing w:after="60" w:before="40"/>
      </w:pPr>
      <w:r>
        <w:rPr>
          <w:rFonts w:ascii="Arial" w:cs="Arial" w:eastAsia="Arial" w:hAnsi="Arial"/>
          <w:color w:val="595959"/>
          <w:sz w:val="20"/>
          <w:szCs w:val="20"/>
        </w:rPr>
        <w:t xml:space="preserve">El cliente cuenta o gestionará una suscripción Azure activa antes del inicio del proyecto.</w:t>
      </w:r>
    </w:p>
    <w:p>
      <w:pPr>
        <w:pStyle w:val="ListParagraph"/>
        <w:numPr>
          <w:ilvl w:val="0"/>
          <w:numId w:val="2"/>
        </w:numPr>
        <w:spacing w:after="60" w:before="40"/>
      </w:pPr>
      <w:r>
        <w:rPr>
          <w:rFonts w:ascii="Arial" w:cs="Arial" w:eastAsia="Arial" w:hAnsi="Arial"/>
          <w:color w:val="595959"/>
          <w:sz w:val="20"/>
          <w:szCs w:val="20"/>
        </w:rPr>
        <w:t xml:space="preserve">Las licencias de SQL Server 2019 Standard y Windows Server tienen Software Assurance activo para AHB.</w:t>
      </w:r>
    </w:p>
    <w:p>
      <w:pPr>
        <w:pStyle w:val="ListParagraph"/>
        <w:numPr>
          <w:ilvl w:val="0"/>
          <w:numId w:val="2"/>
        </w:numPr>
        <w:spacing w:after="60" w:before="40"/>
      </w:pPr>
      <w:r>
        <w:rPr>
          <w:rFonts w:ascii="Arial" w:cs="Arial" w:eastAsia="Arial" w:hAnsi="Arial"/>
          <w:color w:val="595959"/>
          <w:sz w:val="20"/>
          <w:szCs w:val="20"/>
        </w:rPr>
        <w:t xml:space="preserve">El cliente designará un DBA responsable para ejecutar la migración de bases de datos.</w:t>
      </w:r>
    </w:p>
    <w:p>
      <w:pPr>
        <w:pStyle w:val="ListParagraph"/>
        <w:numPr>
          <w:ilvl w:val="0"/>
          <w:numId w:val="2"/>
        </w:numPr>
        <w:spacing w:after="60" w:before="40"/>
      </w:pPr>
      <w:r>
        <w:rPr>
          <w:rFonts w:ascii="Arial" w:cs="Arial" w:eastAsia="Arial" w:hAnsi="Arial"/>
          <w:color w:val="595959"/>
          <w:sz w:val="20"/>
          <w:szCs w:val="20"/>
        </w:rPr>
        <w:t xml:space="preserve">El router/firewall de la oficina soporta IKEv2/IPSec (el cliente lo confirma antes del inicio).</w:t>
      </w:r>
    </w:p>
    <w:p>
      <w:pPr>
        <w:pStyle w:val="ListParagraph"/>
        <w:numPr>
          <w:ilvl w:val="0"/>
          <w:numId w:val="2"/>
        </w:numPr>
        <w:spacing w:after="60" w:before="40"/>
      </w:pPr>
      <w:r>
        <w:rPr>
          <w:rFonts w:ascii="Arial" w:cs="Arial" w:eastAsia="Arial" w:hAnsi="Arial"/>
          <w:color w:val="595959"/>
          <w:sz w:val="20"/>
          <w:szCs w:val="20"/>
        </w:rPr>
        <w:t xml:space="preserve">Los 65 usuarios remotos cuentan con dispositivos Windows 10/11 para el cliente VPN de Azure.</w:t>
      </w:r>
    </w:p>
    <w:p>
      <w:pPr>
        <w:pStyle w:val="ListParagraph"/>
        <w:numPr>
          <w:ilvl w:val="0"/>
          <w:numId w:val="2"/>
        </w:numPr>
        <w:spacing w:after="60" w:before="40"/>
      </w:pPr>
      <w:r>
        <w:rPr>
          <w:rFonts w:ascii="Arial" w:cs="Arial" w:eastAsia="Arial" w:hAnsi="Arial"/>
          <w:color w:val="595959"/>
          <w:sz w:val="20"/>
          <w:szCs w:val="20"/>
        </w:rPr>
        <w:t xml:space="preserve">No existen restricciones regulatorias o legales que impidan alojar datos en Azure (México o región acordada).</w:t>
      </w:r>
    </w:p>
    <w:p>
      <w:pPr>
        <w:pStyle w:val="ListParagraph"/>
        <w:numPr>
          <w:ilvl w:val="0"/>
          <w:numId w:val="2"/>
        </w:numPr>
        <w:spacing w:after="60" w:before="40"/>
      </w:pPr>
      <w:r>
        <w:rPr>
          <w:rFonts w:ascii="Arial" w:cs="Arial" w:eastAsia="Arial" w:hAnsi="Arial"/>
          <w:color w:val="595959"/>
          <w:sz w:val="20"/>
          <w:szCs w:val="20"/>
        </w:rPr>
        <w:t xml:space="preserve">El cliente aprobará por escrito cada entregable de fase antes de continuar.</w:t>
      </w:r>
    </w:p>
    <w:p>
      <w:pPr>
        <w:pStyle w:val="ListParagraph"/>
        <w:numPr>
          <w:ilvl w:val="0"/>
          <w:numId w:val="2"/>
        </w:numPr>
        <w:spacing w:after="60" w:before="40"/>
      </w:pPr>
      <w:r>
        <w:rPr>
          <w:rFonts w:ascii="Arial" w:cs="Arial" w:eastAsia="Arial" w:hAnsi="Arial"/>
          <w:color w:val="595959"/>
          <w:sz w:val="20"/>
          <w:szCs w:val="20"/>
        </w:rPr>
        <w:t xml:space="preserve">El proveedor tendrá acceso remoto al entorno Azure durante toda la implementación.</w:t>
      </w:r>
    </w:p>
    <w:p>
      <w:pPr>
        <w:pStyle w:val="ListParagraph"/>
        <w:numPr>
          <w:ilvl w:val="0"/>
          <w:numId w:val="2"/>
        </w:numPr>
        <w:spacing w:after="60" w:before="40"/>
      </w:pPr>
      <w:r>
        <w:rPr>
          <w:rFonts w:ascii="Arial" w:cs="Arial" w:eastAsia="Arial" w:hAnsi="Arial"/>
          <w:color w:val="595959"/>
          <w:sz w:val="20"/>
          <w:szCs w:val="20"/>
        </w:rPr>
        <w:t xml:space="preserve">Los costos indicados son estimaciones; el costo final depende del consumo real y precios vigentes.</w:t>
      </w:r>
    </w:p>
    <w:p>
      <w:pPr>
        <w:pStyle w:val="ListParagraph"/>
        <w:numPr>
          <w:ilvl w:val="0"/>
          <w:numId w:val="2"/>
        </w:numPr>
        <w:spacing w:after="60" w:before="40"/>
      </w:pPr>
      <w:r>
        <w:rPr>
          <w:rFonts w:ascii="Arial" w:cs="Arial" w:eastAsia="Arial" w:hAnsi="Arial"/>
          <w:color w:val="595959"/>
          <w:sz w:val="20"/>
          <w:szCs w:val="20"/>
        </w:rPr>
        <w:t xml:space="preserve">SQL MI requiere un mínimo de 4 horas para completar el aprovisionamiento inicial (tiempo de Azure).</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17. Estimación de Tiempos – Cronograma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1360"/>
        <w:gridCol w:w="1700"/>
      </w:tblGrid>
      <w:tr>
        <w:trPr>
          <w:tblHeader/>
        </w:trPr>
        <w:tc>
          <w:tcPr>
            <w:tcW w:type="dxa" w:w="1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Fase</w:t>
            </w:r>
          </w:p>
        </w:tc>
        <w:tc>
          <w:tcPr>
            <w:tcW w:type="dxa" w:w="45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Actividades Principales</w:t>
            </w:r>
          </w:p>
        </w:tc>
        <w:tc>
          <w:tcPr>
            <w:tcW w:type="dxa" w:w="13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Días Hábiles</w:t>
            </w:r>
          </w:p>
        </w:tc>
        <w:tc>
          <w:tcPr>
            <w:tcW w:type="dxa" w:w="17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Semana</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0 – Inicio</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Kick-off, levantamiento, accesos, suscripción Azure, tenant AAD</w:t>
            </w:r>
          </w:p>
        </w:tc>
        <w:tc>
          <w:tcPr>
            <w:tcW w:type="dxa" w:w="1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 días</w:t>
            </w:r>
          </w:p>
        </w:tc>
        <w:tc>
          <w:tcPr>
            <w:tcW w:type="dxa" w:w="1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1</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1 – Red Base</w:t>
            </w:r>
          </w:p>
        </w:tc>
        <w:tc>
          <w:tcPr>
            <w:tcW w:type="dxa" w:w="4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VNet, subnets (/24 SQL MI), NSG, Route Tables, Key Vault</w:t>
            </w:r>
          </w:p>
        </w:tc>
        <w:tc>
          <w:tcPr>
            <w:tcW w:type="dxa" w:w="1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 días</w:t>
            </w:r>
          </w:p>
        </w:tc>
        <w:tc>
          <w:tcPr>
            <w:tcW w:type="dxa" w:w="17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1</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2 – SQL MI</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Aprovisionamiento SQL MI (4h+), config. compatibilidad, AAD auth, TDE, Defender</w:t>
            </w:r>
          </w:p>
        </w:tc>
        <w:tc>
          <w:tcPr>
            <w:tcW w:type="dxa" w:w="1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 días</w:t>
            </w:r>
          </w:p>
        </w:tc>
        <w:tc>
          <w:tcPr>
            <w:tcW w:type="dxa" w:w="1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2</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3 – VM Aplicación</w:t>
            </w:r>
          </w:p>
        </w:tc>
        <w:tc>
          <w:tcPr>
            <w:tcW w:type="dxa" w:w="4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Despliegue VM D16ds_v5, OS, ADE, agentes Backup/Monitor</w:t>
            </w:r>
          </w:p>
        </w:tc>
        <w:tc>
          <w:tcPr>
            <w:tcW w:type="dxa" w:w="1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 días</w:t>
            </w:r>
          </w:p>
        </w:tc>
        <w:tc>
          <w:tcPr>
            <w:tcW w:type="dxa" w:w="17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2</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4 – Almacenamiento</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Blob Storage, Lifecycle Management, Blob versioning</w:t>
            </w:r>
          </w:p>
        </w:tc>
        <w:tc>
          <w:tcPr>
            <w:tcW w:type="dxa" w:w="1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día</w:t>
            </w:r>
          </w:p>
        </w:tc>
        <w:tc>
          <w:tcPr>
            <w:tcW w:type="dxa" w:w="1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2</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5 – VPN</w:t>
            </w:r>
          </w:p>
        </w:tc>
        <w:tc>
          <w:tcPr>
            <w:tcW w:type="dxa" w:w="4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 Gateway (VpnGw2), S2S config, P2S + clientes remotos, Bastion</w:t>
            </w:r>
          </w:p>
        </w:tc>
        <w:tc>
          <w:tcPr>
            <w:tcW w:type="dxa" w:w="1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 días</w:t>
            </w:r>
          </w:p>
        </w:tc>
        <w:tc>
          <w:tcPr>
            <w:tcW w:type="dxa" w:w="17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3</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6 – Seguridad</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AD, MFA, Acceso Condicional, NSG Fine-tuning, Key Vault integración</w:t>
            </w:r>
          </w:p>
        </w:tc>
        <w:tc>
          <w:tcPr>
            <w:tcW w:type="dxa" w:w="1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 días</w:t>
            </w:r>
          </w:p>
        </w:tc>
        <w:tc>
          <w:tcPr>
            <w:tcW w:type="dxa" w:w="1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3-4</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7 – Backup &amp; DR</w:t>
            </w:r>
          </w:p>
        </w:tc>
        <w:tc>
          <w:tcPr>
            <w:tcW w:type="dxa" w:w="4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Backup (VM), políticas retención, Failover Group SQL MI, ASR VM</w:t>
            </w:r>
          </w:p>
        </w:tc>
        <w:tc>
          <w:tcPr>
            <w:tcW w:type="dxa" w:w="1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 días</w:t>
            </w:r>
          </w:p>
        </w:tc>
        <w:tc>
          <w:tcPr>
            <w:tcW w:type="dxa" w:w="17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4</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8 – Monitoreo</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Log Analytics, Azure Monitor, SQL Insights, dashboards, alertas</w:t>
            </w:r>
          </w:p>
        </w:tc>
        <w:tc>
          <w:tcPr>
            <w:tcW w:type="dxa" w:w="1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 días</w:t>
            </w:r>
          </w:p>
        </w:tc>
        <w:tc>
          <w:tcPr>
            <w:tcW w:type="dxa" w:w="1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4</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9 – UAT</w:t>
            </w:r>
          </w:p>
        </w:tc>
        <w:tc>
          <w:tcPr>
            <w:tcW w:type="dxa" w:w="4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Pruebas de conectividad VPN, acceso SQL MI, backup/restore, encriptación, DR drill</w:t>
            </w:r>
          </w:p>
        </w:tc>
        <w:tc>
          <w:tcPr>
            <w:tcW w:type="dxa" w:w="1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 días</w:t>
            </w:r>
          </w:p>
        </w:tc>
        <w:tc>
          <w:tcPr>
            <w:tcW w:type="dxa" w:w="17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5</w:t>
            </w:r>
          </w:p>
        </w:tc>
      </w:tr>
      <w:tr>
        <w:trPr>
          <w:tblHeader w:val="false"/>
        </w:trP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10 – Go-Live</w:t>
            </w:r>
          </w:p>
        </w:tc>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Cutover coordinado, validación final, activación producción</w:t>
            </w:r>
          </w:p>
        </w:tc>
        <w:tc>
          <w:tcPr>
            <w:tcW w:type="dxa" w:w="1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 día</w:t>
            </w:r>
          </w:p>
        </w:tc>
        <w:tc>
          <w:tcPr>
            <w:tcW w:type="dxa" w:w="1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5</w:t>
            </w:r>
          </w:p>
        </w:tc>
      </w:tr>
      <w:tr>
        <w:trPr>
          <w:tblHeader w:val="false"/>
        </w:trPr>
        <w:tc>
          <w:tcPr>
            <w:tcW w:type="dxa" w:w="1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Fase 11 – Cierre</w:t>
            </w:r>
          </w:p>
        </w:tc>
        <w:tc>
          <w:tcPr>
            <w:tcW w:type="dxa" w:w="45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Documentación, runbook, transferencia conocimiento (4h), entregables</w:t>
            </w:r>
          </w:p>
        </w:tc>
        <w:tc>
          <w:tcPr>
            <w:tcW w:type="dxa" w:w="13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 días</w:t>
            </w:r>
          </w:p>
        </w:tc>
        <w:tc>
          <w:tcPr>
            <w:tcW w:type="dxa" w:w="17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Sem. 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DURACIÓN TOTAL ESTIMADA</w:t>
            </w:r>
          </w:p>
        </w:tc>
        <w:tc>
          <w:tcPr>
            <w:tcW w:type="dxa" w:w="3760"/>
            <w:tcBorders>
              <w:top w:val="none" w:color="FFFFFF" w:sz="0"/>
              <w:left w:val="none" w:color="FFFFFF" w:sz="0"/>
              <w:bottom w:val="none" w:color="FFFFFF" w:sz="0"/>
              <w:right w:val="none" w:color="FFFFFF" w:sz="0"/>
            </w:tcBorders>
            <w:shd w:fill="008272"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~6 semanas / 32 días hábiles</w:t>
            </w:r>
          </w:p>
        </w:tc>
      </w:tr>
    </w:tbl>
    <w:p>
      <w:pPr>
        <w:spacing w:after="60" w:before="60"/>
      </w:pPr>
      <w:r>
        <w:t xml:space="preserve"/>
      </w:r>
    </w:p>
    <w:p>
      <w:pPr>
        <w:spacing w:after="100" w:before="60"/>
        <w:jc w:val="both"/>
      </w:pPr>
      <w:r>
        <w:rPr>
          <w:rFonts w:ascii="Arial" w:cs="Arial" w:eastAsia="Arial" w:hAnsi="Arial"/>
          <w:b w:val="false"/>
          <w:bCs w:val="false"/>
          <w:i/>
          <w:iCs/>
          <w:color w:val="595959"/>
          <w:sz w:val="20"/>
          <w:szCs w:val="20"/>
        </w:rPr>
        <w:t xml:space="preserve">* El aprovisionamiento de Azure SQL Managed Instance puede tardar entre 2-6 horas en Azure. Este tiempo está considerado en la planificación de la Fase 2.</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18. Entregables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Entregable</w:t>
            </w:r>
          </w:p>
        </w:tc>
        <w:tc>
          <w:tcPr>
            <w:tcW w:type="dxa" w:w="40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Descripción</w:t>
            </w:r>
          </w:p>
        </w:tc>
        <w:tc>
          <w:tcPr>
            <w:tcW w:type="dxa" w:w="27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Responsable</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Documento de Arquitectura</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Diagrama de red y componentes Azure (Draw.io/Visio)</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Runbook de Operaciones</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Guía operativa: inicio, parada, accesos, escalado</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Manual VPN P2S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Guía de instalación del cliente VPN para 65 remotos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Política de Respaldo SQL MI</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Documento de política de retención y procedimiento PITR</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Política de Respaldo VM</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Documento de política y procedimiento de restauración VM</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Documento de Seguridad</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Configuración de NSG, ADE, Key Vault, AAD, MFA</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Credenciales y Accesos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Entrega segura vía Azure Key Vault</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Informe de Pruebas (UAT)</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Evidencia de VPN, backup/restore, DR, encriptación</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Sesión de Transferencia</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Sesión de 4 horas con equipo técnico del cliente</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2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Calculadora Azure actualizada</w:t>
            </w:r>
          </w:p>
        </w:tc>
        <w:tc>
          <w:tcPr>
            <w:tcW w:type="dxa" w:w="4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Export de Azure Pricing Calculator con la solución</w:t>
            </w:r>
          </w:p>
        </w:tc>
        <w:tc>
          <w:tcPr>
            <w:tcW w:type="dxa" w:w="27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bl>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19. Condiciones Comerciales</w:t>
      </w:r>
    </w:p>
    <w:p>
      <w:pPr>
        <w:pStyle w:val="Heading2"/>
        <w:spacing w:after="120" w:before="260"/>
      </w:pPr>
      <w:r>
        <w:rPr>
          <w:rFonts w:ascii="Arial" w:cs="Arial" w:eastAsia="Arial" w:hAnsi="Arial"/>
          <w:b/>
          <w:bCs/>
          <w:color w:val="005A9E"/>
          <w:sz w:val="28"/>
          <w:szCs w:val="28"/>
        </w:rPr>
        <w:t xml:space="preserve">19.1 Inversión de Implementación (Honorarios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Fase / Concepto</w:t>
            </w:r>
          </w:p>
        </w:tc>
        <w:tc>
          <w:tcPr>
            <w:tcW w:type="dxa" w:w="20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Horas Est.</w:t>
            </w:r>
          </w:p>
        </w:tc>
        <w:tc>
          <w:tcPr>
            <w:tcW w:type="dxa" w:w="31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Costo (USD)</w:t>
            </w:r>
          </w:p>
        </w:tc>
      </w:tr>
      <w:tr>
        <w:trPr>
          <w:tblHeader w:val="false"/>
        </w:trPr>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Arquitectura y diseño de solución PaaS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 hrs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~$1,600</w:t>
            </w:r>
          </w:p>
        </w:tc>
      </w:tr>
      <w:tr>
        <w:trPr>
          <w:tblHeader w:val="false"/>
        </w:trPr>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Infraestructura base (VNet, NSG, Key Vault)</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 hrs</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~$1,200</w:t>
            </w:r>
          </w:p>
        </w:tc>
      </w:tr>
      <w:tr>
        <w:trPr>
          <w:tblHeader w:val="false"/>
        </w:trPr>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Azure SQL Managed Instance (config. completa)</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20 hrs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~$2,000</w:t>
            </w:r>
          </w:p>
        </w:tc>
      </w:tr>
      <w:tr>
        <w:trPr>
          <w:tblHeader w:val="false"/>
        </w:trPr>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VM de aplicación (deploy, ADE, agentes)</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 hrs</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~$1,200</w:t>
            </w:r>
          </w:p>
        </w:tc>
      </w:tr>
      <w:tr>
        <w:trPr>
          <w:tblHeader w:val="false"/>
        </w:trPr>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VPN Gateway S2S + P2S + Bastion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20 hrs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~$2,000</w:t>
            </w:r>
          </w:p>
        </w:tc>
      </w:tr>
      <w:tr>
        <w:trPr>
          <w:tblHeader w:val="false"/>
        </w:trPr>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Seguridad (ADE, AAD, MFA, Defender, KV)</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 hrs</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~$1,600</w:t>
            </w:r>
          </w:p>
        </w:tc>
      </w:tr>
      <w:tr>
        <w:trPr>
          <w:tblHeader w:val="false"/>
        </w:trPr>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Backup VM + Failover Group SQL MI + ASR</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 hrs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~$1,600</w:t>
            </w:r>
          </w:p>
        </w:tc>
      </w:tr>
      <w:tr>
        <w:trPr>
          <w:tblHeader w:val="false"/>
        </w:trPr>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Blob Storage + Lifecycle</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 hrs</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~$400</w:t>
            </w:r>
          </w:p>
        </w:tc>
      </w:tr>
      <w:tr>
        <w:trPr>
          <w:tblHeader w:val="false"/>
        </w:trPr>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Monitoreo (Log Analytics, alertas, dashboards)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 hrs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~$1,200</w:t>
            </w:r>
          </w:p>
        </w:tc>
      </w:tr>
      <w:tr>
        <w:trPr>
          <w:tblHeader w:val="false"/>
        </w:trPr>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Pruebas UAT + Go-Live</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 hrs</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~$1,200</w:t>
            </w:r>
          </w:p>
        </w:tc>
      </w:tr>
      <w:tr>
        <w:trPr>
          <w:tblHeader w:val="false"/>
        </w:trPr>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Documentación + transferencia de conocimiento</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8 hrs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~$800</w:t>
            </w:r>
          </w:p>
        </w:tc>
      </w:tr>
      <w:tr>
        <w:trPr>
          <w:tblHeader w:val="false"/>
        </w:trPr>
        <w:tc>
          <w:tcPr>
            <w:tcW w:type="dxa" w:w="42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Gestión de proyecto</w:t>
            </w:r>
          </w:p>
        </w:tc>
        <w:tc>
          <w:tcPr>
            <w:tcW w:type="dxa" w:w="20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 hrs</w:t>
            </w:r>
          </w:p>
        </w:tc>
        <w:tc>
          <w:tcPr>
            <w:tcW w:type="dxa" w:w="31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~$1,200</w:t>
            </w:r>
          </w:p>
        </w:tc>
      </w:tr>
      <w:tr>
        <w:trPr>
          <w:tblHeader w:val="false"/>
        </w:trPr>
        <w:tc>
          <w:tcPr>
            <w:tcW w:type="dxa" w:w="4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TOTAL HONORARIOS DE IMPLEMENTACIÓN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~160 hrs</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~$16,000 USD</w:t>
            </w:r>
          </w:p>
        </w:tc>
      </w:tr>
    </w:tbl>
    <w:p>
      <w:pPr>
        <w:spacing w:after="60" w:before="60"/>
      </w:pPr>
      <w:r>
        <w:t xml:space="preserve"/>
      </w:r>
    </w:p>
    <w:p>
      <w:pPr>
        <w:pStyle w:val="Heading2"/>
        <w:spacing w:after="120" w:before="260"/>
      </w:pPr>
      <w:r>
        <w:rPr>
          <w:rFonts w:ascii="Arial" w:cs="Arial" w:eastAsia="Arial" w:hAnsi="Arial"/>
          <w:b/>
          <w:bCs/>
          <w:color w:val="005A9E"/>
          <w:sz w:val="28"/>
          <w:szCs w:val="28"/>
        </w:rPr>
        <w:t xml:space="preserve">19.2 Esquema de Pago</w:t>
      </w:r>
    </w:p>
    <w:p>
      <w:pPr>
        <w:pStyle w:val="ListParagraph"/>
        <w:numPr>
          <w:ilvl w:val="0"/>
          <w:numId w:val="2"/>
        </w:numPr>
        <w:spacing w:after="60" w:before="40"/>
      </w:pPr>
      <w:r>
        <w:rPr>
          <w:rFonts w:ascii="Arial" w:cs="Arial" w:eastAsia="Arial" w:hAnsi="Arial"/>
          <w:color w:val="595959"/>
          <w:sz w:val="20"/>
          <w:szCs w:val="20"/>
        </w:rPr>
        <w:t xml:space="preserve">40% al inicio del proyecto (firma de contrato y validación de accesos).</w:t>
      </w:r>
    </w:p>
    <w:p>
      <w:pPr>
        <w:pStyle w:val="ListParagraph"/>
        <w:numPr>
          <w:ilvl w:val="0"/>
          <w:numId w:val="2"/>
        </w:numPr>
        <w:spacing w:after="60" w:before="40"/>
      </w:pPr>
      <w:r>
        <w:rPr>
          <w:rFonts w:ascii="Arial" w:cs="Arial" w:eastAsia="Arial" w:hAnsi="Arial"/>
          <w:color w:val="595959"/>
          <w:sz w:val="20"/>
          <w:szCs w:val="20"/>
        </w:rPr>
        <w:t xml:space="preserve">35% al completar Go-Live (Fase 10 – entorno en producción y validado).</w:t>
      </w:r>
    </w:p>
    <w:p>
      <w:pPr>
        <w:pStyle w:val="ListParagraph"/>
        <w:numPr>
          <w:ilvl w:val="0"/>
          <w:numId w:val="2"/>
        </w:numPr>
        <w:spacing w:after="60" w:before="40"/>
      </w:pPr>
      <w:r>
        <w:rPr>
          <w:rFonts w:ascii="Arial" w:cs="Arial" w:eastAsia="Arial" w:hAnsi="Arial"/>
          <w:color w:val="595959"/>
          <w:sz w:val="20"/>
          <w:szCs w:val="20"/>
        </w:rPr>
        <w:t xml:space="preserve">25% a la entrega final de documentación y sesión de transferencia.</w:t>
      </w:r>
    </w:p>
    <w:p>
      <w:pPr>
        <w:spacing w:after="60" w:before="60"/>
      </w:pPr>
      <w:r>
        <w:t xml:space="preserve"/>
      </w:r>
    </w:p>
    <w:p>
      <w:pPr>
        <w:pStyle w:val="Heading2"/>
        <w:spacing w:after="120" w:before="260"/>
      </w:pPr>
      <w:r>
        <w:rPr>
          <w:rFonts w:ascii="Arial" w:cs="Arial" w:eastAsia="Arial" w:hAnsi="Arial"/>
          <w:b/>
          <w:bCs/>
          <w:color w:val="005A9E"/>
          <w:sz w:val="28"/>
          <w:szCs w:val="28"/>
        </w:rPr>
        <w:t xml:space="preserve">19.3 Vigencia de la Propuesta</w:t>
      </w:r>
    </w:p>
    <w:p>
      <w:pPr>
        <w:spacing w:after="100" w:before="60"/>
        <w:jc w:val="both"/>
      </w:pPr>
      <w:r>
        <w:rPr>
          <w:rFonts w:ascii="Arial" w:cs="Arial" w:eastAsia="Arial" w:hAnsi="Arial"/>
          <w:b w:val="false"/>
          <w:bCs w:val="false"/>
          <w:i w:val="false"/>
          <w:iCs w:val="false"/>
          <w:color w:val="595959"/>
          <w:sz w:val="20"/>
          <w:szCs w:val="20"/>
        </w:rPr>
        <w:t xml:space="preserve">Esta propuesta tiene vigencia de 30 días calendario a partir de la fecha de emisión. Los precios de Azure son referenciales y están sujetos a los precios publicados vigentes al momento de la contratación.</w:t>
      </w:r>
    </w:p>
    <w:p>
      <w:r>
        <w:br w:type="page"/>
      </w:r>
    </w:p>
    <w:p>
      <w:pPr>
        <w:pStyle w:val="Heading1"/>
        <w:pBdr>
          <w:bottom w:val="single" w:color="0078D4" w:sz="8" w:space="4"/>
        </w:pBdr>
        <w:spacing w:after="160" w:before="360"/>
      </w:pPr>
      <w:r>
        <w:rPr>
          <w:rFonts w:ascii="Arial" w:cs="Arial" w:eastAsia="Arial" w:hAnsi="Arial"/>
          <w:b/>
          <w:bCs/>
          <w:color w:val="003B6F"/>
          <w:sz w:val="36"/>
          <w:szCs w:val="36"/>
        </w:rPr>
        <w:t xml:space="preserve">20.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rPr>
          <w:tblHeader/>
        </w:trPr>
        <w:tc>
          <w:tcPr>
            <w:tcW w:type="dxa" w:w="6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Paso</w:t>
            </w:r>
          </w:p>
        </w:tc>
        <w:tc>
          <w:tcPr>
            <w:tcW w:type="dxa" w:w="580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Acción</w:t>
            </w:r>
          </w:p>
        </w:tc>
        <w:tc>
          <w:tcPr>
            <w:tcW w:type="dxa" w:w="2960"/>
            <w:tcBorders>
              <w:top w:val="single" w:color="D0D0D0" w:sz="1"/>
              <w:left w:val="single" w:color="D0D0D0" w:sz="1"/>
              <w:bottom w:val="single" w:color="D0D0D0" w:sz="1"/>
              <w:right w:val="single" w:color="D0D0D0" w:sz="1"/>
            </w:tcBorders>
            <w:shd w:fill="003B6F"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Responsable</w:t>
            </w:r>
          </w:p>
        </w:tc>
      </w:tr>
      <w:tr>
        <w:trPr>
          <w:tblHeader w:val="false"/>
        </w:trP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5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Revisión y aprobación de la propuesta técnica</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w:t>
            </w:r>
          </w:p>
        </w:tc>
      </w:tr>
      <w:tr>
        <w:trPr>
          <w:tblHeader w:val="false"/>
        </w:trPr>
        <w:tc>
          <w:tcPr>
            <w:tcW w:type="dxa" w:w="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5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Confirmación del modelo de licenciamiento (AHB)</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 + Proveedor</w:t>
            </w:r>
          </w:p>
        </w:tc>
      </w:tr>
      <w:tr>
        <w:trPr>
          <w:tblHeader w:val="false"/>
        </w:trP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5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Firma de contrato y orden de compra</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 + Proveedor</w:t>
            </w:r>
          </w:p>
        </w:tc>
      </w:tr>
      <w:tr>
        <w:trPr>
          <w:tblHeader w:val="false"/>
        </w:trPr>
        <w:tc>
          <w:tcPr>
            <w:tcW w:type="dxa" w:w="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5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Alta / validación de suscripción Azure</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Cliente</w:t>
            </w:r>
          </w:p>
        </w:tc>
      </w:tr>
      <w:tr>
        <w:trPr>
          <w:tblHeader w:val="false"/>
        </w:trP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5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Kick-off meeting con todos los stakeholders</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r>
        <w:trPr>
          <w:tblHeader w:val="false"/>
        </w:trPr>
        <w:tc>
          <w:tcPr>
            <w:tcW w:type="dxa" w:w="6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580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Inicio de implementación según cronograma</w:t>
            </w:r>
          </w:p>
        </w:tc>
        <w:tc>
          <w:tcPr>
            <w:tcW w:type="dxa" w:w="2960"/>
            <w:tcBorders>
              <w:top w:val="single" w:color="D0D0D0" w:sz="1"/>
              <w:left w:val="single" w:color="D0D0D0" w:sz="1"/>
              <w:bottom w:val="single" w:color="D0D0D0" w:sz="1"/>
              <w:right w:val="single" w:color="D0D0D0" w:sz="1"/>
            </w:tcBorders>
            <w:shd w:fill="EBF4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Proveedor</w:t>
            </w:r>
          </w:p>
        </w:tc>
      </w:tr>
    </w:tbl>
    <w:p>
      <w:pPr>
        <w:spacing w:after="60" w:before="60"/>
      </w:pPr>
      <w:r>
        <w:t xml:space="preserve"/>
      </w:r>
    </w:p>
    <w:p>
      <w:pPr>
        <w:pBdr>
          <w:top w:val="single" w:color="0078D4" w:sz="8"/>
        </w:pBdr>
        <w:spacing w:after="200" w:before="400"/>
        <w:jc w:val="center"/>
      </w:pPr>
      <w:r>
        <w:rPr>
          <w:rFonts w:ascii="Arial" w:cs="Arial" w:eastAsia="Arial" w:hAnsi="Arial"/>
          <w:b/>
          <w:bCs/>
          <w:color w:val="003B6F"/>
          <w:sz w:val="24"/>
          <w:szCs w:val="24"/>
        </w:rPr>
        <w:t xml:space="preserve">Gracias por la confianza depositada. Estamos listos para iniciar.</w:t>
      </w:r>
    </w:p>
    <w:p>
      <w:pPr>
        <w:spacing w:after="0" w:before="100"/>
        <w:jc w:val="center"/>
      </w:pPr>
      <w:r>
        <w:rPr>
          <w:rFonts w:ascii="Arial" w:cs="Arial" w:eastAsia="Arial" w:hAnsi="Arial"/>
          <w:i/>
          <w:iCs/>
          <w:color w:val="008272"/>
          <w:sz w:val="20"/>
          <w:szCs w:val="20"/>
        </w:rPr>
        <w:t xml:space="preserve">Azure SQL Managed Instance – La base de datos en la nube, sin la complejidad de administrarla.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0B4F0" w:sz="4"/>
      </w:pBdr>
      <w:tabs>
        <w:tab w:val="right" w:pos="9026"/>
      </w:tabs>
      <w:spacing w:before="80"/>
    </w:pPr>
    <w:r>
      <w:rPr>
        <w:rFonts w:ascii="Arial" w:cs="Arial" w:eastAsia="Arial" w:hAnsi="Arial"/>
        <w:color w:val="595959"/>
        <w:sz w:val="16"/>
        <w:szCs w:val="16"/>
      </w:rPr>
      <w:t xml:space="preserve">© 2025 – Servicios Cloud Gestionados  |  Microsoft Azure Partner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pBdr>
      <w:tabs>
        <w:tab w:val="right" w:pos="9026"/>
      </w:tabs>
      <w:spacing w:after="120"/>
    </w:pPr>
    <w:r>
      <w:rPr>
        <w:rFonts w:ascii="Arial" w:cs="Arial" w:eastAsia="Arial" w:hAnsi="Arial"/>
        <w:b/>
        <w:bCs/>
        <w:color w:val="005A9E"/>
        <w:sz w:val="18"/>
        <w:szCs w:val="18"/>
      </w:rPr>
      <w:t xml:space="preserve">Propuesta PaaS – Azure SQL Managed Instance  |  v2.0</w:t>
    </w:r>
    <w:r>
      <w:rPr>
        <w:rFonts w:ascii="Arial" w:cs="Arial" w:eastAsia="Arial" w:hAnsi="Arial"/>
        <w:color w:val="595959"/>
        <w:sz w:val="16"/>
        <w:szCs w:val="16"/>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color w:val="0078D4"/>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B6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005A9E"/>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0078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2026-04-22T17:20:59.151Z</dcterms:created>
  <dcterms:modified xsi:type="dcterms:W3CDTF">2026-04-22T17:20:59.151Z</dcterms:modified>
</cp:coreProperties>
</file>

<file path=docProps/custom.xml><?xml version="1.0" encoding="utf-8"?>
<Properties xmlns="http://schemas.openxmlformats.org/officeDocument/2006/custom-properties" xmlns:vt="http://schemas.openxmlformats.org/officeDocument/2006/docPropsVTypes"/>
</file>