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olor w:val="1F3864"/>
          <w:sz w:val="52"/>
          <w:szCs w:val="52"/>
        </w:rPr>
        <w:t xml:space="preserve">PROPUESTA TÉCNICA</w:t>
      </w:r>
    </w:p>
    <w:p>
      <w:pPr>
        <w:pBdr>
          <w:bottom w:val="single" w:color="2E75B6" w:sz="8" w:space="6"/>
        </w:pBdr>
        <w:spacing w:before="0" w:after="40"/>
        <w:jc w:val="center"/>
      </w:pPr>
      <w:r>
        <w:rPr>
          <w:rFonts w:ascii="Arial" w:cs="Arial" w:eastAsia="Arial" w:hAnsi="Arial"/>
          <w:color w:val="2E75B6"/>
          <w:sz w:val="36"/>
          <w:szCs w:val="36"/>
        </w:rPr>
        <w:t xml:space="preserve">Migración de SQL Server hacia SQL Always On</w:t>
      </w:r>
    </w:p>
    <w:p>
      <w:pPr>
        <w:spacing w:before="180" w:after="0"/>
      </w:pPr>
      <w:r>
        <w:t xml:space="preserve"/>
      </w:r>
    </w:p>
    <w:p>
      <w:pPr>
        <w:spacing w:before="0" w:after="100"/>
        <w:jc w:val="center"/>
      </w:pPr>
      <w:r>
        <w:rPr>
          <w:rFonts w:ascii="Arial" w:cs="Arial" w:eastAsia="Arial" w:hAnsi="Arial"/>
          <w:i/>
          <w:iCs/>
          <w:color w:val="555555"/>
          <w:sz w:val="28"/>
          <w:szCs w:val="28"/>
        </w:rPr>
        <w:t xml:space="preserve">Alta Disponibilidad y Continuidad de Negocio</w:t>
      </w:r>
    </w:p>
    <w:p>
      <w:pPr>
        <w:spacing w:before="360" w:after="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Versión</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 Inicial</w:t>
            </w:r>
          </w:p>
        </w:tc>
      </w:tr>
      <w:tr>
        <w:tc>
          <w:tcPr>
            <w:tcW w:type="dxa" w:w="2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Fecha</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2025</w:t>
            </w:r>
          </w:p>
        </w:tc>
      </w:tr>
      <w:tr>
        <w:tc>
          <w:tcPr>
            <w:tcW w:type="dxa" w:w="2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Clasificación</w:t>
            </w:r>
          </w:p>
        </w:tc>
        <w:tc>
          <w:tcPr>
            <w:tcW w:type="dxa" w:w="4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Confidencial</w:t>
            </w:r>
          </w:p>
        </w:tc>
      </w:tr>
    </w:tbl>
    <w:p>
      <w:r>
        <w:br w:type="page"/>
      </w:r>
    </w:p>
    <w:p>
      <w:pPr>
        <w:pBdr>
          <w:bottom w:val="single" w:color="2E75B6" w:sz="6" w:space="1"/>
        </w:pBdr>
        <w:spacing w:before="200" w:after="200"/>
      </w:pPr>
      <w:r>
        <w:rPr>
          <w:rFonts w:ascii="Arial" w:cs="Arial" w:eastAsia="Arial" w:hAnsi="Arial"/>
          <w:b/>
          <w:bCs/>
          <w:color w:val="1F3864"/>
          <w:sz w:val="32"/>
          <w:szCs w:val="32"/>
        </w:rPr>
        <w:t xml:space="preserve">1.  Introducción</w:t>
      </w:r>
    </w:p>
    <w:p>
      <w:pPr>
        <w:spacing w:before="60" w:after="0"/>
      </w:pPr>
      <w:r>
        <w:t xml:space="preserve"/>
      </w:r>
    </w:p>
    <w:p>
      <w:pPr>
        <w:spacing w:before="80" w:after="80"/>
      </w:pPr>
      <w:r>
        <w:rPr>
          <w:rFonts w:ascii="Arial" w:cs="Arial" w:eastAsia="Arial" w:hAnsi="Arial"/>
          <w:sz w:val="22"/>
          <w:szCs w:val="22"/>
        </w:rPr>
        <w:t xml:space="preserve">La presente propuesta establece el plan integral para migrar la infraestructura de bases de datos desde SQL Server Standalone hacia SQL Server Always On Availability Groups. Esta iniciativa responde a la necesidad de garantizar alta disponibilidad, continuidad del negocio y capacidad de escalar las operaciones de lectura sin afectar el rendimiento transaccional.</w:t>
      </w:r>
    </w:p>
    <w:p>
      <w:pPr>
        <w:spacing w:before="60" w:after="0"/>
      </w:pPr>
      <w:r>
        <w:t xml:space="preserve"/>
      </w:r>
    </w:p>
    <w:p>
      <w:pPr>
        <w:spacing w:before="80" w:after="80"/>
      </w:pPr>
      <w:r>
        <w:rPr>
          <w:rFonts w:ascii="Arial" w:cs="Arial" w:eastAsia="Arial" w:hAnsi="Arial"/>
          <w:sz w:val="22"/>
          <w:szCs w:val="22"/>
        </w:rPr>
        <w:t xml:space="preserve">SQL Always On permite configurar réplicas secundarias que sirven consultas de solo lectura, reduciendo la carga sobre el nodo primario y habilitando failover automático con mínimo tiempo de inactividad (RTO &lt; 30 segundos y RPO ≈ 0 en modo síncrono).</w:t>
      </w:r>
    </w:p>
    <w:p>
      <w:pPr>
        <w:spacing w:before="120" w:after="0"/>
      </w:pPr>
      <w:r>
        <w:t xml:space="preserve"/>
      </w:r>
    </w:p>
    <w:p>
      <w:pPr>
        <w:pBdr>
          <w:bottom w:val="single" w:color="2E75B6" w:sz="6" w:space="1"/>
        </w:pBdr>
        <w:spacing w:before="200" w:after="200"/>
      </w:pPr>
      <w:r>
        <w:rPr>
          <w:rFonts w:ascii="Arial" w:cs="Arial" w:eastAsia="Arial" w:hAnsi="Arial"/>
          <w:b/>
          <w:bCs/>
          <w:color w:val="1F3864"/>
          <w:sz w:val="32"/>
          <w:szCs w:val="32"/>
        </w:rPr>
        <w:t xml:space="preserve">2.  Objetivos</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2.1  Objetivo General</w:t>
      </w:r>
    </w:p>
    <w:p>
      <w:pPr>
        <w:spacing w:before="80" w:after="80"/>
      </w:pPr>
      <w:r>
        <w:rPr>
          <w:rFonts w:ascii="Arial" w:cs="Arial" w:eastAsia="Arial" w:hAnsi="Arial"/>
          <w:sz w:val="22"/>
          <w:szCs w:val="22"/>
        </w:rPr>
        <w:t xml:space="preserve">Migrar las bases de datos productivas de SQL Server Standalone a SQL Server Always On Availability Groups para garantizar alta disponibilidad, recuperación ante desastres y separación de cargas de lectura/escritura.</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2.2  Objetivos Específicos</w:t>
      </w:r>
    </w:p>
    <w:p>
      <w:pPr>
        <w:pStyle w:val="ListParagraph"/>
        <w:numPr>
          <w:ilvl w:val="0"/>
          <w:numId w:val="2"/>
        </w:numPr>
        <w:spacing w:before="60" w:after="60"/>
      </w:pPr>
      <w:r>
        <w:rPr>
          <w:rFonts w:ascii="Arial" w:cs="Arial" w:eastAsia="Arial" w:hAnsi="Arial"/>
          <w:b w:val="false"/>
          <w:bCs w:val="false"/>
          <w:sz w:val="22"/>
          <w:szCs w:val="22"/>
        </w:rPr>
        <w:t xml:space="preserve">Implementar Always On con al menos dos réplicas (primaria + secundaria) en modo síncrono.</w:t>
      </w:r>
    </w:p>
    <w:p>
      <w:pPr>
        <w:pStyle w:val="ListParagraph"/>
        <w:numPr>
          <w:ilvl w:val="0"/>
          <w:numId w:val="2"/>
        </w:numPr>
        <w:spacing w:before="60" w:after="60"/>
      </w:pPr>
      <w:r>
        <w:rPr>
          <w:rFonts w:ascii="Arial" w:cs="Arial" w:eastAsia="Arial" w:hAnsi="Arial"/>
          <w:b w:val="false"/>
          <w:bCs w:val="false"/>
          <w:sz w:val="22"/>
          <w:szCs w:val="22"/>
        </w:rPr>
        <w:t xml:space="preserve">Lograr un RTO (Recovery Time Objective) menor a 30 segundos ante falla del nodo primario.</w:t>
      </w:r>
    </w:p>
    <w:p>
      <w:pPr>
        <w:pStyle w:val="ListParagraph"/>
        <w:numPr>
          <w:ilvl w:val="0"/>
          <w:numId w:val="2"/>
        </w:numPr>
        <w:spacing w:before="60" w:after="60"/>
      </w:pPr>
      <w:r>
        <w:rPr>
          <w:rFonts w:ascii="Arial" w:cs="Arial" w:eastAsia="Arial" w:hAnsi="Arial"/>
          <w:b w:val="false"/>
          <w:bCs w:val="false"/>
          <w:sz w:val="22"/>
          <w:szCs w:val="22"/>
        </w:rPr>
        <w:t xml:space="preserve">Lograr un RPO (Recovery Point Objective) de 0 segundos en modo síncrono.</w:t>
      </w:r>
    </w:p>
    <w:p>
      <w:pPr>
        <w:pStyle w:val="ListParagraph"/>
        <w:numPr>
          <w:ilvl w:val="0"/>
          <w:numId w:val="2"/>
        </w:numPr>
        <w:spacing w:before="60" w:after="60"/>
      </w:pPr>
      <w:r>
        <w:rPr>
          <w:rFonts w:ascii="Arial" w:cs="Arial" w:eastAsia="Arial" w:hAnsi="Arial"/>
          <w:b w:val="false"/>
          <w:bCs w:val="false"/>
          <w:sz w:val="22"/>
          <w:szCs w:val="22"/>
        </w:rPr>
        <w:t xml:space="preserve">Separar cadenas de conexión de lectura (réplica secundaria) y escritura (réplica primaria) para optimizar el rendimiento.</w:t>
      </w:r>
    </w:p>
    <w:p>
      <w:pPr>
        <w:pStyle w:val="ListParagraph"/>
        <w:numPr>
          <w:ilvl w:val="0"/>
          <w:numId w:val="2"/>
        </w:numPr>
        <w:spacing w:before="60" w:after="60"/>
      </w:pPr>
      <w:r>
        <w:rPr>
          <w:rFonts w:ascii="Arial" w:cs="Arial" w:eastAsia="Arial" w:hAnsi="Arial"/>
          <w:b w:val="false"/>
          <w:bCs w:val="false"/>
          <w:sz w:val="22"/>
          <w:szCs w:val="22"/>
        </w:rPr>
        <w:t xml:space="preserve">Migrar todas las bases de datos productivas sin pérdida de datos ni tiempo de inactividad mayor a la ventana de mantenimiento acordada.</w:t>
      </w:r>
    </w:p>
    <w:p>
      <w:pPr>
        <w:pStyle w:val="ListParagraph"/>
        <w:numPr>
          <w:ilvl w:val="0"/>
          <w:numId w:val="2"/>
        </w:numPr>
        <w:spacing w:before="60" w:after="60"/>
      </w:pPr>
      <w:r>
        <w:rPr>
          <w:rFonts w:ascii="Arial" w:cs="Arial" w:eastAsia="Arial" w:hAnsi="Arial"/>
          <w:b w:val="false"/>
          <w:bCs w:val="false"/>
          <w:sz w:val="22"/>
          <w:szCs w:val="22"/>
        </w:rPr>
        <w:t xml:space="preserve">Actualizar las aplicaciones y servicios para que apunten al Listener de Always On.</w:t>
      </w:r>
    </w:p>
    <w:p>
      <w:pPr>
        <w:pStyle w:val="ListParagraph"/>
        <w:numPr>
          <w:ilvl w:val="0"/>
          <w:numId w:val="2"/>
        </w:numPr>
        <w:spacing w:before="60" w:after="60"/>
      </w:pPr>
      <w:r>
        <w:rPr>
          <w:rFonts w:ascii="Arial" w:cs="Arial" w:eastAsia="Arial" w:hAnsi="Arial"/>
          <w:b w:val="false"/>
          <w:bCs w:val="false"/>
          <w:sz w:val="22"/>
          <w:szCs w:val="22"/>
        </w:rPr>
        <w:t xml:space="preserve">Documentar el nuevo esquema de infraestructura y los procedimientos operativos.</w:t>
      </w:r>
    </w:p>
    <w:p>
      <w:pPr>
        <w:spacing w:before="120" w:after="0"/>
      </w:pPr>
      <w:r>
        <w:t xml:space="preserve"/>
      </w:r>
    </w:p>
    <w:p>
      <w:pPr>
        <w:pBdr>
          <w:bottom w:val="single" w:color="2E75B6" w:sz="6" w:space="1"/>
        </w:pBdr>
        <w:spacing w:before="200" w:after="200"/>
      </w:pPr>
      <w:r>
        <w:rPr>
          <w:rFonts w:ascii="Arial" w:cs="Arial" w:eastAsia="Arial" w:hAnsi="Arial"/>
          <w:b/>
          <w:bCs/>
          <w:color w:val="1F3864"/>
          <w:sz w:val="32"/>
          <w:szCs w:val="32"/>
        </w:rPr>
        <w:t xml:space="preserve">3.  Alcance</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3.1  Dentro del Alcance</w:t>
      </w:r>
    </w:p>
    <w:p>
      <w:pPr>
        <w:pStyle w:val="ListParagraph"/>
        <w:numPr>
          <w:ilvl w:val="0"/>
          <w:numId w:val="2"/>
        </w:numPr>
        <w:spacing w:before="60" w:after="60"/>
      </w:pPr>
      <w:r>
        <w:rPr>
          <w:rFonts w:ascii="Arial" w:cs="Arial" w:eastAsia="Arial" w:hAnsi="Arial"/>
          <w:b w:val="false"/>
          <w:bCs w:val="false"/>
          <w:sz w:val="22"/>
          <w:szCs w:val="22"/>
        </w:rPr>
        <w:t xml:space="preserve">Instalación y configuración de Windows Server Failover Clustering (WSFC) en los nodos participantes.</w:t>
      </w:r>
    </w:p>
    <w:p>
      <w:pPr>
        <w:pStyle w:val="ListParagraph"/>
        <w:numPr>
          <w:ilvl w:val="0"/>
          <w:numId w:val="2"/>
        </w:numPr>
        <w:spacing w:before="60" w:after="60"/>
      </w:pPr>
      <w:r>
        <w:rPr>
          <w:rFonts w:ascii="Arial" w:cs="Arial" w:eastAsia="Arial" w:hAnsi="Arial"/>
          <w:b w:val="false"/>
          <w:bCs w:val="false"/>
          <w:sz w:val="22"/>
          <w:szCs w:val="22"/>
        </w:rPr>
        <w:t xml:space="preserve">Instalación de SQL Server Enterprise Edition en todos los nodos del cluster.</w:t>
      </w:r>
    </w:p>
    <w:p>
      <w:pPr>
        <w:pStyle w:val="ListParagraph"/>
        <w:numPr>
          <w:ilvl w:val="0"/>
          <w:numId w:val="2"/>
        </w:numPr>
        <w:spacing w:before="60" w:after="60"/>
      </w:pPr>
      <w:r>
        <w:rPr>
          <w:rFonts w:ascii="Arial" w:cs="Arial" w:eastAsia="Arial" w:hAnsi="Arial"/>
          <w:b w:val="false"/>
          <w:bCs w:val="false"/>
          <w:sz w:val="22"/>
          <w:szCs w:val="22"/>
        </w:rPr>
        <w:t xml:space="preserve">Configuración de Always On Availability Groups con réplicas síncrona y asíncrona según diseño aprobado.</w:t>
      </w:r>
    </w:p>
    <w:p>
      <w:pPr>
        <w:pStyle w:val="ListParagraph"/>
        <w:numPr>
          <w:ilvl w:val="0"/>
          <w:numId w:val="2"/>
        </w:numPr>
        <w:spacing w:before="60" w:after="60"/>
      </w:pPr>
      <w:r>
        <w:rPr>
          <w:rFonts w:ascii="Arial" w:cs="Arial" w:eastAsia="Arial" w:hAnsi="Arial"/>
          <w:b w:val="false"/>
          <w:bCs w:val="false"/>
          <w:sz w:val="22"/>
          <w:szCs w:val="22"/>
        </w:rPr>
        <w:t xml:space="preserve">Creación y configuración del Availability Group Listener (nombre virtual + IP virtual).</w:t>
      </w:r>
    </w:p>
    <w:p>
      <w:pPr>
        <w:pStyle w:val="ListParagraph"/>
        <w:numPr>
          <w:ilvl w:val="0"/>
          <w:numId w:val="2"/>
        </w:numPr>
        <w:spacing w:before="60" w:after="60"/>
      </w:pPr>
      <w:r>
        <w:rPr>
          <w:rFonts w:ascii="Arial" w:cs="Arial" w:eastAsia="Arial" w:hAnsi="Arial"/>
          <w:b w:val="false"/>
          <w:bCs w:val="false"/>
          <w:sz w:val="22"/>
          <w:szCs w:val="22"/>
        </w:rPr>
        <w:t xml:space="preserve">Migración de todas las bases de datos productivas y de soporte al grupo de disponibilidad.</w:t>
      </w:r>
    </w:p>
    <w:p>
      <w:pPr>
        <w:pStyle w:val="ListParagraph"/>
        <w:numPr>
          <w:ilvl w:val="0"/>
          <w:numId w:val="2"/>
        </w:numPr>
        <w:spacing w:before="60" w:after="60"/>
      </w:pPr>
      <w:r>
        <w:rPr>
          <w:rFonts w:ascii="Arial" w:cs="Arial" w:eastAsia="Arial" w:hAnsi="Arial"/>
          <w:b w:val="false"/>
          <w:bCs w:val="false"/>
          <w:sz w:val="22"/>
          <w:szCs w:val="22"/>
        </w:rPr>
        <w:t xml:space="preserve">Actualización de cadenas de conexión en aplicaciones, servicios Windows, APIs y jobs de SQL Agent.</w:t>
      </w:r>
    </w:p>
    <w:p>
      <w:pPr>
        <w:pStyle w:val="ListParagraph"/>
        <w:numPr>
          <w:ilvl w:val="0"/>
          <w:numId w:val="2"/>
        </w:numPr>
        <w:spacing w:before="60" w:after="60"/>
      </w:pPr>
      <w:r>
        <w:rPr>
          <w:rFonts w:ascii="Arial" w:cs="Arial" w:eastAsia="Arial" w:hAnsi="Arial"/>
          <w:b w:val="false"/>
          <w:bCs w:val="false"/>
          <w:sz w:val="22"/>
          <w:szCs w:val="22"/>
        </w:rPr>
        <w:t xml:space="preserve">Configuración de Read-Only Routing para enrutar automáticamente consultas de lectura a la réplica secundaria.</w:t>
      </w:r>
    </w:p>
    <w:p>
      <w:pPr>
        <w:pStyle w:val="ListParagraph"/>
        <w:numPr>
          <w:ilvl w:val="0"/>
          <w:numId w:val="2"/>
        </w:numPr>
        <w:spacing w:before="60" w:after="60"/>
      </w:pPr>
      <w:r>
        <w:rPr>
          <w:rFonts w:ascii="Arial" w:cs="Arial" w:eastAsia="Arial" w:hAnsi="Arial"/>
          <w:b w:val="false"/>
          <w:bCs w:val="false"/>
          <w:sz w:val="22"/>
          <w:szCs w:val="22"/>
        </w:rPr>
        <w:t xml:space="preserve">Validación funcional y pruebas de failover manual y automático.</w:t>
      </w:r>
    </w:p>
    <w:p>
      <w:pPr>
        <w:pStyle w:val="ListParagraph"/>
        <w:numPr>
          <w:ilvl w:val="0"/>
          <w:numId w:val="2"/>
        </w:numPr>
        <w:spacing w:before="60" w:after="60"/>
      </w:pPr>
      <w:r>
        <w:rPr>
          <w:rFonts w:ascii="Arial" w:cs="Arial" w:eastAsia="Arial" w:hAnsi="Arial"/>
          <w:b w:val="false"/>
          <w:bCs w:val="false"/>
          <w:sz w:val="22"/>
          <w:szCs w:val="22"/>
        </w:rPr>
        <w:t xml:space="preserve">Monitoreo post-migración durante 30 días con SLA definido.</w:t>
      </w:r>
    </w:p>
    <w:p>
      <w:pPr>
        <w:pStyle w:val="ListParagraph"/>
        <w:numPr>
          <w:ilvl w:val="0"/>
          <w:numId w:val="2"/>
        </w:numPr>
        <w:spacing w:before="60" w:after="60"/>
      </w:pPr>
      <w:r>
        <w:rPr>
          <w:rFonts w:ascii="Arial" w:cs="Arial" w:eastAsia="Arial" w:hAnsi="Arial"/>
          <w:b w:val="false"/>
          <w:bCs w:val="false"/>
          <w:sz w:val="22"/>
          <w:szCs w:val="22"/>
        </w:rPr>
        <w:t xml:space="preserve">Documentación técnica final: arquitectura, runbooks y procedimientos de failover.</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3.2  Fuera del Alcance</w:t>
      </w:r>
    </w:p>
    <w:p>
      <w:pPr>
        <w:pStyle w:val="ListParagraph"/>
        <w:numPr>
          <w:ilvl w:val="0"/>
          <w:numId w:val="2"/>
        </w:numPr>
        <w:spacing w:before="60" w:after="60"/>
      </w:pPr>
      <w:r>
        <w:rPr>
          <w:rFonts w:ascii="Arial" w:cs="Arial" w:eastAsia="Arial" w:hAnsi="Arial"/>
          <w:b w:val="false"/>
          <w:bCs w:val="false"/>
          <w:sz w:val="22"/>
          <w:szCs w:val="22"/>
        </w:rPr>
        <w:t xml:space="preserve">Rediseño del modelo de datos o esquema de las bases de datos existentes.</w:t>
      </w:r>
    </w:p>
    <w:p>
      <w:pPr>
        <w:pStyle w:val="ListParagraph"/>
        <w:numPr>
          <w:ilvl w:val="0"/>
          <w:numId w:val="2"/>
        </w:numPr>
        <w:spacing w:before="60" w:after="60"/>
      </w:pPr>
      <w:r>
        <w:rPr>
          <w:rFonts w:ascii="Arial" w:cs="Arial" w:eastAsia="Arial" w:hAnsi="Arial"/>
          <w:b w:val="false"/>
          <w:bCs w:val="false"/>
          <w:sz w:val="22"/>
          <w:szCs w:val="22"/>
        </w:rPr>
        <w:t xml:space="preserve">Desarrollo o modificación de lógica de negocio en aplicaciones cliente.</w:t>
      </w:r>
    </w:p>
    <w:p>
      <w:pPr>
        <w:pStyle w:val="ListParagraph"/>
        <w:numPr>
          <w:ilvl w:val="0"/>
          <w:numId w:val="2"/>
        </w:numPr>
        <w:spacing w:before="60" w:after="60"/>
      </w:pPr>
      <w:r>
        <w:rPr>
          <w:rFonts w:ascii="Arial" w:cs="Arial" w:eastAsia="Arial" w:hAnsi="Arial"/>
          <w:b w:val="false"/>
          <w:bCs w:val="false"/>
          <w:sz w:val="22"/>
          <w:szCs w:val="22"/>
        </w:rPr>
        <w:t xml:space="preserve">Migración de bases de datos de ambientes de desarrollo, QA o staging (salvo que se solicite por separado).</w:t>
      </w:r>
    </w:p>
    <w:p>
      <w:pPr>
        <w:pStyle w:val="ListParagraph"/>
        <w:numPr>
          <w:ilvl w:val="0"/>
          <w:numId w:val="2"/>
        </w:numPr>
        <w:spacing w:before="60" w:after="60"/>
      </w:pPr>
      <w:r>
        <w:rPr>
          <w:rFonts w:ascii="Arial" w:cs="Arial" w:eastAsia="Arial" w:hAnsi="Arial"/>
          <w:b w:val="false"/>
          <w:bCs w:val="false"/>
          <w:sz w:val="22"/>
          <w:szCs w:val="22"/>
        </w:rPr>
        <w:t xml:space="preserve">Implementación de SQL Always On en entornos en la nube (Azure, AWS) — aplica solo a infraestructura on-premises.</w:t>
      </w:r>
    </w:p>
    <w:p>
      <w:pPr>
        <w:pStyle w:val="ListParagraph"/>
        <w:numPr>
          <w:ilvl w:val="0"/>
          <w:numId w:val="2"/>
        </w:numPr>
        <w:spacing w:before="60" w:after="60"/>
      </w:pPr>
      <w:r>
        <w:rPr>
          <w:rFonts w:ascii="Arial" w:cs="Arial" w:eastAsia="Arial" w:hAnsi="Arial"/>
          <w:b w:val="false"/>
          <w:bCs w:val="false"/>
          <w:sz w:val="22"/>
          <w:szCs w:val="22"/>
        </w:rPr>
        <w:t xml:space="preserve">Reemplazo de instancias con versiones anteriores a SQL Server 2016 que no soporten Always On.</w:t>
      </w:r>
    </w:p>
    <w:p>
      <w:pPr>
        <w:pStyle w:val="ListParagraph"/>
        <w:numPr>
          <w:ilvl w:val="0"/>
          <w:numId w:val="2"/>
        </w:numPr>
        <w:spacing w:before="60" w:after="60"/>
      </w:pPr>
      <w:r>
        <w:rPr>
          <w:rFonts w:ascii="Arial" w:cs="Arial" w:eastAsia="Arial" w:hAnsi="Arial"/>
          <w:b w:val="false"/>
          <w:bCs w:val="false"/>
          <w:sz w:val="22"/>
          <w:szCs w:val="22"/>
        </w:rPr>
        <w:t xml:space="preserve">Configuración de Distributed Availability Groups entre datacenters geográficamente separados.</w:t>
      </w:r>
    </w:p>
    <w:p>
      <w:pPr>
        <w:pStyle w:val="ListParagraph"/>
        <w:numPr>
          <w:ilvl w:val="0"/>
          <w:numId w:val="2"/>
        </w:numPr>
        <w:spacing w:before="60" w:after="60"/>
      </w:pPr>
      <w:r>
        <w:rPr>
          <w:rFonts w:ascii="Arial" w:cs="Arial" w:eastAsia="Arial" w:hAnsi="Arial"/>
          <w:b w:val="false"/>
          <w:bCs w:val="false"/>
          <w:sz w:val="22"/>
          <w:szCs w:val="22"/>
        </w:rPr>
        <w:t xml:space="preserve">Licenciamiento de SQL Server (se asume que el cliente ya cuenta con licencias Enterprise Edition).</w:t>
      </w:r>
    </w:p>
    <w:p>
      <w:pPr>
        <w:pStyle w:val="ListParagraph"/>
        <w:numPr>
          <w:ilvl w:val="0"/>
          <w:numId w:val="2"/>
        </w:numPr>
        <w:spacing w:before="60" w:after="60"/>
      </w:pPr>
      <w:r>
        <w:rPr>
          <w:rFonts w:ascii="Arial" w:cs="Arial" w:eastAsia="Arial" w:hAnsi="Arial"/>
          <w:b w:val="false"/>
          <w:bCs w:val="false"/>
          <w:sz w:val="22"/>
          <w:szCs w:val="22"/>
        </w:rPr>
        <w:t xml:space="preserve">Soporte a aplicaciones legadas que no soporten Application Intent en la cadena de conexión.</w:t>
      </w:r>
    </w:p>
    <w:p>
      <w:pPr>
        <w:spacing w:before="120" w:after="0"/>
      </w:pPr>
      <w:r>
        <w:t xml:space="preserve"/>
      </w:r>
    </w:p>
    <w:p>
      <w:pPr>
        <w:pBdr>
          <w:bottom w:val="single" w:color="2E75B6" w:sz="6" w:space="1"/>
        </w:pBdr>
        <w:spacing w:before="200" w:after="200"/>
      </w:pPr>
      <w:r>
        <w:rPr>
          <w:rFonts w:ascii="Arial" w:cs="Arial" w:eastAsia="Arial" w:hAnsi="Arial"/>
          <w:b/>
          <w:bCs/>
          <w:color w:val="1F3864"/>
          <w:sz w:val="32"/>
          <w:szCs w:val="32"/>
        </w:rPr>
        <w:t xml:space="preserve">4.  Recursos Técnicos</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4.1  Infraestructura de Servidores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600"/>
        <w:gridCol w:w="1560"/>
      </w:tblGrid>
      <w:tr>
        <w:tc>
          <w:tcPr>
            <w:tcW w:type="dxa" w:w="22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Componente</w:t>
            </w:r>
          </w:p>
        </w:tc>
        <w:tc>
          <w:tcPr>
            <w:tcW w:type="dxa" w:w="20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w:t>
            </w:r>
          </w:p>
        </w:tc>
        <w:tc>
          <w:tcPr>
            <w:tcW w:type="dxa" w:w="20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CPU / RAM</w:t>
            </w:r>
          </w:p>
        </w:tc>
        <w:tc>
          <w:tcPr>
            <w:tcW w:type="dxa" w:w="16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Almacenamiento</w:t>
            </w:r>
          </w:p>
        </w:tc>
        <w:tc>
          <w:tcPr>
            <w:tcW w:type="dxa" w:w="15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Nodo 1 (Primario)</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Réplica Primaria (R/W)</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16 vCPU / 64 GB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SSD 500 GB + 2 TB datos</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Windows 2019/2022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Nodo 2 (Secundario)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Réplica Síncrona (R/O)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16 vCPU / 64 GB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SSD 500 GB + 2 TB datos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Windows 2019/2022</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Nodo 3 (Quórum)</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Réplica Asíncrona / DR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vCPU / 32 GB</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SSD 500 GB + 2 TB datos</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Windows 2019/2022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File Share Witness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Quórum WSFC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Compartida / Ligera</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 GB</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Windows Server</w:t>
            </w:r>
          </w:p>
        </w:tc>
      </w:tr>
    </w:tbl>
    <w:p>
      <w:pPr>
        <w:spacing w:before="60" w:after="0"/>
      </w:pPr>
      <w:r>
        <w:t xml:space="preserve"/>
      </w:r>
    </w:p>
    <w:p>
      <w:pPr>
        <w:pStyle w:val="Heading2"/>
        <w:spacing w:before="280" w:after="100"/>
      </w:pPr>
      <w:r>
        <w:rPr>
          <w:rFonts w:ascii="Arial" w:cs="Arial" w:eastAsia="Arial" w:hAnsi="Arial"/>
          <w:b/>
          <w:bCs/>
          <w:color w:val="2E75B6"/>
          <w:sz w:val="28"/>
          <w:szCs w:val="28"/>
        </w:rPr>
        <w:t xml:space="preserve">4.2  Software y Licencias</w:t>
      </w:r>
    </w:p>
    <w:p>
      <w:pPr>
        <w:pStyle w:val="ListParagraph"/>
        <w:numPr>
          <w:ilvl w:val="0"/>
          <w:numId w:val="2"/>
        </w:numPr>
        <w:spacing w:before="60" w:after="60"/>
      </w:pPr>
      <w:r>
        <w:rPr>
          <w:rFonts w:ascii="Arial" w:cs="Arial" w:eastAsia="Arial" w:hAnsi="Arial"/>
          <w:b w:val="false"/>
          <w:bCs w:val="false"/>
          <w:sz w:val="22"/>
          <w:szCs w:val="22"/>
        </w:rPr>
        <w:t xml:space="preserve">SQL Server Enterprise Edition (todas las instancias).</w:t>
      </w:r>
    </w:p>
    <w:p>
      <w:pPr>
        <w:pStyle w:val="ListParagraph"/>
        <w:numPr>
          <w:ilvl w:val="0"/>
          <w:numId w:val="2"/>
        </w:numPr>
        <w:spacing w:before="60" w:after="60"/>
      </w:pPr>
      <w:r>
        <w:rPr>
          <w:rFonts w:ascii="Arial" w:cs="Arial" w:eastAsia="Arial" w:hAnsi="Arial"/>
          <w:b w:val="false"/>
          <w:bCs w:val="false"/>
          <w:sz w:val="22"/>
          <w:szCs w:val="22"/>
        </w:rPr>
        <w:t xml:space="preserve">Windows Server Datacenter / Standard 2019 o 2022.</w:t>
      </w:r>
    </w:p>
    <w:p>
      <w:pPr>
        <w:pStyle w:val="ListParagraph"/>
        <w:numPr>
          <w:ilvl w:val="0"/>
          <w:numId w:val="2"/>
        </w:numPr>
        <w:spacing w:before="60" w:after="60"/>
      </w:pPr>
      <w:r>
        <w:rPr>
          <w:rFonts w:ascii="Arial" w:cs="Arial" w:eastAsia="Arial" w:hAnsi="Arial"/>
          <w:b w:val="false"/>
          <w:bCs w:val="false"/>
          <w:sz w:val="22"/>
          <w:szCs w:val="22"/>
        </w:rPr>
        <w:t xml:space="preserve">Windows Server Failover Clustering (WSFC) — incluido en Windows Server.</w:t>
      </w:r>
    </w:p>
    <w:p>
      <w:pPr>
        <w:pStyle w:val="ListParagraph"/>
        <w:numPr>
          <w:ilvl w:val="0"/>
          <w:numId w:val="2"/>
        </w:numPr>
        <w:spacing w:before="60" w:after="60"/>
      </w:pPr>
      <w:r>
        <w:rPr>
          <w:rFonts w:ascii="Arial" w:cs="Arial" w:eastAsia="Arial" w:hAnsi="Arial"/>
          <w:b w:val="false"/>
          <w:bCs w:val="false"/>
          <w:sz w:val="22"/>
          <w:szCs w:val="22"/>
        </w:rPr>
        <w:t xml:space="preserve">SQL Server Management Studio (SSMS) 19+.</w:t>
      </w:r>
    </w:p>
    <w:p>
      <w:pPr>
        <w:pStyle w:val="ListParagraph"/>
        <w:numPr>
          <w:ilvl w:val="0"/>
          <w:numId w:val="2"/>
        </w:numPr>
        <w:spacing w:before="60" w:after="60"/>
      </w:pPr>
      <w:r>
        <w:rPr>
          <w:rFonts w:ascii="Arial" w:cs="Arial" w:eastAsia="Arial" w:hAnsi="Arial"/>
          <w:b w:val="false"/>
          <w:bCs w:val="false"/>
          <w:sz w:val="22"/>
          <w:szCs w:val="22"/>
        </w:rPr>
        <w:t xml:space="preserve">Monitor: SQL Server Dashboard, Grafana + Telegraf (opcional), o herramienta existente del cliente.</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4.3  Red y Conectividad</w:t>
      </w:r>
    </w:p>
    <w:p>
      <w:pPr>
        <w:pStyle w:val="ListParagraph"/>
        <w:numPr>
          <w:ilvl w:val="0"/>
          <w:numId w:val="2"/>
        </w:numPr>
        <w:spacing w:before="60" w:after="60"/>
      </w:pPr>
      <w:r>
        <w:rPr>
          <w:rFonts w:ascii="Arial" w:cs="Arial" w:eastAsia="Arial" w:hAnsi="Arial"/>
          <w:b w:val="false"/>
          <w:bCs w:val="false"/>
          <w:sz w:val="22"/>
          <w:szCs w:val="22"/>
        </w:rPr>
        <w:t xml:space="preserve">Mínimo 1 Gbps de red dedicada entre nodos (recomendado 10 Gbps).</w:t>
      </w:r>
    </w:p>
    <w:p>
      <w:pPr>
        <w:pStyle w:val="ListParagraph"/>
        <w:numPr>
          <w:ilvl w:val="0"/>
          <w:numId w:val="2"/>
        </w:numPr>
        <w:spacing w:before="60" w:after="60"/>
      </w:pPr>
      <w:r>
        <w:rPr>
          <w:rFonts w:ascii="Arial" w:cs="Arial" w:eastAsia="Arial" w:hAnsi="Arial"/>
          <w:b w:val="false"/>
          <w:bCs w:val="false"/>
          <w:sz w:val="22"/>
          <w:szCs w:val="22"/>
        </w:rPr>
        <w:t xml:space="preserve">Segmento de red privado para replicación (separado del tráfico de aplicación).</w:t>
      </w:r>
    </w:p>
    <w:p>
      <w:pPr>
        <w:pStyle w:val="ListParagraph"/>
        <w:numPr>
          <w:ilvl w:val="0"/>
          <w:numId w:val="2"/>
        </w:numPr>
        <w:spacing w:before="60" w:after="60"/>
      </w:pPr>
      <w:r>
        <w:rPr>
          <w:rFonts w:ascii="Arial" w:cs="Arial" w:eastAsia="Arial" w:hAnsi="Arial"/>
          <w:b w:val="false"/>
          <w:bCs w:val="false"/>
          <w:sz w:val="22"/>
          <w:szCs w:val="22"/>
        </w:rPr>
        <w:t xml:space="preserve">IP virtual para el Availability Group Listener (accesible desde servidores de aplicación).</w:t>
      </w:r>
    </w:p>
    <w:p>
      <w:pPr>
        <w:pStyle w:val="ListParagraph"/>
        <w:numPr>
          <w:ilvl w:val="0"/>
          <w:numId w:val="2"/>
        </w:numPr>
        <w:spacing w:before="60" w:after="60"/>
      </w:pPr>
      <w:r>
        <w:rPr>
          <w:rFonts w:ascii="Arial" w:cs="Arial" w:eastAsia="Arial" w:hAnsi="Arial"/>
          <w:b w:val="false"/>
          <w:bCs w:val="false"/>
          <w:sz w:val="22"/>
          <w:szCs w:val="22"/>
        </w:rPr>
        <w:t xml:space="preserve">Reglas de firewall habilitadas: TCP 1433 (SQL), TCP 5022 (endpoint de mirroring Always On).</w:t>
      </w:r>
    </w:p>
    <w:p>
      <w:pPr>
        <w:spacing w:before="120" w:after="0"/>
      </w:pPr>
      <w:r>
        <w:t xml:space="preserve"/>
      </w:r>
    </w:p>
    <w:p>
      <w:pPr>
        <w:pBdr>
          <w:bottom w:val="single" w:color="2E75B6" w:sz="6" w:space="1"/>
        </w:pBdr>
        <w:spacing w:before="200" w:after="200"/>
      </w:pPr>
      <w:r>
        <w:rPr>
          <w:rFonts w:ascii="Arial" w:cs="Arial" w:eastAsia="Arial" w:hAnsi="Arial"/>
          <w:b/>
          <w:bCs/>
          <w:color w:val="1F3864"/>
          <w:sz w:val="32"/>
          <w:szCs w:val="32"/>
        </w:rPr>
        <w:t xml:space="preserve">5.  Recursos Humanos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560"/>
        <w:gridCol w:w="2400"/>
      </w:tblGrid>
      <w:tr>
        <w:tc>
          <w:tcPr>
            <w:tcW w:type="dxa" w:w="28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w:t>
            </w:r>
          </w:p>
        </w:tc>
        <w:tc>
          <w:tcPr>
            <w:tcW w:type="dxa" w:w="26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Responsabilidades</w:t>
            </w:r>
          </w:p>
        </w:tc>
        <w:tc>
          <w:tcPr>
            <w:tcW w:type="dxa" w:w="15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Dedicación</w:t>
            </w:r>
          </w:p>
        </w:tc>
        <w:tc>
          <w:tcPr>
            <w:tcW w:type="dxa" w:w="24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Perfil Requerido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DBA Senior / Arquitecto SQL</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Diseño, configuración de Always On, migración y pruebas</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 Proyecto</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años SQL Server, cert. MCSA/MCSE deseable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Administrador de Infraestructura / Windows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Configuración de WSFC, red, servidores y S.O.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 Proyecto</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Windows Server, clustering, AD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Desarrollador / Arquitecto de Software</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Actualización de cadenas de conexión en aplicaciones y APIs</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 Proyecto</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Conocimiento de stack tecnológico de aplicaciones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Líder de Proyecto / PMO</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Coordinación, seguimiento, control de cambios y comunicación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 Proyecto</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PMP o equivalente, experiencia en proyectos TI</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QA / Tester</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Pruebas funcionales, regresión y validación de failover</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 Proyecto</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Pruebas de base de datos y aplicaciones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Responsable de Seguridad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Revisión de permisos, certificados y configuración de seguridad</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 Proyecto</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Seguridad en SQL Server y Windows</w:t>
            </w:r>
          </w:p>
        </w:tc>
      </w:tr>
    </w:tbl>
    <w:p>
      <w:pPr>
        <w:spacing w:before="120" w:after="0"/>
      </w:pPr>
      <w:r>
        <w:t xml:space="preserve"/>
      </w:r>
    </w:p>
    <w:p>
      <w:pPr>
        <w:pBdr>
          <w:bottom w:val="single" w:color="2E75B6" w:sz="6" w:space="1"/>
        </w:pBdr>
        <w:spacing w:before="200" w:after="200"/>
      </w:pPr>
      <w:r>
        <w:rPr>
          <w:rFonts w:ascii="Arial" w:cs="Arial" w:eastAsia="Arial" w:hAnsi="Arial"/>
          <w:b/>
          <w:bCs/>
          <w:color w:val="1F3864"/>
          <w:sz w:val="32"/>
          <w:szCs w:val="32"/>
        </w:rPr>
        <w:t xml:space="preserve">6.  Cambio de Cadenas de Conexión</w:t>
      </w:r>
    </w:p>
    <w:p>
      <w:pPr>
        <w:spacing w:before="60" w:after="0"/>
      </w:pPr>
      <w:r>
        <w:t xml:space="preserve"/>
      </w:r>
    </w:p>
    <w:p>
      <w:pPr>
        <w:spacing w:before="80" w:after="80"/>
      </w:pPr>
      <w:r>
        <w:rPr>
          <w:rFonts w:ascii="Arial" w:cs="Arial" w:eastAsia="Arial" w:hAnsi="Arial"/>
          <w:sz w:val="22"/>
          <w:szCs w:val="22"/>
        </w:rPr>
        <w:t xml:space="preserve">El cambio de cadenas de conexión es uno de los pasos más críticos de la migración. Se deben identificar TODOS los puntos de integración que hoy apuntan directamente al servidor SQL actual y redirigirlos al Availability Group Listener.</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6.1  Inventario de Conexiones</w:t>
      </w:r>
    </w:p>
    <w:p>
      <w:pPr>
        <w:spacing w:before="80" w:after="80"/>
      </w:pPr>
      <w:r>
        <w:rPr>
          <w:rFonts w:ascii="Arial" w:cs="Arial" w:eastAsia="Arial" w:hAnsi="Arial"/>
          <w:sz w:val="22"/>
          <w:szCs w:val="22"/>
        </w:rPr>
        <w:t xml:space="preserve">Antes de realizar cualquier cambio se debe levantar un inventario completo que incluya:</w:t>
      </w:r>
    </w:p>
    <w:p>
      <w:pPr>
        <w:pStyle w:val="ListParagraph"/>
        <w:numPr>
          <w:ilvl w:val="0"/>
          <w:numId w:val="2"/>
        </w:numPr>
        <w:spacing w:before="60" w:after="60"/>
      </w:pPr>
      <w:r>
        <w:rPr>
          <w:rFonts w:ascii="Arial" w:cs="Arial" w:eastAsia="Arial" w:hAnsi="Arial"/>
          <w:b w:val="false"/>
          <w:bCs w:val="false"/>
          <w:sz w:val="22"/>
          <w:szCs w:val="22"/>
        </w:rPr>
        <w:t xml:space="preserve">Aplicaciones web (ASP.NET, Java, Node.js, Python, etc.) y sus archivos de configuración (web.config, appsettings.json, .env).</w:t>
      </w:r>
    </w:p>
    <w:p>
      <w:pPr>
        <w:pStyle w:val="ListParagraph"/>
        <w:numPr>
          <w:ilvl w:val="0"/>
          <w:numId w:val="2"/>
        </w:numPr>
        <w:spacing w:before="60" w:after="60"/>
      </w:pPr>
      <w:r>
        <w:rPr>
          <w:rFonts w:ascii="Arial" w:cs="Arial" w:eastAsia="Arial" w:hAnsi="Arial"/>
          <w:b w:val="false"/>
          <w:bCs w:val="false"/>
          <w:sz w:val="22"/>
          <w:szCs w:val="22"/>
        </w:rPr>
        <w:t xml:space="preserve">Servicios Windows y microservicios con cadenas de conexión en variables de entorno o archivos de configuración.</w:t>
      </w:r>
    </w:p>
    <w:p>
      <w:pPr>
        <w:pStyle w:val="ListParagraph"/>
        <w:numPr>
          <w:ilvl w:val="0"/>
          <w:numId w:val="2"/>
        </w:numPr>
        <w:spacing w:before="60" w:after="60"/>
      </w:pPr>
      <w:r>
        <w:rPr>
          <w:rFonts w:ascii="Arial" w:cs="Arial" w:eastAsia="Arial" w:hAnsi="Arial"/>
          <w:b w:val="false"/>
          <w:bCs w:val="false"/>
          <w:sz w:val="22"/>
          <w:szCs w:val="22"/>
        </w:rPr>
        <w:t xml:space="preserve">Jobs y tareas programadas de SQL Server Agent que referencien servidores vinculados.</w:t>
      </w:r>
    </w:p>
    <w:p>
      <w:pPr>
        <w:pStyle w:val="ListParagraph"/>
        <w:numPr>
          <w:ilvl w:val="0"/>
          <w:numId w:val="2"/>
        </w:numPr>
        <w:spacing w:before="60" w:after="60"/>
      </w:pPr>
      <w:r>
        <w:rPr>
          <w:rFonts w:ascii="Arial" w:cs="Arial" w:eastAsia="Arial" w:hAnsi="Arial"/>
          <w:b w:val="false"/>
          <w:bCs w:val="false"/>
          <w:sz w:val="22"/>
          <w:szCs w:val="22"/>
        </w:rPr>
        <w:t xml:space="preserve">Servidores vinculados (Linked Servers) que apunten a la instancia actual.</w:t>
      </w:r>
    </w:p>
    <w:p>
      <w:pPr>
        <w:pStyle w:val="ListParagraph"/>
        <w:numPr>
          <w:ilvl w:val="0"/>
          <w:numId w:val="2"/>
        </w:numPr>
        <w:spacing w:before="60" w:after="60"/>
      </w:pPr>
      <w:r>
        <w:rPr>
          <w:rFonts w:ascii="Arial" w:cs="Arial" w:eastAsia="Arial" w:hAnsi="Arial"/>
          <w:b w:val="false"/>
          <w:bCs w:val="false"/>
          <w:sz w:val="22"/>
          <w:szCs w:val="22"/>
        </w:rPr>
        <w:t xml:space="preserve">Herramientas de BI, reportes (SSRS, Power BI) y ETL (SSIS) que tengan cadenas de conexión hardcodeadas.</w:t>
      </w:r>
    </w:p>
    <w:p>
      <w:pPr>
        <w:pStyle w:val="ListParagraph"/>
        <w:numPr>
          <w:ilvl w:val="0"/>
          <w:numId w:val="2"/>
        </w:numPr>
        <w:spacing w:before="60" w:after="60"/>
      </w:pPr>
      <w:r>
        <w:rPr>
          <w:rFonts w:ascii="Arial" w:cs="Arial" w:eastAsia="Arial" w:hAnsi="Arial"/>
          <w:b w:val="false"/>
          <w:bCs w:val="false"/>
          <w:sz w:val="22"/>
          <w:szCs w:val="22"/>
        </w:rPr>
        <w:t xml:space="preserve">Scripts de mantenimiento, backups y monitoreo.</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6.2  Cadena de Conexión — Antes y Después</w:t>
      </w:r>
    </w:p>
    <w:p>
      <w:pPr>
        <w:spacing w:before="60" w:after="0"/>
      </w:pPr>
      <w:r>
        <w:t xml:space="preserve"/>
      </w:r>
    </w:p>
    <w:p>
      <w:pPr>
        <w:spacing w:before="200" w:after="80"/>
      </w:pPr>
      <w:r>
        <w:rPr>
          <w:rFonts w:ascii="Arial" w:cs="Arial" w:eastAsia="Arial" w:hAnsi="Arial"/>
          <w:b/>
          <w:bCs/>
          <w:color w:val="1F3864"/>
          <w:sz w:val="24"/>
          <w:szCs w:val="24"/>
        </w:rPr>
        <w:t xml:space="preserve">Escritura (Read/Write) — apunta siempre al Primario:</w:t>
      </w:r>
    </w:p>
    <w:p>
      <w:pPr>
        <w:shd w:fill="1E1E1E" w:val="clear"/>
        <w:spacing w:before="80" w:after="80"/>
      </w:pPr>
      <w:r>
        <w:rPr>
          <w:rFonts w:ascii="Courier New" w:cs="Courier New" w:eastAsia="Courier New" w:hAnsi="Courier New"/>
          <w:color w:val="00FF00"/>
          <w:sz w:val="18"/>
          <w:szCs w:val="18"/>
        </w:rPr>
        <w:t xml:space="preserve">Server=&lt;ListenerName&gt;,1433;Database=&lt;DBName&gt;;Integrated Security=True;MultiSubnetFailover=True;</w:t>
      </w:r>
    </w:p>
    <w:p>
      <w:pPr>
        <w:spacing w:before="60" w:after="0"/>
      </w:pPr>
      <w:r>
        <w:t xml:space="preserve"/>
      </w:r>
    </w:p>
    <w:p>
      <w:pPr>
        <w:spacing w:before="200" w:after="80"/>
      </w:pPr>
      <w:r>
        <w:rPr>
          <w:rFonts w:ascii="Arial" w:cs="Arial" w:eastAsia="Arial" w:hAnsi="Arial"/>
          <w:b/>
          <w:bCs/>
          <w:color w:val="1F3864"/>
          <w:sz w:val="24"/>
          <w:szCs w:val="24"/>
        </w:rPr>
        <w:t xml:space="preserve">Lectura (Read-Only) — enruta automáticamente a la Secundaria:</w:t>
      </w:r>
    </w:p>
    <w:p>
      <w:pPr>
        <w:shd w:fill="1E1E1E" w:val="clear"/>
        <w:spacing w:before="80" w:after="80"/>
      </w:pPr>
      <w:r>
        <w:rPr>
          <w:rFonts w:ascii="Courier New" w:cs="Courier New" w:eastAsia="Courier New" w:hAnsi="Courier New"/>
          <w:color w:val="00FF00"/>
          <w:sz w:val="18"/>
          <w:szCs w:val="18"/>
        </w:rPr>
        <w:t xml:space="preserve">Server=&lt;ListenerName&gt;,1433;Database=&lt;DBName&gt;;Integrated Security=True;MultiSubnetFailover=True;ApplicationIntent=ReadOnly;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Parámetro</w:t>
            </w:r>
          </w:p>
        </w:tc>
        <w:tc>
          <w:tcPr>
            <w:tcW w:type="dxa" w:w="378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ANTES (Standalone)</w:t>
            </w:r>
          </w:p>
        </w:tc>
        <w:tc>
          <w:tcPr>
            <w:tcW w:type="dxa" w:w="378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DESPUÉS (Always On Listener)</w:t>
            </w:r>
          </w:p>
        </w:tc>
      </w:tr>
      <w:tr>
        <w:tc>
          <w:tcPr>
            <w:tcW w:type="dxa" w:w="1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bCs/>
                <w:sz w:val="20"/>
                <w:szCs w:val="20"/>
              </w:rPr>
              <w:t xml:space="preserve">Server</w:t>
            </w:r>
          </w:p>
        </w:tc>
        <w:tc>
          <w:tcPr>
            <w:tcW w:type="dxa" w:w="378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Server=SQL-PROD-01</w:t>
            </w:r>
          </w:p>
        </w:tc>
        <w:tc>
          <w:tcPr>
            <w:tcW w:type="dxa" w:w="37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Server=AG-LISTENER-NAME,1433</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MultiSubnetFailover</w:t>
            </w:r>
          </w:p>
        </w:tc>
        <w:tc>
          <w:tcPr>
            <w:tcW w:type="dxa" w:w="3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presente)</w:t>
            </w:r>
          </w:p>
        </w:tc>
        <w:tc>
          <w:tcPr>
            <w:tcW w:type="dxa" w:w="37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MultiSubnetFailover=True</w:t>
            </w:r>
          </w:p>
        </w:tc>
      </w:tr>
      <w:tr>
        <w:tc>
          <w:tcPr>
            <w:tcW w:type="dxa" w:w="1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bCs/>
                <w:sz w:val="20"/>
                <w:szCs w:val="20"/>
              </w:rPr>
              <w:t xml:space="preserve">ApplicationIntent</w:t>
            </w:r>
          </w:p>
        </w:tc>
        <w:tc>
          <w:tcPr>
            <w:tcW w:type="dxa" w:w="378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aplica)</w:t>
            </w:r>
          </w:p>
        </w:tc>
        <w:tc>
          <w:tcPr>
            <w:tcW w:type="dxa" w:w="37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ReadOnly (lecturas) / omitir (escrituras)</w:t>
            </w:r>
          </w:p>
        </w:tc>
      </w:tr>
    </w:tbl>
    <w:p>
      <w:pPr>
        <w:spacing w:before="60" w:after="0"/>
      </w:pPr>
      <w:r>
        <w:t xml:space="preserve"/>
      </w:r>
    </w:p>
    <w:p>
      <w:pPr>
        <w:pStyle w:val="Heading2"/>
        <w:spacing w:before="280" w:after="100"/>
      </w:pPr>
      <w:r>
        <w:rPr>
          <w:rFonts w:ascii="Arial" w:cs="Arial" w:eastAsia="Arial" w:hAnsi="Arial"/>
          <w:b/>
          <w:bCs/>
          <w:color w:val="2E75B6"/>
          <w:sz w:val="28"/>
          <w:szCs w:val="28"/>
        </w:rPr>
        <w:t xml:space="preserve">6.3  Configuración de Read-Only Routing</w:t>
      </w:r>
    </w:p>
    <w:p>
      <w:pPr>
        <w:spacing w:before="80" w:after="80"/>
      </w:pPr>
      <w:r>
        <w:rPr>
          <w:rFonts w:ascii="Arial" w:cs="Arial" w:eastAsia="Arial" w:hAnsi="Arial"/>
          <w:sz w:val="22"/>
          <w:szCs w:val="22"/>
        </w:rPr>
        <w:t xml:space="preserve">Para que el Listener redirija automáticamente las conexiones con ApplicationIntent=ReadOnly a la réplica secundaria, se debe configurar Read-Only Routing en SQL Server:</w:t>
      </w:r>
    </w:p>
    <w:p>
      <w:pPr>
        <w:pStyle w:val="ListParagraph"/>
        <w:numPr>
          <w:ilvl w:val="0"/>
          <w:numId w:val="2"/>
        </w:numPr>
        <w:spacing w:before="60" w:after="60"/>
      </w:pPr>
      <w:r>
        <w:rPr>
          <w:rFonts w:ascii="Arial" w:cs="Arial" w:eastAsia="Arial" w:hAnsi="Arial"/>
          <w:b w:val="false"/>
          <w:bCs w:val="false"/>
          <w:sz w:val="22"/>
          <w:szCs w:val="22"/>
        </w:rPr>
        <w:t xml:space="preserve">Definir la URL de routing de lectura en cada réplica.</w:t>
      </w:r>
    </w:p>
    <w:p>
      <w:pPr>
        <w:pStyle w:val="ListParagraph"/>
        <w:numPr>
          <w:ilvl w:val="0"/>
          <w:numId w:val="2"/>
        </w:numPr>
        <w:spacing w:before="60" w:after="60"/>
      </w:pPr>
      <w:r>
        <w:rPr>
          <w:rFonts w:ascii="Arial" w:cs="Arial" w:eastAsia="Arial" w:hAnsi="Arial"/>
          <w:b w:val="false"/>
          <w:bCs w:val="false"/>
          <w:sz w:val="22"/>
          <w:szCs w:val="22"/>
        </w:rPr>
        <w:t xml:space="preserve">Configurar la lista de prioridad de routing (READ_ONLY_ROUTING_LIST) en la réplica primaria.</w:t>
      </w:r>
    </w:p>
    <w:p>
      <w:pPr>
        <w:pStyle w:val="ListParagraph"/>
        <w:numPr>
          <w:ilvl w:val="0"/>
          <w:numId w:val="2"/>
        </w:numPr>
        <w:spacing w:before="60" w:after="60"/>
      </w:pPr>
      <w:r>
        <w:rPr>
          <w:rFonts w:ascii="Arial" w:cs="Arial" w:eastAsia="Arial" w:hAnsi="Arial"/>
          <w:b w:val="false"/>
          <w:bCs w:val="false"/>
          <w:sz w:val="22"/>
          <w:szCs w:val="22"/>
        </w:rPr>
        <w:t xml:space="preserve">Verificar que el Listener esté configurado con el puerto correcto (1433 por defecto).</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6.4  Consideraciones Importantes</w:t>
      </w:r>
    </w:p>
    <w:p>
      <w:pPr>
        <w:pStyle w:val="ListParagraph"/>
        <w:numPr>
          <w:ilvl w:val="0"/>
          <w:numId w:val="2"/>
        </w:numPr>
        <w:spacing w:before="60" w:after="60"/>
      </w:pPr>
      <w:r>
        <w:rPr>
          <w:rFonts w:ascii="Arial" w:cs="Arial" w:eastAsia="Arial" w:hAnsi="Arial"/>
          <w:b w:val="false"/>
          <w:bCs w:val="false"/>
          <w:sz w:val="22"/>
          <w:szCs w:val="22"/>
        </w:rPr>
        <w:t xml:space="preserve">El driver de conexión debe ser compatible con MultiSubnetFailover y ApplicationIntent (SQL Server Native Client 11.0+, ODBC Driver 11+, .NET SqlClient 2.0+).</w:t>
      </w:r>
    </w:p>
    <w:p>
      <w:pPr>
        <w:pStyle w:val="ListParagraph"/>
        <w:numPr>
          <w:ilvl w:val="0"/>
          <w:numId w:val="2"/>
        </w:numPr>
        <w:spacing w:before="60" w:after="60"/>
      </w:pPr>
      <w:r>
        <w:rPr>
          <w:rFonts w:ascii="Arial" w:cs="Arial" w:eastAsia="Arial" w:hAnsi="Arial"/>
          <w:b w:val="false"/>
          <w:bCs w:val="false"/>
          <w:sz w:val="22"/>
          <w:szCs w:val="22"/>
        </w:rPr>
        <w:t xml:space="preserve">Aplicaciones que no puedan modificarse para usar ApplicationIntent=ReadOnly seguirán usando el primario para todo tráfico — se debe documentar como excepción.</w:t>
      </w:r>
    </w:p>
    <w:p>
      <w:pPr>
        <w:pStyle w:val="ListParagraph"/>
        <w:numPr>
          <w:ilvl w:val="0"/>
          <w:numId w:val="2"/>
        </w:numPr>
        <w:spacing w:before="60" w:after="60"/>
      </w:pPr>
      <w:r>
        <w:rPr>
          <w:rFonts w:ascii="Arial" w:cs="Arial" w:eastAsia="Arial" w:hAnsi="Arial"/>
          <w:b w:val="false"/>
          <w:bCs w:val="false"/>
          <w:sz w:val="22"/>
          <w:szCs w:val="22"/>
        </w:rPr>
        <w:t xml:space="preserve">Los cambios de cadena de conexión se deben realizar por ambiente (DEV → QA → PROD) con validación en cada paso.</w:t>
      </w:r>
    </w:p>
    <w:p>
      <w:pPr>
        <w:pStyle w:val="ListParagraph"/>
        <w:numPr>
          <w:ilvl w:val="0"/>
          <w:numId w:val="2"/>
        </w:numPr>
        <w:spacing w:before="60" w:after="60"/>
      </w:pPr>
      <w:r>
        <w:rPr>
          <w:rFonts w:ascii="Arial" w:cs="Arial" w:eastAsia="Arial" w:hAnsi="Arial"/>
          <w:b w:val="false"/>
          <w:bCs w:val="false"/>
          <w:sz w:val="22"/>
          <w:szCs w:val="22"/>
        </w:rPr>
        <w:t xml:space="preserve">Se recomienda usar variables de entorno o Azure Key Vault / Secret Manager para no hardcodear cadenas de conexión en el código fuente.</w:t>
      </w:r>
    </w:p>
    <w:p>
      <w:pPr>
        <w:spacing w:before="120" w:after="0"/>
      </w:pPr>
      <w:r>
        <w:t xml:space="preserve"/>
      </w:r>
    </w:p>
    <w:p>
      <w:pPr>
        <w:pBdr>
          <w:bottom w:val="single" w:color="2E75B6" w:sz="6" w:space="1"/>
        </w:pBdr>
        <w:spacing w:before="200" w:after="200"/>
      </w:pPr>
      <w:r>
        <w:rPr>
          <w:rFonts w:ascii="Arial" w:cs="Arial" w:eastAsia="Arial" w:hAnsi="Arial"/>
          <w:b/>
          <w:bCs/>
          <w:color w:val="1F3864"/>
          <w:sz w:val="32"/>
          <w:szCs w:val="32"/>
        </w:rPr>
        <w:t xml:space="preserve">7.  Tiempos Estimados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1500"/>
        <w:gridCol w:w="1500"/>
        <w:gridCol w:w="2500"/>
      </w:tblGrid>
      <w:tr>
        <w:tc>
          <w:tcPr>
            <w:tcW w:type="dxa" w:w="6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32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Fase</w:t>
            </w:r>
          </w:p>
        </w:tc>
        <w:tc>
          <w:tcPr>
            <w:tcW w:type="dxa" w:w="15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Inicio (semana)</w:t>
            </w:r>
          </w:p>
        </w:tc>
        <w:tc>
          <w:tcPr>
            <w:tcW w:type="dxa" w:w="15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Duración</w:t>
            </w:r>
          </w:p>
        </w:tc>
        <w:tc>
          <w:tcPr>
            <w:tcW w:type="dxa" w:w="25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Entregable</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Planeación y levantamiento de inventario</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S1</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 semana</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Inventario de BDs, conexiones y arquitectura AS-IS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Diseño de arquitectura Always On y plan de contingencia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 semana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Documento de diseño TO-BE aprobado</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Aprovisionamiento y preparación de infraestructura</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S3</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 semanas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Servidores, red, WSFC y SQL Server instalados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Configuración de Always On y Listener en ambiente de prueba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S4–S5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semanas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AG funcional en ambiente no productivo</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Actualización y prueba de cadenas de conexión en QA</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S5–S6</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 semana</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Validación completa en ambiente QA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Pruebas de failover, carga y regresión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S6–S7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 semana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Reporte de pruebas aprobado por stakeholders</w:t>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3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Migración a producción (ventana de mantenimiento)</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S8</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 fin de semana</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Producción operando en Always 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Monitoreo intensivo post-migración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S9–S12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 semanas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Reporte de estabilidad y cierre de proyecto</w:t>
            </w:r>
          </w:p>
        </w:tc>
      </w:tr>
      <w:tr>
        <w:tc>
          <w:tcPr>
            <w:tcW w:type="dxa" w:w="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TOTAL</w:t>
            </w:r>
          </w:p>
        </w:tc>
        <w:tc>
          <w:tcPr>
            <w:tcW w:type="dxa" w:w="32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S1</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~10–12 semanas</w:t>
            </w:r>
          </w:p>
        </w:tc>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Proyecto completado y cerrado</w:t>
            </w:r>
          </w:p>
        </w:tc>
      </w:tr>
    </w:tbl>
    <w:p>
      <w:pPr>
        <w:spacing w:before="120" w:after="0"/>
      </w:pPr>
      <w:r>
        <w:t xml:space="preserve"/>
      </w:r>
    </w:p>
    <w:p>
      <w:pPr>
        <w:pBdr>
          <w:bottom w:val="single" w:color="2E75B6" w:sz="6" w:space="1"/>
        </w:pBdr>
        <w:spacing w:before="200" w:after="200"/>
      </w:pPr>
      <w:r>
        <w:rPr>
          <w:rFonts w:ascii="Arial" w:cs="Arial" w:eastAsia="Arial" w:hAnsi="Arial"/>
          <w:b/>
          <w:bCs/>
          <w:color w:val="1F3864"/>
          <w:sz w:val="32"/>
          <w:szCs w:val="32"/>
        </w:rPr>
        <w:t xml:space="preserve">8.  Plan Detallado de Actividades</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Fase 1 — Planeación y Análisis (Semana 1)</w:t>
      </w:r>
    </w:p>
    <w:p>
      <w:pPr>
        <w:pStyle w:val="ListParagraph"/>
        <w:numPr>
          <w:ilvl w:val="0"/>
          <w:numId w:val="2"/>
        </w:numPr>
        <w:spacing w:before="60" w:after="60"/>
      </w:pPr>
      <w:r>
        <w:rPr>
          <w:rFonts w:ascii="Arial" w:cs="Arial" w:eastAsia="Arial" w:hAnsi="Arial"/>
          <w:b w:val="false"/>
          <w:bCs w:val="false"/>
          <w:sz w:val="22"/>
          <w:szCs w:val="22"/>
        </w:rPr>
        <w:t xml:space="preserve">Reunión de kick-off con todos los stakeholders técnicos y de negocio.</w:t>
      </w:r>
    </w:p>
    <w:p>
      <w:pPr>
        <w:pStyle w:val="ListParagraph"/>
        <w:numPr>
          <w:ilvl w:val="1"/>
          <w:numId w:val="3"/>
        </w:numPr>
        <w:spacing w:before="40" w:after="40"/>
      </w:pPr>
      <w:r>
        <w:rPr>
          <w:rFonts w:ascii="Arial" w:cs="Arial" w:eastAsia="Arial" w:hAnsi="Arial"/>
          <w:sz w:val="20"/>
          <w:szCs w:val="20"/>
        </w:rPr>
        <w:t xml:space="preserve">Definir ventana de mantenimiento para corte a producción.</w:t>
      </w:r>
    </w:p>
    <w:p>
      <w:pPr>
        <w:pStyle w:val="ListParagraph"/>
        <w:numPr>
          <w:ilvl w:val="1"/>
          <w:numId w:val="3"/>
        </w:numPr>
        <w:spacing w:before="40" w:after="40"/>
      </w:pPr>
      <w:r>
        <w:rPr>
          <w:rFonts w:ascii="Arial" w:cs="Arial" w:eastAsia="Arial" w:hAnsi="Arial"/>
          <w:sz w:val="20"/>
          <w:szCs w:val="20"/>
        </w:rPr>
        <w:t xml:space="preserve">Definir criterios de éxito y go/no-go para cada fase.</w:t>
      </w:r>
    </w:p>
    <w:p>
      <w:pPr>
        <w:pStyle w:val="ListParagraph"/>
        <w:numPr>
          <w:ilvl w:val="0"/>
          <w:numId w:val="2"/>
        </w:numPr>
        <w:spacing w:before="60" w:after="60"/>
      </w:pPr>
      <w:r>
        <w:rPr>
          <w:rFonts w:ascii="Arial" w:cs="Arial" w:eastAsia="Arial" w:hAnsi="Arial"/>
          <w:b w:val="false"/>
          <w:bCs w:val="false"/>
          <w:sz w:val="22"/>
          <w:szCs w:val="22"/>
        </w:rPr>
        <w:t xml:space="preserve">Inventario completo de bases de datos: nombre, tamaño, modo de recuperación, últimos backups.</w:t>
      </w:r>
    </w:p>
    <w:p>
      <w:pPr>
        <w:pStyle w:val="ListParagraph"/>
        <w:numPr>
          <w:ilvl w:val="0"/>
          <w:numId w:val="2"/>
        </w:numPr>
        <w:spacing w:before="60" w:after="60"/>
      </w:pPr>
      <w:r>
        <w:rPr>
          <w:rFonts w:ascii="Arial" w:cs="Arial" w:eastAsia="Arial" w:hAnsi="Arial"/>
          <w:b w:val="false"/>
          <w:bCs w:val="false"/>
          <w:sz w:val="22"/>
          <w:szCs w:val="22"/>
        </w:rPr>
        <w:t xml:space="preserve">Inventario de aplicaciones y cadenas de conexión (ver Sección 6.1).</w:t>
      </w:r>
    </w:p>
    <w:p>
      <w:pPr>
        <w:pStyle w:val="ListParagraph"/>
        <w:numPr>
          <w:ilvl w:val="0"/>
          <w:numId w:val="2"/>
        </w:numPr>
        <w:spacing w:before="60" w:after="60"/>
      </w:pPr>
      <w:r>
        <w:rPr>
          <w:rFonts w:ascii="Arial" w:cs="Arial" w:eastAsia="Arial" w:hAnsi="Arial"/>
          <w:b w:val="false"/>
          <w:bCs w:val="false"/>
          <w:sz w:val="22"/>
          <w:szCs w:val="22"/>
        </w:rPr>
        <w:t xml:space="preserve">Revisión de versión de SQL Server actual y compatibilidad con Always On.</w:t>
      </w:r>
    </w:p>
    <w:p>
      <w:pPr>
        <w:pStyle w:val="ListParagraph"/>
        <w:numPr>
          <w:ilvl w:val="0"/>
          <w:numId w:val="2"/>
        </w:numPr>
        <w:spacing w:before="60" w:after="60"/>
      </w:pPr>
      <w:r>
        <w:rPr>
          <w:rFonts w:ascii="Arial" w:cs="Arial" w:eastAsia="Arial" w:hAnsi="Arial"/>
          <w:b w:val="false"/>
          <w:bCs w:val="false"/>
          <w:sz w:val="22"/>
          <w:szCs w:val="22"/>
        </w:rPr>
        <w:t xml:space="preserve">Evaluación de capacidad de red entre nodos candidatos.</w:t>
      </w:r>
    </w:p>
    <w:p>
      <w:pPr>
        <w:pStyle w:val="ListParagraph"/>
        <w:numPr>
          <w:ilvl w:val="0"/>
          <w:numId w:val="2"/>
        </w:numPr>
        <w:spacing w:before="60" w:after="60"/>
      </w:pPr>
      <w:r>
        <w:rPr>
          <w:rFonts w:ascii="Arial" w:cs="Arial" w:eastAsia="Arial" w:hAnsi="Arial"/>
          <w:b w:val="false"/>
          <w:bCs w:val="false"/>
          <w:sz w:val="22"/>
          <w:szCs w:val="22"/>
        </w:rPr>
        <w:t xml:space="preserve">Documentar arquitectura AS-IS y diseñar arquitectura TO-BE.</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Fase 2 — Diseño (Semana 2)</w:t>
      </w:r>
    </w:p>
    <w:p>
      <w:pPr>
        <w:pStyle w:val="ListParagraph"/>
        <w:numPr>
          <w:ilvl w:val="0"/>
          <w:numId w:val="2"/>
        </w:numPr>
        <w:spacing w:before="60" w:after="60"/>
      </w:pPr>
      <w:r>
        <w:rPr>
          <w:rFonts w:ascii="Arial" w:cs="Arial" w:eastAsia="Arial" w:hAnsi="Arial"/>
          <w:b w:val="false"/>
          <w:bCs w:val="false"/>
          <w:sz w:val="22"/>
          <w:szCs w:val="22"/>
        </w:rPr>
        <w:t xml:space="preserve">Definir topología: número de réplicas, modo de sincronización (síncrono/asíncrono), configuración de quórum.</w:t>
      </w:r>
    </w:p>
    <w:p>
      <w:pPr>
        <w:pStyle w:val="ListParagraph"/>
        <w:numPr>
          <w:ilvl w:val="0"/>
          <w:numId w:val="2"/>
        </w:numPr>
        <w:spacing w:before="60" w:after="60"/>
      </w:pPr>
      <w:r>
        <w:rPr>
          <w:rFonts w:ascii="Arial" w:cs="Arial" w:eastAsia="Arial" w:hAnsi="Arial"/>
          <w:b w:val="false"/>
          <w:bCs w:val="false"/>
          <w:sz w:val="22"/>
          <w:szCs w:val="22"/>
        </w:rPr>
        <w:t xml:space="preserve">Definir nombre e IP del Availability Group Listener.</w:t>
      </w:r>
    </w:p>
    <w:p>
      <w:pPr>
        <w:pStyle w:val="ListParagraph"/>
        <w:numPr>
          <w:ilvl w:val="0"/>
          <w:numId w:val="2"/>
        </w:numPr>
        <w:spacing w:before="60" w:after="60"/>
      </w:pPr>
      <w:r>
        <w:rPr>
          <w:rFonts w:ascii="Arial" w:cs="Arial" w:eastAsia="Arial" w:hAnsi="Arial"/>
          <w:b w:val="false"/>
          <w:bCs w:val="false"/>
          <w:sz w:val="22"/>
          <w:szCs w:val="22"/>
        </w:rPr>
        <w:t xml:space="preserve">Definir política de failover (automático vs. manual).</w:t>
      </w:r>
    </w:p>
    <w:p>
      <w:pPr>
        <w:pStyle w:val="ListParagraph"/>
        <w:numPr>
          <w:ilvl w:val="0"/>
          <w:numId w:val="2"/>
        </w:numPr>
        <w:spacing w:before="60" w:after="60"/>
      </w:pPr>
      <w:r>
        <w:rPr>
          <w:rFonts w:ascii="Arial" w:cs="Arial" w:eastAsia="Arial" w:hAnsi="Arial"/>
          <w:b w:val="false"/>
          <w:bCs w:val="false"/>
          <w:sz w:val="22"/>
          <w:szCs w:val="22"/>
        </w:rPr>
        <w:t xml:space="preserve">Diseñar Read-Only Routing: lista de prioridades por réplica.</w:t>
      </w:r>
    </w:p>
    <w:p>
      <w:pPr>
        <w:pStyle w:val="ListParagraph"/>
        <w:numPr>
          <w:ilvl w:val="0"/>
          <w:numId w:val="2"/>
        </w:numPr>
        <w:spacing w:before="60" w:after="60"/>
      </w:pPr>
      <w:r>
        <w:rPr>
          <w:rFonts w:ascii="Arial" w:cs="Arial" w:eastAsia="Arial" w:hAnsi="Arial"/>
          <w:b w:val="false"/>
          <w:bCs w:val="false"/>
          <w:sz w:val="22"/>
          <w:szCs w:val="22"/>
        </w:rPr>
        <w:t xml:space="preserve">Plan de rollback documentado y aprobado.</w:t>
      </w:r>
    </w:p>
    <w:p>
      <w:pPr>
        <w:pStyle w:val="ListParagraph"/>
        <w:numPr>
          <w:ilvl w:val="0"/>
          <w:numId w:val="2"/>
        </w:numPr>
        <w:spacing w:before="60" w:after="60"/>
      </w:pPr>
      <w:r>
        <w:rPr>
          <w:rFonts w:ascii="Arial" w:cs="Arial" w:eastAsia="Arial" w:hAnsi="Arial"/>
          <w:b w:val="false"/>
          <w:bCs w:val="false"/>
          <w:sz w:val="22"/>
          <w:szCs w:val="22"/>
        </w:rPr>
        <w:t xml:space="preserve">Comunicación del plan a equipos de aplicaciones y negocio.</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Fase 3 — Aprovisionamiento de Infraestructura (Semanas 3–4)</w:t>
      </w:r>
    </w:p>
    <w:p>
      <w:pPr>
        <w:pStyle w:val="ListParagraph"/>
        <w:numPr>
          <w:ilvl w:val="0"/>
          <w:numId w:val="2"/>
        </w:numPr>
        <w:spacing w:before="60" w:after="60"/>
      </w:pPr>
      <w:r>
        <w:rPr>
          <w:rFonts w:ascii="Arial" w:cs="Arial" w:eastAsia="Arial" w:hAnsi="Arial"/>
          <w:b w:val="false"/>
          <w:bCs w:val="false"/>
          <w:sz w:val="22"/>
          <w:szCs w:val="22"/>
        </w:rPr>
        <w:t xml:space="preserve">Instalar y configurar Windows Server en nodos adicionales.</w:t>
      </w:r>
    </w:p>
    <w:p>
      <w:pPr>
        <w:pStyle w:val="ListParagraph"/>
        <w:numPr>
          <w:ilvl w:val="0"/>
          <w:numId w:val="2"/>
        </w:numPr>
        <w:spacing w:before="60" w:after="60"/>
      </w:pPr>
      <w:r>
        <w:rPr>
          <w:rFonts w:ascii="Arial" w:cs="Arial" w:eastAsia="Arial" w:hAnsi="Arial"/>
          <w:b w:val="false"/>
          <w:bCs w:val="false"/>
          <w:sz w:val="22"/>
          <w:szCs w:val="22"/>
        </w:rPr>
        <w:t xml:space="preserve">Unir todos los nodos al dominio de Active Directory.</w:t>
      </w:r>
    </w:p>
    <w:p>
      <w:pPr>
        <w:pStyle w:val="ListParagraph"/>
        <w:numPr>
          <w:ilvl w:val="0"/>
          <w:numId w:val="2"/>
        </w:numPr>
        <w:spacing w:before="60" w:after="60"/>
      </w:pPr>
      <w:r>
        <w:rPr>
          <w:rFonts w:ascii="Arial" w:cs="Arial" w:eastAsia="Arial" w:hAnsi="Arial"/>
          <w:b w:val="false"/>
          <w:bCs w:val="false"/>
          <w:sz w:val="22"/>
          <w:szCs w:val="22"/>
        </w:rPr>
        <w:t xml:space="preserve">Instalar y configurar Windows Server Failover Clustering (WSFC) con quórum File Share Witness.</w:t>
      </w:r>
    </w:p>
    <w:p>
      <w:pPr>
        <w:pStyle w:val="ListParagraph"/>
        <w:numPr>
          <w:ilvl w:val="0"/>
          <w:numId w:val="2"/>
        </w:numPr>
        <w:spacing w:before="60" w:after="60"/>
      </w:pPr>
      <w:r>
        <w:rPr>
          <w:rFonts w:ascii="Arial" w:cs="Arial" w:eastAsia="Arial" w:hAnsi="Arial"/>
          <w:b w:val="false"/>
          <w:bCs w:val="false"/>
          <w:sz w:val="22"/>
          <w:szCs w:val="22"/>
        </w:rPr>
        <w:t xml:space="preserve">Validar comunicación entre nodos: ping, resolución de nombres, puertos.</w:t>
      </w:r>
    </w:p>
    <w:p>
      <w:pPr>
        <w:pStyle w:val="ListParagraph"/>
        <w:numPr>
          <w:ilvl w:val="0"/>
          <w:numId w:val="2"/>
        </w:numPr>
        <w:spacing w:before="60" w:after="60"/>
      </w:pPr>
      <w:r>
        <w:rPr>
          <w:rFonts w:ascii="Arial" w:cs="Arial" w:eastAsia="Arial" w:hAnsi="Arial"/>
          <w:b w:val="false"/>
          <w:bCs w:val="false"/>
          <w:sz w:val="22"/>
          <w:szCs w:val="22"/>
        </w:rPr>
        <w:t xml:space="preserve">Instalar SQL Server Enterprise Edition en cada nodo (misma versión y service pack).</w:t>
      </w:r>
    </w:p>
    <w:p>
      <w:pPr>
        <w:pStyle w:val="ListParagraph"/>
        <w:numPr>
          <w:ilvl w:val="0"/>
          <w:numId w:val="2"/>
        </w:numPr>
        <w:spacing w:before="60" w:after="60"/>
      </w:pPr>
      <w:r>
        <w:rPr>
          <w:rFonts w:ascii="Arial" w:cs="Arial" w:eastAsia="Arial" w:hAnsi="Arial"/>
          <w:b w:val="false"/>
          <w:bCs w:val="false"/>
          <w:sz w:val="22"/>
          <w:szCs w:val="22"/>
        </w:rPr>
        <w:t xml:space="preserve">Habilitar la característica Always On en SQL Server Configuration Manager en cada instancia.</w:t>
      </w:r>
    </w:p>
    <w:p>
      <w:pPr>
        <w:pStyle w:val="ListParagraph"/>
        <w:numPr>
          <w:ilvl w:val="0"/>
          <w:numId w:val="2"/>
        </w:numPr>
        <w:spacing w:before="60" w:after="60"/>
      </w:pPr>
      <w:r>
        <w:rPr>
          <w:rFonts w:ascii="Arial" w:cs="Arial" w:eastAsia="Arial" w:hAnsi="Arial"/>
          <w:b w:val="false"/>
          <w:bCs w:val="false"/>
          <w:sz w:val="22"/>
          <w:szCs w:val="22"/>
        </w:rPr>
        <w:t xml:space="preserve">Crear certificados o configurar autenticación de Windows para endpoints de mirroring (puerto 5022).</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Fase 4 — Configuración de Always On (Semanas 4–5)</w:t>
      </w:r>
    </w:p>
    <w:p>
      <w:pPr>
        <w:pStyle w:val="ListParagraph"/>
        <w:numPr>
          <w:ilvl w:val="0"/>
          <w:numId w:val="2"/>
        </w:numPr>
        <w:spacing w:before="60" w:after="60"/>
      </w:pPr>
      <w:r>
        <w:rPr>
          <w:rFonts w:ascii="Arial" w:cs="Arial" w:eastAsia="Arial" w:hAnsi="Arial"/>
          <w:b w:val="false"/>
          <w:bCs w:val="false"/>
          <w:sz w:val="22"/>
          <w:szCs w:val="22"/>
        </w:rPr>
        <w:t xml:space="preserve">Crear el Availability Group mediante el asistente de SSMS o T-SQL.</w:t>
      </w:r>
    </w:p>
    <w:p>
      <w:pPr>
        <w:pStyle w:val="ListParagraph"/>
        <w:numPr>
          <w:ilvl w:val="1"/>
          <w:numId w:val="3"/>
        </w:numPr>
        <w:spacing w:before="40" w:after="40"/>
      </w:pPr>
      <w:r>
        <w:rPr>
          <w:rFonts w:ascii="Arial" w:cs="Arial" w:eastAsia="Arial" w:hAnsi="Arial"/>
          <w:sz w:val="20"/>
          <w:szCs w:val="20"/>
        </w:rPr>
        <w:t xml:space="preserve">Seleccionar bases de datos candidatas (deben estar en modo de recuperación FULL).</w:t>
      </w:r>
    </w:p>
    <w:p>
      <w:pPr>
        <w:pStyle w:val="ListParagraph"/>
        <w:numPr>
          <w:ilvl w:val="1"/>
          <w:numId w:val="3"/>
        </w:numPr>
        <w:spacing w:before="40" w:after="40"/>
      </w:pPr>
      <w:r>
        <w:rPr>
          <w:rFonts w:ascii="Arial" w:cs="Arial" w:eastAsia="Arial" w:hAnsi="Arial"/>
          <w:sz w:val="20"/>
          <w:szCs w:val="20"/>
        </w:rPr>
        <w:t xml:space="preserve">Configurar la réplica primaria y secundarias.</w:t>
      </w:r>
    </w:p>
    <w:p>
      <w:pPr>
        <w:pStyle w:val="ListParagraph"/>
        <w:numPr>
          <w:ilvl w:val="1"/>
          <w:numId w:val="3"/>
        </w:numPr>
        <w:spacing w:before="40" w:after="40"/>
      </w:pPr>
      <w:r>
        <w:rPr>
          <w:rFonts w:ascii="Arial" w:cs="Arial" w:eastAsia="Arial" w:hAnsi="Arial"/>
          <w:sz w:val="20"/>
          <w:szCs w:val="20"/>
        </w:rPr>
        <w:t xml:space="preserve">Inicializar las secundarias mediante backup completo o semilla automática.</w:t>
      </w:r>
    </w:p>
    <w:p>
      <w:pPr>
        <w:pStyle w:val="ListParagraph"/>
        <w:numPr>
          <w:ilvl w:val="0"/>
          <w:numId w:val="2"/>
        </w:numPr>
        <w:spacing w:before="60" w:after="60"/>
      </w:pPr>
      <w:r>
        <w:rPr>
          <w:rFonts w:ascii="Arial" w:cs="Arial" w:eastAsia="Arial" w:hAnsi="Arial"/>
          <w:b w:val="false"/>
          <w:bCs w:val="false"/>
          <w:sz w:val="22"/>
          <w:szCs w:val="22"/>
        </w:rPr>
        <w:t xml:space="preserve">Crear el Availability Group Listener con nombre DNS e IP virtual.</w:t>
      </w:r>
    </w:p>
    <w:p>
      <w:pPr>
        <w:pStyle w:val="ListParagraph"/>
        <w:numPr>
          <w:ilvl w:val="0"/>
          <w:numId w:val="2"/>
        </w:numPr>
        <w:spacing w:before="60" w:after="60"/>
      </w:pPr>
      <w:r>
        <w:rPr>
          <w:rFonts w:ascii="Arial" w:cs="Arial" w:eastAsia="Arial" w:hAnsi="Arial"/>
          <w:b w:val="false"/>
          <w:bCs w:val="false"/>
          <w:sz w:val="22"/>
          <w:szCs w:val="22"/>
        </w:rPr>
        <w:t xml:space="preserve">Configurar Read-Only Routing en cada réplica.</w:t>
      </w:r>
    </w:p>
    <w:p>
      <w:pPr>
        <w:pStyle w:val="ListParagraph"/>
        <w:numPr>
          <w:ilvl w:val="0"/>
          <w:numId w:val="2"/>
        </w:numPr>
        <w:spacing w:before="60" w:after="60"/>
      </w:pPr>
      <w:r>
        <w:rPr>
          <w:rFonts w:ascii="Arial" w:cs="Arial" w:eastAsia="Arial" w:hAnsi="Arial"/>
          <w:b w:val="false"/>
          <w:bCs w:val="false"/>
          <w:sz w:val="22"/>
          <w:szCs w:val="22"/>
        </w:rPr>
        <w:t xml:space="preserve">Verificar estado de sincronización: todas las réplicas deben mostrar 'Synchronized'.</w:t>
      </w:r>
    </w:p>
    <w:p>
      <w:pPr>
        <w:pStyle w:val="ListParagraph"/>
        <w:numPr>
          <w:ilvl w:val="0"/>
          <w:numId w:val="2"/>
        </w:numPr>
        <w:spacing w:before="60" w:after="60"/>
      </w:pPr>
      <w:r>
        <w:rPr>
          <w:rFonts w:ascii="Arial" w:cs="Arial" w:eastAsia="Arial" w:hAnsi="Arial"/>
          <w:b w:val="false"/>
          <w:bCs w:val="false"/>
          <w:sz w:val="22"/>
          <w:szCs w:val="22"/>
        </w:rPr>
        <w:t xml:space="preserve">Configurar alertas y jobs de monitoreo para el grupo de disponibilidad.</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Fase 5 — Actualización de Cadenas de Conexión en QA (Semanas 5–6)</w:t>
      </w:r>
    </w:p>
    <w:p>
      <w:pPr>
        <w:pStyle w:val="ListParagraph"/>
        <w:numPr>
          <w:ilvl w:val="0"/>
          <w:numId w:val="2"/>
        </w:numPr>
        <w:spacing w:before="60" w:after="60"/>
      </w:pPr>
      <w:r>
        <w:rPr>
          <w:rFonts w:ascii="Arial" w:cs="Arial" w:eastAsia="Arial" w:hAnsi="Arial"/>
          <w:b w:val="false"/>
          <w:bCs w:val="false"/>
          <w:sz w:val="22"/>
          <w:szCs w:val="22"/>
        </w:rPr>
        <w:t xml:space="preserve">Actualizar todas las cadenas de conexión identificadas en el inventario apuntando al Listener.</w:t>
      </w:r>
    </w:p>
    <w:p>
      <w:pPr>
        <w:pStyle w:val="ListParagraph"/>
        <w:numPr>
          <w:ilvl w:val="0"/>
          <w:numId w:val="2"/>
        </w:numPr>
        <w:spacing w:before="60" w:after="60"/>
      </w:pPr>
      <w:r>
        <w:rPr>
          <w:rFonts w:ascii="Arial" w:cs="Arial" w:eastAsia="Arial" w:hAnsi="Arial"/>
          <w:b w:val="false"/>
          <w:bCs w:val="false"/>
          <w:sz w:val="22"/>
          <w:szCs w:val="22"/>
        </w:rPr>
        <w:t xml:space="preserve">Agregar MultiSubnetFailover=True a todas las cadenas.</w:t>
      </w:r>
    </w:p>
    <w:p>
      <w:pPr>
        <w:pStyle w:val="ListParagraph"/>
        <w:numPr>
          <w:ilvl w:val="0"/>
          <w:numId w:val="2"/>
        </w:numPr>
        <w:spacing w:before="60" w:after="60"/>
      </w:pPr>
      <w:r>
        <w:rPr>
          <w:rFonts w:ascii="Arial" w:cs="Arial" w:eastAsia="Arial" w:hAnsi="Arial"/>
          <w:b w:val="false"/>
          <w:bCs w:val="false"/>
          <w:sz w:val="22"/>
          <w:szCs w:val="22"/>
        </w:rPr>
        <w:t xml:space="preserve">Separar cadenas de lectura (ApplicationIntent=ReadOnly) de las de escritura.</w:t>
      </w:r>
    </w:p>
    <w:p>
      <w:pPr>
        <w:pStyle w:val="ListParagraph"/>
        <w:numPr>
          <w:ilvl w:val="0"/>
          <w:numId w:val="2"/>
        </w:numPr>
        <w:spacing w:before="60" w:after="60"/>
      </w:pPr>
      <w:r>
        <w:rPr>
          <w:rFonts w:ascii="Arial" w:cs="Arial" w:eastAsia="Arial" w:hAnsi="Arial"/>
          <w:b w:val="false"/>
          <w:bCs w:val="false"/>
          <w:sz w:val="22"/>
          <w:szCs w:val="22"/>
        </w:rPr>
        <w:t xml:space="preserve">Actualizar variables de entorno, archivos de configuración y secretos en gestores de secretos.</w:t>
      </w:r>
    </w:p>
    <w:p>
      <w:pPr>
        <w:pStyle w:val="ListParagraph"/>
        <w:numPr>
          <w:ilvl w:val="0"/>
          <w:numId w:val="2"/>
        </w:numPr>
        <w:spacing w:before="60" w:after="60"/>
      </w:pPr>
      <w:r>
        <w:rPr>
          <w:rFonts w:ascii="Arial" w:cs="Arial" w:eastAsia="Arial" w:hAnsi="Arial"/>
          <w:b w:val="false"/>
          <w:bCs w:val="false"/>
          <w:sz w:val="22"/>
          <w:szCs w:val="22"/>
        </w:rPr>
        <w:t xml:space="preserve">Validar que cada aplicación conecte correctamente al Listener en el ambiente de QA.</w:t>
      </w:r>
    </w:p>
    <w:p>
      <w:pPr>
        <w:pStyle w:val="ListParagraph"/>
        <w:numPr>
          <w:ilvl w:val="0"/>
          <w:numId w:val="2"/>
        </w:numPr>
        <w:spacing w:before="60" w:after="60"/>
      </w:pPr>
      <w:r>
        <w:rPr>
          <w:rFonts w:ascii="Arial" w:cs="Arial" w:eastAsia="Arial" w:hAnsi="Arial"/>
          <w:b w:val="false"/>
          <w:bCs w:val="false"/>
          <w:sz w:val="22"/>
          <w:szCs w:val="22"/>
        </w:rPr>
        <w:t xml:space="preserve">Verificar que las consultas de lectura se enruten efectivamente a la réplica secundaria (sys.fn_hadr_is_primary_replica).</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Fase 6 — Pruebas (Semanas 6–7)</w:t>
      </w:r>
    </w:p>
    <w:p>
      <w:pPr>
        <w:pStyle w:val="ListParagraph"/>
        <w:numPr>
          <w:ilvl w:val="0"/>
          <w:numId w:val="2"/>
        </w:numPr>
        <w:spacing w:before="60" w:after="60"/>
      </w:pPr>
      <w:r>
        <w:rPr>
          <w:rFonts w:ascii="Arial" w:cs="Arial" w:eastAsia="Arial" w:hAnsi="Arial"/>
          <w:b w:val="false"/>
          <w:bCs w:val="false"/>
          <w:sz w:val="22"/>
          <w:szCs w:val="22"/>
        </w:rPr>
        <w:t xml:space="preserve">Pruebas funcionales: todas las operaciones CRUD deben funcionar correctamente.</w:t>
      </w:r>
    </w:p>
    <w:p>
      <w:pPr>
        <w:pStyle w:val="ListParagraph"/>
        <w:numPr>
          <w:ilvl w:val="0"/>
          <w:numId w:val="2"/>
        </w:numPr>
        <w:spacing w:before="60" w:after="60"/>
      </w:pPr>
      <w:r>
        <w:rPr>
          <w:rFonts w:ascii="Arial" w:cs="Arial" w:eastAsia="Arial" w:hAnsi="Arial"/>
          <w:b w:val="false"/>
          <w:bCs w:val="false"/>
          <w:sz w:val="22"/>
          <w:szCs w:val="22"/>
        </w:rPr>
        <w:t xml:space="preserve">Prueba de failover manual: promover la secundaria a primaria y verificar continuidad de aplicaciones.</w:t>
      </w:r>
    </w:p>
    <w:p>
      <w:pPr>
        <w:pStyle w:val="ListParagraph"/>
        <w:numPr>
          <w:ilvl w:val="0"/>
          <w:numId w:val="2"/>
        </w:numPr>
        <w:spacing w:before="60" w:after="60"/>
      </w:pPr>
      <w:r>
        <w:rPr>
          <w:rFonts w:ascii="Arial" w:cs="Arial" w:eastAsia="Arial" w:hAnsi="Arial"/>
          <w:b w:val="false"/>
          <w:bCs w:val="false"/>
          <w:sz w:val="22"/>
          <w:szCs w:val="22"/>
        </w:rPr>
        <w:t xml:space="preserve">Prueba de failover automático: simular caída del nodo primario y medir tiempo de recuperación.</w:t>
      </w:r>
    </w:p>
    <w:p>
      <w:pPr>
        <w:pStyle w:val="ListParagraph"/>
        <w:numPr>
          <w:ilvl w:val="0"/>
          <w:numId w:val="2"/>
        </w:numPr>
        <w:spacing w:before="60" w:after="60"/>
      </w:pPr>
      <w:r>
        <w:rPr>
          <w:rFonts w:ascii="Arial" w:cs="Arial" w:eastAsia="Arial" w:hAnsi="Arial"/>
          <w:b w:val="false"/>
          <w:bCs w:val="false"/>
          <w:sz w:val="22"/>
          <w:szCs w:val="22"/>
        </w:rPr>
        <w:t xml:space="preserve">Prueba de Read-Only Routing: confirmar que las conexiones ReadOnly no van al primario.</w:t>
      </w:r>
    </w:p>
    <w:p>
      <w:pPr>
        <w:pStyle w:val="ListParagraph"/>
        <w:numPr>
          <w:ilvl w:val="0"/>
          <w:numId w:val="2"/>
        </w:numPr>
        <w:spacing w:before="60" w:after="60"/>
      </w:pPr>
      <w:r>
        <w:rPr>
          <w:rFonts w:ascii="Arial" w:cs="Arial" w:eastAsia="Arial" w:hAnsi="Arial"/>
          <w:b w:val="false"/>
          <w:bCs w:val="false"/>
          <w:sz w:val="22"/>
          <w:szCs w:val="22"/>
        </w:rPr>
        <w:t xml:space="preserve">Pruebas de carga: ejecutar benchmark para comparar rendimiento con la arquitectura anterior.</w:t>
      </w:r>
    </w:p>
    <w:p>
      <w:pPr>
        <w:pStyle w:val="ListParagraph"/>
        <w:numPr>
          <w:ilvl w:val="0"/>
          <w:numId w:val="2"/>
        </w:numPr>
        <w:spacing w:before="60" w:after="60"/>
      </w:pPr>
      <w:r>
        <w:rPr>
          <w:rFonts w:ascii="Arial" w:cs="Arial" w:eastAsia="Arial" w:hAnsi="Arial"/>
          <w:b w:val="false"/>
          <w:bCs w:val="false"/>
          <w:sz w:val="22"/>
          <w:szCs w:val="22"/>
        </w:rPr>
        <w:t xml:space="preserve">Pruebas de regresión de aplicaciones: ciclo completo de QA.</w:t>
      </w:r>
    </w:p>
    <w:p>
      <w:pPr>
        <w:pStyle w:val="ListParagraph"/>
        <w:numPr>
          <w:ilvl w:val="0"/>
          <w:numId w:val="2"/>
        </w:numPr>
        <w:spacing w:before="60" w:after="60"/>
      </w:pPr>
      <w:r>
        <w:rPr>
          <w:rFonts w:ascii="Arial" w:cs="Arial" w:eastAsia="Arial" w:hAnsi="Arial"/>
          <w:b w:val="false"/>
          <w:bCs w:val="false"/>
          <w:sz w:val="22"/>
          <w:szCs w:val="22"/>
        </w:rPr>
        <w:t xml:space="preserve">Revisión y aprobación del reporte de pruebas por parte de los líderes técnicos y de negocio.</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Fase 7 — Migración a Producción (Semana 8 — Ventana de Mantenimiento)</w:t>
      </w:r>
    </w:p>
    <w:p>
      <w:pPr>
        <w:pStyle w:val="ListParagraph"/>
        <w:numPr>
          <w:ilvl w:val="0"/>
          <w:numId w:val="2"/>
        </w:numPr>
        <w:spacing w:before="60" w:after="60"/>
      </w:pPr>
      <w:r>
        <w:rPr>
          <w:rFonts w:ascii="Arial" w:cs="Arial" w:eastAsia="Arial" w:hAnsi="Arial"/>
          <w:b w:val="false"/>
          <w:bCs w:val="false"/>
          <w:sz w:val="22"/>
          <w:szCs w:val="22"/>
        </w:rPr>
        <w:t xml:space="preserve">Comunicar formalmente la ventana de mantenimiento (mínimo 72 h de anticipación).</w:t>
      </w:r>
    </w:p>
    <w:p>
      <w:pPr>
        <w:pStyle w:val="ListParagraph"/>
        <w:numPr>
          <w:ilvl w:val="0"/>
          <w:numId w:val="2"/>
        </w:numPr>
        <w:spacing w:before="60" w:after="60"/>
      </w:pPr>
      <w:r>
        <w:rPr>
          <w:rFonts w:ascii="Arial" w:cs="Arial" w:eastAsia="Arial" w:hAnsi="Arial"/>
          <w:b w:val="false"/>
          <w:bCs w:val="false"/>
          <w:sz w:val="22"/>
          <w:szCs w:val="22"/>
        </w:rPr>
        <w:t xml:space="preserve">Tomar backup completo de todas las bases de datos productivas.</w:t>
      </w:r>
    </w:p>
    <w:p>
      <w:pPr>
        <w:pStyle w:val="ListParagraph"/>
        <w:numPr>
          <w:ilvl w:val="0"/>
          <w:numId w:val="2"/>
        </w:numPr>
        <w:spacing w:before="60" w:after="60"/>
      </w:pPr>
      <w:r>
        <w:rPr>
          <w:rFonts w:ascii="Arial" w:cs="Arial" w:eastAsia="Arial" w:hAnsi="Arial"/>
          <w:b w:val="false"/>
          <w:bCs w:val="false"/>
          <w:sz w:val="22"/>
          <w:szCs w:val="22"/>
        </w:rPr>
        <w:t xml:space="preserve">Agregar las bases de datos al Availability Group en producción siguiendo el runbook aprobado.</w:t>
      </w:r>
    </w:p>
    <w:p>
      <w:pPr>
        <w:pStyle w:val="ListParagraph"/>
        <w:numPr>
          <w:ilvl w:val="0"/>
          <w:numId w:val="2"/>
        </w:numPr>
        <w:spacing w:before="60" w:after="60"/>
      </w:pPr>
      <w:r>
        <w:rPr>
          <w:rFonts w:ascii="Arial" w:cs="Arial" w:eastAsia="Arial" w:hAnsi="Arial"/>
          <w:b w:val="false"/>
          <w:bCs w:val="false"/>
          <w:sz w:val="22"/>
          <w:szCs w:val="22"/>
        </w:rPr>
        <w:t xml:space="preserve">Esperar sincronización completa entre réplicas antes de continuar.</w:t>
      </w:r>
    </w:p>
    <w:p>
      <w:pPr>
        <w:pStyle w:val="ListParagraph"/>
        <w:numPr>
          <w:ilvl w:val="0"/>
          <w:numId w:val="2"/>
        </w:numPr>
        <w:spacing w:before="60" w:after="60"/>
      </w:pPr>
      <w:r>
        <w:rPr>
          <w:rFonts w:ascii="Arial" w:cs="Arial" w:eastAsia="Arial" w:hAnsi="Arial"/>
          <w:b w:val="false"/>
          <w:bCs w:val="false"/>
          <w:sz w:val="22"/>
          <w:szCs w:val="22"/>
        </w:rPr>
        <w:t xml:space="preserve">Actualizar cadenas de conexión de producción al Listener.</w:t>
      </w:r>
    </w:p>
    <w:p>
      <w:pPr>
        <w:pStyle w:val="ListParagraph"/>
        <w:numPr>
          <w:ilvl w:val="0"/>
          <w:numId w:val="2"/>
        </w:numPr>
        <w:spacing w:before="60" w:after="60"/>
      </w:pPr>
      <w:r>
        <w:rPr>
          <w:rFonts w:ascii="Arial" w:cs="Arial" w:eastAsia="Arial" w:hAnsi="Arial"/>
          <w:b w:val="false"/>
          <w:bCs w:val="false"/>
          <w:sz w:val="22"/>
          <w:szCs w:val="22"/>
        </w:rPr>
        <w:t xml:space="preserve">Realizar smoke testing en producción: validar operaciones críticas del negocio.</w:t>
      </w:r>
    </w:p>
    <w:p>
      <w:pPr>
        <w:pStyle w:val="ListParagraph"/>
        <w:numPr>
          <w:ilvl w:val="0"/>
          <w:numId w:val="2"/>
        </w:numPr>
        <w:spacing w:before="60" w:after="60"/>
      </w:pPr>
      <w:r>
        <w:rPr>
          <w:rFonts w:ascii="Arial" w:cs="Arial" w:eastAsia="Arial" w:hAnsi="Arial"/>
          <w:b w:val="false"/>
          <w:bCs w:val="false"/>
          <w:sz w:val="22"/>
          <w:szCs w:val="22"/>
        </w:rPr>
        <w:t xml:space="preserve">Monitorear activamente durante las primeras 4 horas post-migración.</w:t>
      </w:r>
    </w:p>
    <w:p>
      <w:pPr>
        <w:pStyle w:val="ListParagraph"/>
        <w:numPr>
          <w:ilvl w:val="0"/>
          <w:numId w:val="2"/>
        </w:numPr>
        <w:spacing w:before="60" w:after="60"/>
      </w:pPr>
      <w:r>
        <w:rPr>
          <w:rFonts w:ascii="Arial" w:cs="Arial" w:eastAsia="Arial" w:hAnsi="Arial"/>
          <w:b w:val="false"/>
          <w:bCs w:val="false"/>
          <w:sz w:val="22"/>
          <w:szCs w:val="22"/>
        </w:rPr>
        <w:t xml:space="preserve">Declarar migración exitosa o activar plan de rollback si se detectan problemas críticos.</w:t>
      </w:r>
    </w:p>
    <w:p>
      <w:pPr>
        <w:spacing w:before="60" w:after="0"/>
      </w:pPr>
      <w:r>
        <w:t xml:space="preserve"/>
      </w:r>
    </w:p>
    <w:p>
      <w:pPr>
        <w:pStyle w:val="Heading2"/>
        <w:spacing w:before="280" w:after="100"/>
      </w:pPr>
      <w:r>
        <w:rPr>
          <w:rFonts w:ascii="Arial" w:cs="Arial" w:eastAsia="Arial" w:hAnsi="Arial"/>
          <w:b/>
          <w:bCs/>
          <w:color w:val="2E75B6"/>
          <w:sz w:val="28"/>
          <w:szCs w:val="28"/>
        </w:rPr>
        <w:t xml:space="preserve">Fase 8 — Monitoreo Post-Migración (Semanas 9–12)</w:t>
      </w:r>
    </w:p>
    <w:p>
      <w:pPr>
        <w:pStyle w:val="ListParagraph"/>
        <w:numPr>
          <w:ilvl w:val="0"/>
          <w:numId w:val="2"/>
        </w:numPr>
        <w:spacing w:before="60" w:after="60"/>
      </w:pPr>
      <w:r>
        <w:rPr>
          <w:rFonts w:ascii="Arial" w:cs="Arial" w:eastAsia="Arial" w:hAnsi="Arial"/>
          <w:b w:val="false"/>
          <w:bCs w:val="false"/>
          <w:sz w:val="22"/>
          <w:szCs w:val="22"/>
        </w:rPr>
        <w:t xml:space="preserve">Monitoreo diario de estado de replicación, latencia de sincronización y rendimiento de queries.</w:t>
      </w:r>
    </w:p>
    <w:p>
      <w:pPr>
        <w:pStyle w:val="ListParagraph"/>
        <w:numPr>
          <w:ilvl w:val="0"/>
          <w:numId w:val="2"/>
        </w:numPr>
        <w:spacing w:before="60" w:after="60"/>
      </w:pPr>
      <w:r>
        <w:rPr>
          <w:rFonts w:ascii="Arial" w:cs="Arial" w:eastAsia="Arial" w:hAnsi="Arial"/>
          <w:b w:val="false"/>
          <w:bCs w:val="false"/>
          <w:sz w:val="22"/>
          <w:szCs w:val="22"/>
        </w:rPr>
        <w:t xml:space="preserve">Revisión de alertas de SQL Agent y logs de Windows.</w:t>
      </w:r>
    </w:p>
    <w:p>
      <w:pPr>
        <w:pStyle w:val="ListParagraph"/>
        <w:numPr>
          <w:ilvl w:val="0"/>
          <w:numId w:val="2"/>
        </w:numPr>
        <w:spacing w:before="60" w:after="60"/>
      </w:pPr>
      <w:r>
        <w:rPr>
          <w:rFonts w:ascii="Arial" w:cs="Arial" w:eastAsia="Arial" w:hAnsi="Arial"/>
          <w:b w:val="false"/>
          <w:bCs w:val="false"/>
          <w:sz w:val="22"/>
          <w:szCs w:val="22"/>
        </w:rPr>
        <w:t xml:space="preserve">Ajuste de parámetros de rendimiento según sea necesario (índices, estadísticas, Read-Only Routing).</w:t>
      </w:r>
    </w:p>
    <w:p>
      <w:pPr>
        <w:pStyle w:val="ListParagraph"/>
        <w:numPr>
          <w:ilvl w:val="0"/>
          <w:numId w:val="2"/>
        </w:numPr>
        <w:spacing w:before="60" w:after="60"/>
      </w:pPr>
      <w:r>
        <w:rPr>
          <w:rFonts w:ascii="Arial" w:cs="Arial" w:eastAsia="Arial" w:hAnsi="Arial"/>
          <w:b w:val="false"/>
          <w:bCs w:val="false"/>
          <w:sz w:val="22"/>
          <w:szCs w:val="22"/>
        </w:rPr>
        <w:t xml:space="preserve">Capacitación al equipo de operaciones en procedimientos de failover, gestión del AG Listener y monitoreo.</w:t>
      </w:r>
    </w:p>
    <w:p>
      <w:pPr>
        <w:pStyle w:val="ListParagraph"/>
        <w:numPr>
          <w:ilvl w:val="0"/>
          <w:numId w:val="2"/>
        </w:numPr>
        <w:spacing w:before="60" w:after="60"/>
      </w:pPr>
      <w:r>
        <w:rPr>
          <w:rFonts w:ascii="Arial" w:cs="Arial" w:eastAsia="Arial" w:hAnsi="Arial"/>
          <w:b w:val="false"/>
          <w:bCs w:val="false"/>
          <w:sz w:val="22"/>
          <w:szCs w:val="22"/>
        </w:rPr>
        <w:t xml:space="preserve">Entrega de documentación final: arquitectura TO-BE, runbooks, procedimientos de emergencia.</w:t>
      </w:r>
    </w:p>
    <w:p>
      <w:pPr>
        <w:pStyle w:val="ListParagraph"/>
        <w:numPr>
          <w:ilvl w:val="0"/>
          <w:numId w:val="2"/>
        </w:numPr>
        <w:spacing w:before="60" w:after="60"/>
      </w:pPr>
      <w:r>
        <w:rPr>
          <w:rFonts w:ascii="Arial" w:cs="Arial" w:eastAsia="Arial" w:hAnsi="Arial"/>
          <w:b w:val="false"/>
          <w:bCs w:val="false"/>
          <w:sz w:val="22"/>
          <w:szCs w:val="22"/>
        </w:rPr>
        <w:t xml:space="preserve">Reunión de cierre de proyecto con lecciones aprendidas.</w:t>
      </w:r>
    </w:p>
    <w:p>
      <w:pPr>
        <w:spacing w:before="120" w:after="0"/>
      </w:pPr>
      <w:r>
        <w:t xml:space="preserve"/>
      </w:r>
    </w:p>
    <w:p>
      <w:pPr>
        <w:pBdr>
          <w:bottom w:val="single" w:color="2E75B6" w:sz="6" w:space="1"/>
        </w:pBdr>
        <w:spacing w:before="200" w:after="200"/>
      </w:pPr>
      <w:r>
        <w:rPr>
          <w:rFonts w:ascii="Arial" w:cs="Arial" w:eastAsia="Arial" w:hAnsi="Arial"/>
          <w:b/>
          <w:bCs/>
          <w:color w:val="1F3864"/>
          <w:sz w:val="32"/>
          <w:szCs w:val="32"/>
        </w:rPr>
        <w:t xml:space="preserve">9.  Riesgos y Mitigación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500"/>
        <w:gridCol w:w="2860"/>
      </w:tblGrid>
      <w:tr>
        <w:tc>
          <w:tcPr>
            <w:tcW w:type="dxa" w:w="28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Riesgo</w:t>
            </w:r>
          </w:p>
        </w:tc>
        <w:tc>
          <w:tcPr>
            <w:tcW w:type="dxa" w:w="12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Probabilidad</w:t>
            </w:r>
          </w:p>
        </w:tc>
        <w:tc>
          <w:tcPr>
            <w:tcW w:type="dxa" w:w="25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Impacto</w:t>
            </w:r>
          </w:p>
        </w:tc>
        <w:tc>
          <w:tcPr>
            <w:tcW w:type="dxa" w:w="28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Mitigación</w:t>
            </w:r>
          </w:p>
        </w:tc>
      </w:tr>
      <w:tr>
        <w:tc>
          <w:tcPr>
            <w:tcW w:type="dxa" w:w="2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Drivers de conexión incompatibles con ApplicationIntent</w:t>
            </w:r>
          </w:p>
        </w:tc>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Media</w:t>
            </w:r>
          </w:p>
        </w:tc>
        <w:tc>
          <w:tcPr>
            <w:tcW w:type="dxa" w:w="2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Aplicaciones no usan réplica de lectura</w:t>
            </w:r>
          </w:p>
        </w:tc>
        <w:tc>
          <w:tcPr>
            <w:tcW w:type="dxa" w:w="28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Inventario previo + actualización de drivers antes de go-live</w:t>
            </w:r>
          </w:p>
        </w:tc>
      </w:tr>
      <w:tr>
        <w:tc>
          <w:tcPr>
            <w:tcW w:type="dxa" w:w="2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Latencia de red entre nodos mayor a lo esperado</w:t>
            </w:r>
          </w:p>
        </w:tc>
        <w:tc>
          <w:tcPr>
            <w:tcW w:type="dxa" w:w="1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Media</w:t>
            </w:r>
          </w:p>
        </w:tc>
        <w:tc>
          <w:tcPr>
            <w:tcW w:type="dxa" w:w="2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Modo síncrono impacta escrituras</w:t>
            </w:r>
          </w:p>
        </w:tc>
        <w:tc>
          <w:tcPr>
            <w:tcW w:type="dxa" w:w="28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Medir latencia en Fase 3; ajustar a modo asíncrono si supera 10 ms</w:t>
            </w:r>
          </w:p>
        </w:tc>
      </w:tr>
      <w:tr>
        <w:tc>
          <w:tcPr>
            <w:tcW w:type="dxa" w:w="28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BDs con modo de recuperación SIMPLE no elegibles para Always On</w:t>
            </w:r>
          </w:p>
        </w:tc>
        <w:tc>
          <w:tcPr>
            <w:tcW w:type="dxa" w:w="12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Alta</w:t>
            </w:r>
          </w:p>
        </w:tc>
        <w:tc>
          <w:tcPr>
            <w:tcW w:type="dxa" w:w="25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BDs excluidas del AG</w:t>
            </w:r>
          </w:p>
        </w:tc>
        <w:tc>
          <w:tcPr>
            <w:tcW w:type="dxa" w:w="286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Cambiar a modo FULL en Fase 1 y tomar backup base previo</w:t>
            </w:r>
          </w:p>
        </w:tc>
      </w:tr>
      <w:tr>
        <w:tc>
          <w:tcPr>
            <w:tcW w:type="dxa" w:w="2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Tiempo de sincronización inicial mayor a la ventana de mantenimiento</w:t>
            </w:r>
          </w:p>
        </w:tc>
        <w:tc>
          <w:tcPr>
            <w:tcW w:type="dxa" w:w="1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Media</w:t>
            </w:r>
          </w:p>
        </w:tc>
        <w:tc>
          <w:tcPr>
            <w:tcW w:type="dxa" w:w="25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Extensión de downtime</w:t>
            </w:r>
          </w:p>
        </w:tc>
        <w:tc>
          <w:tcPr>
            <w:tcW w:type="dxa" w:w="28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Pre-sincronizar usando backup/restore antes del corte; solo delta en ventana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Objetos de instancia no replicados (logins, jobs, linked servers)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Alta</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Fallas post-failover</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Sincronizar manualmente logins, SQL Agent jobs y linked servers en todas las réplicas</w:t>
            </w:r>
          </w:p>
        </w:tc>
      </w:tr>
    </w:tbl>
    <w:p>
      <w:pPr>
        <w:spacing w:before="120" w:after="0"/>
      </w:pPr>
      <w:r>
        <w:t xml:space="preserve"/>
      </w:r>
    </w:p>
    <w:p>
      <w:pPr>
        <w:pBdr>
          <w:bottom w:val="single" w:color="2E75B6" w:sz="6" w:space="1"/>
        </w:pBdr>
        <w:spacing w:before="200" w:after="200"/>
      </w:pPr>
      <w:r>
        <w:rPr>
          <w:rFonts w:ascii="Arial" w:cs="Arial" w:eastAsia="Arial" w:hAnsi="Arial"/>
          <w:b/>
          <w:bCs/>
          <w:color w:val="1F3864"/>
          <w:sz w:val="32"/>
          <w:szCs w:val="32"/>
        </w:rPr>
        <w:t xml:space="preserve">10.  Criterios de Éxito y Aceptación</w:t>
      </w:r>
    </w:p>
    <w:p>
      <w:pPr>
        <w:spacing w:before="60" w:after="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Todas las bases de datos productivas en estado Synchronized en el Availability Group.</w:t>
      </w:r>
    </w:p>
    <w:p>
      <w:pPr>
        <w:pStyle w:val="ListParagraph"/>
        <w:numPr>
          <w:ilvl w:val="0"/>
          <w:numId w:val="2"/>
        </w:numPr>
        <w:spacing w:before="60" w:after="60"/>
      </w:pPr>
      <w:r>
        <w:rPr>
          <w:rFonts w:ascii="Arial" w:cs="Arial" w:eastAsia="Arial" w:hAnsi="Arial"/>
          <w:b w:val="false"/>
          <w:bCs w:val="false"/>
          <w:sz w:val="22"/>
          <w:szCs w:val="22"/>
        </w:rPr>
        <w:t xml:space="preserve">RTO medido en prueba de failover menor a 30 segundos.</w:t>
      </w:r>
    </w:p>
    <w:p>
      <w:pPr>
        <w:pStyle w:val="ListParagraph"/>
        <w:numPr>
          <w:ilvl w:val="0"/>
          <w:numId w:val="2"/>
        </w:numPr>
        <w:spacing w:before="60" w:after="60"/>
      </w:pPr>
      <w:r>
        <w:rPr>
          <w:rFonts w:ascii="Arial" w:cs="Arial" w:eastAsia="Arial" w:hAnsi="Arial"/>
          <w:b w:val="false"/>
          <w:bCs w:val="false"/>
          <w:sz w:val="22"/>
          <w:szCs w:val="22"/>
        </w:rPr>
        <w:t xml:space="preserve">Todas las aplicaciones críticas operando correctamente con la nueva cadena de conexión al Listener.</w:t>
      </w:r>
    </w:p>
    <w:p>
      <w:pPr>
        <w:pStyle w:val="ListParagraph"/>
        <w:numPr>
          <w:ilvl w:val="0"/>
          <w:numId w:val="2"/>
        </w:numPr>
        <w:spacing w:before="60" w:after="60"/>
      </w:pPr>
      <w:r>
        <w:rPr>
          <w:rFonts w:ascii="Arial" w:cs="Arial" w:eastAsia="Arial" w:hAnsi="Arial"/>
          <w:b w:val="false"/>
          <w:bCs w:val="false"/>
          <w:sz w:val="22"/>
          <w:szCs w:val="22"/>
        </w:rPr>
        <w:t xml:space="preserve">Consultas de lectura confirmadas como enrutadas a la réplica secundaria (sin impacto en primario).</w:t>
      </w:r>
    </w:p>
    <w:p>
      <w:pPr>
        <w:pStyle w:val="ListParagraph"/>
        <w:numPr>
          <w:ilvl w:val="0"/>
          <w:numId w:val="2"/>
        </w:numPr>
        <w:spacing w:before="60" w:after="60"/>
      </w:pPr>
      <w:r>
        <w:rPr>
          <w:rFonts w:ascii="Arial" w:cs="Arial" w:eastAsia="Arial" w:hAnsi="Arial"/>
          <w:b w:val="false"/>
          <w:bCs w:val="false"/>
          <w:sz w:val="22"/>
          <w:szCs w:val="22"/>
        </w:rPr>
        <w:t xml:space="preserve">Cero pérdida de datos en modo síncrono (RPO = 0 validado en prueba).</w:t>
      </w:r>
    </w:p>
    <w:p>
      <w:pPr>
        <w:pStyle w:val="ListParagraph"/>
        <w:numPr>
          <w:ilvl w:val="0"/>
          <w:numId w:val="2"/>
        </w:numPr>
        <w:spacing w:before="60" w:after="60"/>
      </w:pPr>
      <w:r>
        <w:rPr>
          <w:rFonts w:ascii="Arial" w:cs="Arial" w:eastAsia="Arial" w:hAnsi="Arial"/>
          <w:b w:val="false"/>
          <w:bCs w:val="false"/>
          <w:sz w:val="22"/>
          <w:szCs w:val="22"/>
        </w:rPr>
        <w:t xml:space="preserve">Documentación técnica completa entregada y revisada.</w:t>
      </w:r>
    </w:p>
    <w:p>
      <w:pPr>
        <w:pStyle w:val="ListParagraph"/>
        <w:numPr>
          <w:ilvl w:val="0"/>
          <w:numId w:val="2"/>
        </w:numPr>
        <w:spacing w:before="60" w:after="60"/>
      </w:pPr>
      <w:r>
        <w:rPr>
          <w:rFonts w:ascii="Arial" w:cs="Arial" w:eastAsia="Arial" w:hAnsi="Arial"/>
          <w:b w:val="false"/>
          <w:bCs w:val="false"/>
          <w:sz w:val="22"/>
          <w:szCs w:val="22"/>
        </w:rPr>
        <w:t xml:space="preserve">Equipo de operaciones capacitado en procedimientos de failover y monitoreo.</w:t>
      </w:r>
    </w:p>
    <w:p>
      <w:pPr>
        <w:spacing w:before="120" w:after="0"/>
      </w:pPr>
      <w:r>
        <w:t xml:space="preserve"/>
      </w:r>
    </w:p>
    <w:p>
      <w:pPr>
        <w:pBdr>
          <w:bottom w:val="single" w:color="2E75B6" w:sz="6" w:space="1"/>
        </w:pBdr>
        <w:spacing w:before="200" w:after="200"/>
      </w:pPr>
      <w:r>
        <w:rPr>
          <w:rFonts w:ascii="Arial" w:cs="Arial" w:eastAsia="Arial" w:hAnsi="Arial"/>
          <w:b/>
          <w:bCs/>
          <w:color w:val="1F3864"/>
          <w:sz w:val="32"/>
          <w:szCs w:val="32"/>
        </w:rPr>
        <w:t xml:space="preserve">11.  Control de Versiones y Aprobaciones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1800"/>
        <w:gridCol w:w="2000"/>
      </w:tblGrid>
      <w:tr>
        <w:tc>
          <w:tcPr>
            <w:tcW w:type="dxa" w:w="15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Versión</w:t>
            </w:r>
          </w:p>
        </w:tc>
        <w:tc>
          <w:tcPr>
            <w:tcW w:type="dxa" w:w="20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Fecha</w:t>
            </w:r>
          </w:p>
        </w:tc>
        <w:tc>
          <w:tcPr>
            <w:tcW w:type="dxa" w:w="20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Autor</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Revisado por</w:t>
            </w:r>
          </w:p>
        </w:tc>
        <w:tc>
          <w:tcPr>
            <w:tcW w:type="dxa" w:w="20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Cambios</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2025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Equipo de TI</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Dirección de TI</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Versión inicial</w:t>
            </w:r>
          </w:p>
        </w:tc>
      </w:tr>
    </w:tbl>
    <w:p>
      <w:pPr>
        <w:spacing w:before="180" w:after="0"/>
      </w:pPr>
      <w:r>
        <w:t xml:space="preserve"/>
      </w:r>
    </w:p>
    <w:p>
      <w:pPr>
        <w:spacing w:before="400" w:after="0"/>
        <w:jc w:val="center"/>
      </w:pPr>
      <w:r>
        <w:rPr>
          <w:rFonts w:ascii="Arial" w:cs="Arial" w:eastAsia="Arial" w:hAnsi="Arial"/>
          <w:i/>
          <w:iCs/>
          <w:color w:val="888888"/>
          <w:sz w:val="20"/>
          <w:szCs w:val="20"/>
        </w:rPr>
        <w:t xml:space="preserve">— Fin del Documento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888888"/>
        <w:sz w:val="16"/>
        <w:szCs w:val="16"/>
      </w:rPr>
      <w:t xml:space="preserve">Versión 1.0  |  2025</w:t>
    </w:r>
    <w:r>
      <w:rPr>
        <w:rFonts w:ascii="Arial" w:cs="Arial" w:eastAsia="Arial" w:hAnsi="Arial"/>
        <w:color w:val="888888"/>
        <w:sz w:val="16"/>
        <w:szCs w:val="16"/>
      </w:rPr>
      <w:t xml:space="preserve">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b/>
        <w:bCs/>
        <w:color w:val="2E75B6"/>
        <w:sz w:val="18"/>
        <w:szCs w:val="18"/>
      </w:rPr>
      <w:t xml:space="preserve">PROPUESTA DE MIGRACIÓN  |  SQL Server → SQL Always On</w:t>
    </w:r>
    <w:r>
      <w:rPr>
        <w:rFonts w:ascii="Arial" w:cs="Arial" w:eastAsia="Arial" w:hAnsi="Arial"/>
        <w:color w:val="888888"/>
        <w:sz w:val="16"/>
        <w:szCs w:val="16"/>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2026-03-08T21:43:17.798Z</dcterms:created>
  <dcterms:modified xsi:type="dcterms:W3CDTF">2026-03-08T21:43:17.799Z</dcterms:modified>
</cp:coreProperties>
</file>

<file path=docProps/custom.xml><?xml version="1.0" encoding="utf-8"?>
<Properties xmlns="http://schemas.openxmlformats.org/officeDocument/2006/custom-properties" xmlns:vt="http://schemas.openxmlformats.org/officeDocument/2006/docPropsVTypes"/>
</file>