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0F4C81"/>
          <w:sz w:val="44"/>
          <w:szCs w:val="44"/>
        </w:rPr>
        <w:t xml:space="preserve">DOCUMENTO DE VISIÓN Y ALCANCE</w:t>
      </w:r>
    </w:p>
    <w:p>
      <w:pPr>
        <w:pBdr>
          <w:bottom w:val="single" w:color="0F4C81" w:sz="12" w:space="6"/>
        </w:pBdr>
        <w:spacing w:after="300"/>
      </w:pPr>
    </w:p>
    <w:p>
      <w:pPr>
        <w:spacing w:after="120"/>
      </w:pPr>
      <w:r>
        <w:rPr>
          <w:b/>
          <w:bCs/>
          <w:sz w:val="30"/>
          <w:szCs w:val="30"/>
        </w:rPr>
        <w:t xml:space="preserve">Implementación de Solución Web de 3 Niveles en Microsoft Azure</w:t>
      </w:r>
    </w:p>
    <w:p>
      <w:pPr>
        <w:spacing w:after="600"/>
      </w:pPr>
      <w:r>
        <w:rPr>
          <w:color w:val="595959"/>
          <w:sz w:val="24"/>
          <w:szCs w:val="24"/>
        </w:rPr>
        <w:t xml:space="preserve">Aplicativo, Base de Datos y Frontend (WAF) — esquema multisucursal, 60 usuarios concurrentes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Dato</w:t>
            </w:r>
          </w:p>
        </w:tc>
        <w:tc>
          <w:tcPr>
            <w:tcW w:type="dxa" w:w="61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Valor</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Cliente</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[NOMBRE DEL CLIENTE]</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Consultor / Implementador</w:t>
            </w:r>
          </w:p>
        </w:tc>
        <w:tc>
          <w:tcPr>
            <w:tcW w:type="dxa" w:w="61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[NOMBRE DE LA EMPRESA CONSULTORA]</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Proveedor de la aplicación (ISV)</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[NOMBRE DEL ISV]</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Documento base</w:t>
            </w:r>
          </w:p>
        </w:tc>
        <w:tc>
          <w:tcPr>
            <w:tcW w:type="dxa" w:w="61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Propuesta Técnica v1.0 — 27 de agosto de 2026</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Versión</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1.0</w:t>
            </w:r>
          </w:p>
        </w:tc>
      </w:tr>
      <w:tr>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Fecha</w:t>
            </w:r>
          </w:p>
        </w:tc>
        <w:tc>
          <w:tcPr>
            <w:tcW w:type="dxa" w:w="61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29 de septiembre de 2026</w:t>
            </w:r>
          </w:p>
        </w:tc>
      </w:tr>
      <w:t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Clasificación</w:t>
            </w:r>
          </w:p>
        </w:tc>
        <w:tc>
          <w:tcPr>
            <w:tcW w:type="dxa" w:w="6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Confidencial — uso exclusivo del Cliente y del Consultor</w:t>
            </w:r>
          </w:p>
        </w:tc>
      </w:tr>
    </w:tbl>
    <w:p>
      <w:r>
        <w:br w:type="page"/>
      </w:r>
    </w:p>
    <w:p>
      <w:pPr>
        <w:pStyle w:val="Heading1"/>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200"/>
        <w:gridCol w:w="4660"/>
      </w:tblGrid>
      <w:tr>
        <w:trPr>
          <w:tblHeader/>
        </w:trPr>
        <w:tc>
          <w:tcPr>
            <w:tcW w:type="dxa" w:w="11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Versión</w:t>
            </w:r>
          </w:p>
        </w:tc>
        <w:tc>
          <w:tcPr>
            <w:tcW w:type="dxa" w:w="14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Fecha</w:t>
            </w:r>
          </w:p>
        </w:tc>
        <w:tc>
          <w:tcPr>
            <w:tcW w:type="dxa" w:w="22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Autor</w:t>
            </w:r>
          </w:p>
        </w:tc>
        <w:tc>
          <w:tcPr>
            <w:tcW w:type="dxa" w:w="46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Descripción del cambio</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29/09/2026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[Gerente de Proyecto]</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Emisión inicial del documento de Visión y Alcance a partir de la Propuesta Técnica v1.0.</w:t>
            </w:r>
          </w:p>
        </w:tc>
      </w:tr>
      <w:tr>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46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r>
    </w:tbl>
    <w:p>
      <w:pPr>
        <w:spacing w:after="120"/>
      </w:pPr>
    </w:p>
    <w:p>
      <w:pPr>
        <w:spacing w:after="120" w:before="240"/>
      </w:pPr>
      <w:r>
        <w:rPr>
          <w:b/>
          <w:bCs/>
          <w:color w:val="0F4C81"/>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del documento</w:t>
      </w:r>
    </w:p>
    <w:p>
      <w:pPr>
        <w:spacing w:after="120" w:line="276"/>
        <w:jc w:val="both"/>
      </w:pPr>
      <w:r>
        <w:t xml:space="preserve">El presente documento establece la visión, los objetivos, el alcance, las premisas y el modelo de gobierno del proyecto de implementación de la infraestructura en Microsoft Azure que alojará la solución web de 3 niveles provista por un proveedor externo (ISV). Su finalidad es generar un entendimiento común y formal entre el Cliente y el Consultor sobre </w:t>
      </w:r>
      <w:r>
        <w:rPr>
          <w:b/>
          <w:bCs/>
        </w:rPr>
        <w:t xml:space="preserve">qué se entregará, qué no se entregará y bajo qué condiciones se ejecutará el proyecto</w:t>
      </w:r>
      <w:r>
        <w:t xml:space="preserve">.</w:t>
      </w:r>
    </w:p>
    <w:p>
      <w:pPr>
        <w:spacing w:after="120" w:line="276"/>
        <w:jc w:val="both"/>
      </w:pPr>
      <w:r>
        <w:t xml:space="preserve">Una vez firmado, este documento constituye la línea base del alcance. Cualquier modificación posterior deberá gestionarse a través del procedimiento de control de cambios descrito en la sección 13.</w:t>
      </w:r>
    </w:p>
    <w:p>
      <w:pPr>
        <w:pStyle w:val="Heading2"/>
      </w:pPr>
      <w:r>
        <w:t xml:space="preserve">1.1 Definiciones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Término</w:t>
            </w:r>
          </w:p>
        </w:tc>
        <w:tc>
          <w:tcPr>
            <w:tcW w:type="dxa" w:w="71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Definición</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Cliente</w:t>
            </w:r>
          </w:p>
        </w:tc>
        <w:tc>
          <w:tcPr>
            <w:tcW w:type="dxa" w:w="7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Organización que contrata el servicio y es dueña de la suscripción de Azure y de la solución.</w:t>
            </w:r>
          </w:p>
        </w:tc>
      </w:tr>
      <w:tr>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Consultor</w:t>
            </w:r>
          </w:p>
        </w:tc>
        <w:tc>
          <w:tcPr>
            <w:tcW w:type="dxa" w:w="71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Empresa responsable del diseño e implementación de la infraestructura descrita en este documento.</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ISV</w:t>
            </w:r>
          </w:p>
        </w:tc>
        <w:tc>
          <w:tcPr>
            <w:tcW w:type="dxa" w:w="7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Proveedor externo del software aplicativo (Independent Software Vendor).</w:t>
            </w:r>
          </w:p>
        </w:tc>
      </w:tr>
      <w:tr>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WAF</w:t>
            </w:r>
          </w:p>
        </w:tc>
        <w:tc>
          <w:tcPr>
            <w:tcW w:type="dxa" w:w="71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Web Application Firewall. En este proyecto, Azure Application Gateway v2 con tier WAF_v2.</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NSG</w:t>
            </w:r>
          </w:p>
        </w:tc>
        <w:tc>
          <w:tcPr>
            <w:tcW w:type="dxa" w:w="7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Network Security Group: reglas de filtrado de tráfico entre subredes de Azure.</w:t>
            </w:r>
          </w:p>
        </w:tc>
      </w:tr>
      <w:tr>
        <w:tc>
          <w:tcPr>
            <w:tcW w:type="dxa" w:w="2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Hypercare</w:t>
            </w:r>
          </w:p>
        </w:tc>
        <w:tc>
          <w:tcPr>
            <w:tcW w:type="dxa" w:w="71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Periodo de acompañamiento posterior a la salida a producción para estabilización.</w:t>
            </w:r>
          </w:p>
        </w:tc>
      </w:tr>
      <w:t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Corte provisional</w:t>
            </w:r>
          </w:p>
        </w:tc>
        <w:tc>
          <w:tcPr>
            <w:tcW w:type="dxa" w:w="71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Suspensión formal y temporal del proyecto ante un impedimento, con registro de avance y costos (ver sección 11).</w:t>
            </w:r>
          </w:p>
        </w:tc>
      </w:tr>
    </w:tbl>
    <w:p>
      <w:pPr>
        <w:pStyle w:val="Heading1"/>
      </w:pPr>
      <w:r>
        <w:t xml:space="preserve">2. Antecedentes y situación actual</w:t>
      </w:r>
    </w:p>
    <w:p>
      <w:pPr>
        <w:spacing w:after="120" w:line="276"/>
        <w:jc w:val="both"/>
      </w:pPr>
      <w:r>
        <w:t xml:space="preserve">El Cliente requiere implementar una nueva solución web provista por un ISV, la cual será utilizada por aproximadamente </w:t>
      </w:r>
      <w:r>
        <w:rPr>
          <w:b/>
          <w:bCs/>
        </w:rPr>
        <w:t xml:space="preserve">60 usuarios concurrentes</w:t>
      </w:r>
      <w:r>
        <w:t xml:space="preserve"> distribuidos en un esquema multisucursal (oficina principal y 3 o más oficinas). Actualmente no existe una infraestructura cloud desplegada para esta solución, por lo que es necesario diseñar, dimensionar y desplegar desde cero el ambiente que alojará los tres componentes de la aplicación: base de datos, servidor de aplicación y capa de frontend/publicación.</w:t>
      </w:r>
    </w:p>
    <w:p>
      <w:pPr>
        <w:spacing w:after="120" w:line="276"/>
        <w:jc w:val="both"/>
      </w:pPr>
      <w:r>
        <w:t xml:space="preserve">El ISV entregó un requerimiento de infraestructura (cómputo, memoria, almacenamiento y software base) y solicitó explícitamente un diseño de 3 niveles con segmentación de red mediante subredes aisladas, así como un componente WAF (reverse proxy) para la publicación segura del tráfico HTTPS hacia Internet.</w:t>
      </w:r>
    </w:p>
    <w:p>
      <w:pPr>
        <w:spacing w:after="120" w:line="276"/>
        <w:jc w:val="both"/>
      </w:pPr>
      <w:r>
        <w:t xml:space="preserve">Adicionalmente, el Cliente utiliza la herramienta de acceso remoto TC Plus para labores de administración, la cual también usa el puerto 443. El análisis técnico concluyó que no existe colisión con la publicación de la aplicación, siempre que su uso se aísle a la subred de administración y no se instale sobre las VMs productivas.</w:t>
      </w:r>
    </w:p>
    <w:p>
      <w:pPr>
        <w:pStyle w:val="Heading2"/>
      </w:pPr>
      <w:r>
        <w:t xml:space="preserve">2.1 Necesidades de negocio identificadas</w:t>
      </w:r>
    </w:p>
    <w:p>
      <w:pPr>
        <w:pStyle w:val="ListParagraph"/>
        <w:numPr>
          <w:ilvl w:val="0"/>
          <w:numId w:val="2"/>
        </w:numPr>
        <w:spacing w:after="80" w:line="264"/>
        <w:jc w:val="both"/>
      </w:pPr>
      <w:r>
        <w:t xml:space="preserve">Contar con una plataforma disponible y segura para la operación diaria de la nueva solución en todas las sucursales.</w:t>
      </w:r>
    </w:p>
    <w:p>
      <w:pPr>
        <w:pStyle w:val="ListParagraph"/>
        <w:numPr>
          <w:ilvl w:val="0"/>
          <w:numId w:val="2"/>
        </w:numPr>
        <w:spacing w:after="80" w:line="264"/>
        <w:jc w:val="both"/>
      </w:pPr>
      <w:r>
        <w:t xml:space="preserve">Publicar la aplicación en Internet sin exponer directamente los servidores de aplicación ni de base de datos.</w:t>
      </w:r>
    </w:p>
    <w:p>
      <w:pPr>
        <w:pStyle w:val="ListParagraph"/>
        <w:numPr>
          <w:ilvl w:val="0"/>
          <w:numId w:val="2"/>
        </w:numPr>
        <w:spacing w:after="80" w:line="264"/>
        <w:jc w:val="both"/>
      </w:pPr>
      <w:r>
        <w:t xml:space="preserve">Disponer de mecanismos de respaldo, monitoreo y administración remota segura.</w:t>
      </w:r>
    </w:p>
    <w:p>
      <w:pPr>
        <w:pStyle w:val="ListParagraph"/>
        <w:numPr>
          <w:ilvl w:val="0"/>
          <w:numId w:val="2"/>
        </w:numPr>
        <w:spacing w:after="80" w:line="264"/>
        <w:jc w:val="both"/>
      </w:pPr>
      <w:r>
        <w:t xml:space="preserve">Conocer y controlar el costo mensual de operación en la nube.</w:t>
      </w:r>
    </w:p>
    <w:p>
      <w:pPr>
        <w:pStyle w:val="Heading1"/>
      </w:pPr>
      <w:r>
        <w:t xml:space="preserve">3. Visión de la solución</w:t>
      </w:r>
    </w:p>
    <w:p>
      <w:pPr>
        <w:pStyle w:val="Heading2"/>
      </w:pPr>
      <w:r>
        <w:t xml:space="preserve">3.1 Declaración de visión</w:t>
      </w:r>
    </w:p>
    <w:p>
      <w:pPr>
        <w:pBdr>
          <w:left w:val="single" w:color="0F4C81" w:sz="24" w:space="12"/>
        </w:pBdr>
        <w:shd w:fill="DCE8F5" w:color="auto" w:val="clear"/>
        <w:spacing w:after="200" w:before="120"/>
        <w:ind w:left="360" w:right="360"/>
      </w:pPr>
      <w:r>
        <w:rPr>
          <w:i/>
          <w:iCs/>
          <w:sz w:val="22"/>
          <w:szCs w:val="22"/>
        </w:rPr>
        <w:t xml:space="preserve">Para el Cliente y sus sucursales, que requieren operar una nueva solución web de negocio, el proyecto entregará una infraestructura en Microsoft Azure segura, segmentada, monitoreada y respaldada, lista para que el ISV instale su aplicación y para que 60 usuarios concurrentes trabajen desde cualquier oficina vía HTTPS, con costos de operación conocidos y un modelo de administración controlado.</w:t>
      </w:r>
    </w:p>
    <w:p>
      <w:pPr>
        <w:pStyle w:val="Heading2"/>
      </w:pPr>
      <w:r>
        <w:t xml:space="preserve">3.2 Objetivo general</w:t>
      </w:r>
    </w:p>
    <w:p>
      <w:pPr>
        <w:spacing w:after="120" w:line="276"/>
        <w:jc w:val="both"/>
      </w:pPr>
      <w:r>
        <w:t xml:space="preserve">Diseñar, implementar y entregar en operación una arquitectura de infraestructura en Microsoft Azure que soporte la solución web de 3 niveles (Base de Datos, Aplicativo y Frontend/WAF) requerida por el ISV, garantizando disponibilidad, segmentación de seguridad de red, capacidad para 60 usuarios concurrentes multisucursal y mecanismos de administración, monitoreo y respaldo.</w:t>
      </w:r>
    </w:p>
    <w:p>
      <w:pPr>
        <w:pStyle w:val="Heading2"/>
      </w:pPr>
      <w:r>
        <w:t xml:space="preserve">3.3 Objetivos específicos</w:t>
      </w:r>
    </w:p>
    <w:p>
      <w:pPr>
        <w:pStyle w:val="ListParagraph"/>
        <w:numPr>
          <w:ilvl w:val="0"/>
          <w:numId w:val="3"/>
        </w:numPr>
        <w:spacing w:after="100" w:line="264"/>
        <w:jc w:val="both"/>
      </w:pPr>
      <w:r>
        <w:t xml:space="preserve">Dimensionar e implementar los recursos de cómputo, almacenamiento y sistema operativo de los servidores de Aplicación y Base de Datos conforme a lo solicitado por el ISV.</w:t>
      </w:r>
    </w:p>
    <w:p>
      <w:pPr>
        <w:pStyle w:val="ListParagraph"/>
        <w:numPr>
          <w:ilvl w:val="0"/>
          <w:numId w:val="3"/>
        </w:numPr>
        <w:spacing w:after="100" w:line="264"/>
        <w:jc w:val="both"/>
      </w:pPr>
      <w:r>
        <w:t xml:space="preserve">Implementar una topología de red segmentada (subredes) que aísle Base de Datos, Aplicativo, frontend público (WAF) y Administración/Monitoreo/Backup.</w:t>
      </w:r>
    </w:p>
    <w:p>
      <w:pPr>
        <w:pStyle w:val="ListParagraph"/>
        <w:numPr>
          <w:ilvl w:val="0"/>
          <w:numId w:val="3"/>
        </w:numPr>
        <w:spacing w:after="100" w:line="264"/>
        <w:jc w:val="both"/>
      </w:pPr>
      <w:r>
        <w:t xml:space="preserve">Publicar la aplicación de forma segura mediante Application Gateway WAF_v2 en el puerto 443.</w:t>
      </w:r>
    </w:p>
    <w:p>
      <w:pPr>
        <w:pStyle w:val="ListParagraph"/>
        <w:numPr>
          <w:ilvl w:val="0"/>
          <w:numId w:val="3"/>
        </w:numPr>
        <w:spacing w:after="100" w:line="264"/>
        <w:jc w:val="both"/>
      </w:pPr>
      <w:r>
        <w:t xml:space="preserve">Restringir la comunicación entre niveles únicamente a los puertos requeridos (443 y 1433) mediante NSGs.</w:t>
      </w:r>
    </w:p>
    <w:p>
      <w:pPr>
        <w:pStyle w:val="ListParagraph"/>
        <w:numPr>
          <w:ilvl w:val="0"/>
          <w:numId w:val="3"/>
        </w:numPr>
        <w:spacing w:after="100" w:line="264"/>
        <w:jc w:val="both"/>
      </w:pPr>
      <w:r>
        <w:t xml:space="preserve">Establecer un modelo de administración seguro (Azure Bastion, VPN Site-to-Site opcional y uso acotado de TC Plus).</w:t>
      </w:r>
    </w:p>
    <w:p>
      <w:pPr>
        <w:pStyle w:val="ListParagraph"/>
        <w:numPr>
          <w:ilvl w:val="0"/>
          <w:numId w:val="3"/>
        </w:numPr>
        <w:spacing w:after="100" w:line="264"/>
        <w:jc w:val="both"/>
      </w:pPr>
      <w:r>
        <w:t xml:space="preserve">Habilitar monitoreo, alertamiento y respaldo de las VMs.</w:t>
      </w:r>
    </w:p>
    <w:p>
      <w:pPr>
        <w:pStyle w:val="ListParagraph"/>
        <w:numPr>
          <w:ilvl w:val="0"/>
          <w:numId w:val="3"/>
        </w:numPr>
        <w:spacing w:after="100" w:line="264"/>
        <w:jc w:val="both"/>
      </w:pPr>
      <w:r>
        <w:t xml:space="preserve">Entregar la documentación técnica de la arquitectura implementada.</w:t>
      </w:r>
    </w:p>
    <w:p>
      <w:pPr>
        <w:pStyle w:val="Heading2"/>
      </w:pPr>
      <w:r>
        <w:t xml:space="preserve">3.4 Criterios de éxito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60"/>
        <w:gridCol w:w="4100"/>
      </w:tblGrid>
      <w:tr>
        <w:trPr>
          <w:tblHeader/>
        </w:trPr>
        <w:tc>
          <w:tcPr>
            <w:tcW w:type="dxa" w:w="5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w:t>
            </w:r>
          </w:p>
        </w:tc>
        <w:tc>
          <w:tcPr>
            <w:tcW w:type="dxa" w:w="47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Criterio de éxito</w:t>
            </w:r>
          </w:p>
        </w:tc>
        <w:tc>
          <w:tcPr>
            <w:tcW w:type="dxa" w:w="41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Forma de medición</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w:t>
            </w:r>
          </w:p>
        </w:tc>
        <w:tc>
          <w:tcPr>
            <w:tcW w:type="dxa" w:w="4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Infraestructura aprovisionada conforme al diseño aprobado</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Checklist de recursos vs. diseño de Fase 1</w:t>
            </w:r>
          </w:p>
        </w:tc>
      </w:tr>
      <w:t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2</w:t>
            </w:r>
          </w:p>
        </w:tc>
        <w:tc>
          <w:tcPr>
            <w:tcW w:type="dxa" w:w="47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Aplicación publicada exclusivamente vía WAF (HTTPS 443)</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Prueba de acceso externo; VMs sin IP pública</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w:t>
            </w:r>
          </w:p>
        </w:tc>
        <w:tc>
          <w:tcPr>
            <w:tcW w:type="dxa" w:w="4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Comunicación entre niveles limitada a 443/1433</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Revisión de reglas NSG y pruebas de conectividad</w:t>
            </w:r>
          </w:p>
        </w:tc>
      </w:tr>
      <w:t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4</w:t>
            </w:r>
          </w:p>
        </w:tc>
        <w:tc>
          <w:tcPr>
            <w:tcW w:type="dxa" w:w="47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Acceso administrativo sin puertos de gestión expuestos a Internet</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Validación de acceso vía Bastion / VPN</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5</w:t>
            </w:r>
          </w:p>
        </w:tc>
        <w:tc>
          <w:tcPr>
            <w:tcW w:type="dxa" w:w="4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Respaldos ejecutándose y restaurables</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Evidencia de backup exitoso y prueba de restauración</w:t>
            </w:r>
          </w:p>
        </w:tc>
      </w:tr>
      <w:t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6</w:t>
            </w:r>
          </w:p>
        </w:tc>
        <w:tc>
          <w:tcPr>
            <w:tcW w:type="dxa" w:w="47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Monitoreo y alertas activos</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Alertas de disponibilidad y consumo configuradas y probadas</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7</w:t>
            </w:r>
          </w:p>
        </w:tc>
        <w:tc>
          <w:tcPr>
            <w:tcW w:type="dxa" w:w="47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Usuarios piloto de al menos 2 sucursales acceden correctamente</w:t>
            </w:r>
          </w:p>
        </w:tc>
        <w:tc>
          <w:tcPr>
            <w:tcW w:type="dxa" w:w="4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Acta de pruebas piloto firmada</w:t>
            </w:r>
          </w:p>
        </w:tc>
      </w:tr>
      <w:t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8</w:t>
            </w:r>
          </w:p>
        </w:tc>
        <w:tc>
          <w:tcPr>
            <w:tcW w:type="dxa" w:w="47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Documentación técnica entregada y aceptada</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Acta de entrega de documentación</w:t>
            </w:r>
          </w:p>
        </w:tc>
      </w:tr>
    </w:tbl>
    <w:p>
      <w:pPr>
        <w:pStyle w:val="Heading1"/>
      </w:pPr>
      <w:r>
        <w:t xml:space="preserve">4. Descripción general de la solución</w:t>
      </w:r>
    </w:p>
    <w:p>
      <w:pPr>
        <w:spacing w:after="120" w:line="276"/>
        <w:jc w:val="both"/>
      </w:pPr>
      <w:r>
        <w:t xml:space="preserve">La solución se compone de una Virtual Network (VNet) en una región de Azure, con subredes dedicadas por función y un componente WAF como único punto de exposición pública.</w:t>
      </w:r>
    </w:p>
    <w:p>
      <w:pPr>
        <w:spacing w:after="60" w:before="120"/>
        <w:jc w:val="center"/>
      </w:pPr>
      <w:r>
        <w:drawing>
          <wp:inline distT="0" distB="0" distL="0" distR="0">
            <wp:extent cx="57150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48150"/>
                    </a:xfrm>
                    <a:prstGeom prst="rect">
                      <a:avLst/>
                    </a:prstGeom>
                  </pic:spPr>
                </pic:pic>
              </a:graphicData>
            </a:graphic>
          </wp:inline>
        </w:drawing>
      </w:r>
    </w:p>
    <w:p>
      <w:pPr>
        <w:spacing w:after="200"/>
        <w:jc w:val="center"/>
      </w:pPr>
      <w:r>
        <w:rPr>
          <w:i/>
          <w:iCs/>
          <w:color w:val="595959"/>
          <w:sz w:val="18"/>
          <w:szCs w:val="18"/>
        </w:rPr>
        <w:t xml:space="preserve">Figura 1. Arquitectura de referencia de 3 niveles en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Nivel / Componente</w:t>
            </w:r>
          </w:p>
        </w:tc>
        <w:tc>
          <w:tcPr>
            <w:tcW w:type="dxa" w:w="65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Descripción</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Nivel 1 — Frontend / DMZ</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Azure Application Gateway v2 (WAF_v2) con 1 IP pública Standard estática. Termina TLS, filtra tráfico (OWASP CRS) y reenvía al servidor de aplicación. Único elemento expuesto a Internet.</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Nivel 2 — Aplicativo</w:t>
            </w:r>
          </w:p>
        </w:tc>
        <w:tc>
          <w:tcPr>
            <w:tcW w:type="dxa" w:w="65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VM Windows Server 2025 (8 vCPU / 32 GB RAM) con IIS/servicios del ISV, Terminal Services y MS Office. Solo acepta tráfico desde el WAF; sale a BD únicamente por 1433.</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Nivel 3 — Base de Datos</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VM Windows Server 2025 (8 vCPU / 16 GB RAM) con SQL Server Standard 2025, en subred aislada. Solo acepta 1433 desde la subred de aplicación.</w:t>
            </w:r>
          </w:p>
        </w:tc>
      </w:tr>
      <w:tr>
        <w:tc>
          <w:tcPr>
            <w:tcW w:type="dxa" w:w="2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Subred de Administración, Monitoreo y Backup</w:t>
            </w:r>
          </w:p>
        </w:tc>
        <w:tc>
          <w:tcPr>
            <w:tcW w:type="dxa" w:w="65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Azure Bastion, Azure Monitor / Log Analytics, Defender for Cloud y Azure Backup (Recovery Services Vault).</w:t>
            </w:r>
          </w:p>
        </w:tc>
      </w:tr>
      <w:t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Conectividad administrativa (opcional)</w:t>
            </w:r>
          </w:p>
        </w:tc>
        <w:tc>
          <w:tcPr>
            <w:tcW w:type="dxa" w:w="6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Azure VPN Gateway VpnGw1 Site-to-Site hacia sucursales. Su activación se decide en la Fase 1.</w:t>
            </w:r>
          </w:p>
        </w:tc>
      </w:tr>
    </w:tbl>
    <w:p>
      <w:pPr>
        <w:pStyle w:val="Heading1"/>
      </w:pPr>
      <w:r>
        <w:t xml:space="preserve">5. Alcance del proyecto</w:t>
      </w:r>
    </w:p>
    <w:p>
      <w:pPr>
        <w:spacing w:after="120" w:line="276"/>
        <w:jc w:val="both"/>
      </w:pPr>
      <w:r>
        <w:t xml:space="preserve">El alcance comprende las siguientes actividades y componentes, agrupados por dominio:</w:t>
      </w:r>
    </w:p>
    <w:p>
      <w:pPr>
        <w:pStyle w:val="Heading2"/>
      </w:pPr>
      <w:r>
        <w:t xml:space="preserve">5.1 Diseño</w:t>
      </w:r>
    </w:p>
    <w:p>
      <w:pPr>
        <w:pStyle w:val="ListParagraph"/>
        <w:numPr>
          <w:ilvl w:val="0"/>
          <w:numId w:val="2"/>
        </w:numPr>
        <w:spacing w:after="80" w:line="264"/>
        <w:jc w:val="both"/>
      </w:pPr>
      <w:r>
        <w:t xml:space="preserve">Validación de requerimientos con el Cliente y el ISV, y diseño detallado de la arquitectura de red de 3 niveles (VNet, subredes, direccionamiento IP, NSGs).</w:t>
      </w:r>
    </w:p>
    <w:p>
      <w:pPr>
        <w:pStyle w:val="ListParagraph"/>
        <w:numPr>
          <w:ilvl w:val="0"/>
          <w:numId w:val="2"/>
        </w:numPr>
        <w:spacing w:after="80" w:line="264"/>
        <w:jc w:val="both"/>
      </w:pPr>
      <w:r>
        <w:t xml:space="preserve">Definición de la matriz de comunicación entre niveles y de la matriz de puertos.</w:t>
      </w:r>
    </w:p>
    <w:p>
      <w:pPr>
        <w:pStyle w:val="Heading2"/>
      </w:pPr>
      <w:r>
        <w:t xml:space="preserve">5.2 Infraestructura y red</w:t>
      </w:r>
    </w:p>
    <w:p>
      <w:pPr>
        <w:pStyle w:val="ListParagraph"/>
        <w:numPr>
          <w:ilvl w:val="0"/>
          <w:numId w:val="2"/>
        </w:numPr>
        <w:spacing w:after="80" w:line="264"/>
        <w:jc w:val="both"/>
      </w:pPr>
      <w:r>
        <w:t xml:space="preserve">Aprovisionamiento de 2 máquinas virtuales (Aplicación y Base de Datos) conforme a las especificaciones del ISV.</w:t>
      </w:r>
    </w:p>
    <w:p>
      <w:pPr>
        <w:pStyle w:val="ListParagraph"/>
        <w:numPr>
          <w:ilvl w:val="0"/>
          <w:numId w:val="2"/>
        </w:numPr>
        <w:spacing w:after="80" w:line="264"/>
        <w:jc w:val="both"/>
      </w:pPr>
      <w:r>
        <w:t xml:space="preserve">Configuración de discos administrados Premium SSD (OS, aplicativo, logs y datos).</w:t>
      </w:r>
    </w:p>
    <w:p>
      <w:pPr>
        <w:pStyle w:val="ListParagraph"/>
        <w:numPr>
          <w:ilvl w:val="0"/>
          <w:numId w:val="2"/>
        </w:numPr>
        <w:spacing w:after="80" w:line="264"/>
        <w:jc w:val="both"/>
      </w:pPr>
      <w:r>
        <w:t xml:space="preserve">Asignación de 1 IP pública Standard estática para el listener del Application Gateway/WAF.</w:t>
      </w:r>
    </w:p>
    <w:p>
      <w:pPr>
        <w:pStyle w:val="ListParagraph"/>
        <w:numPr>
          <w:ilvl w:val="0"/>
          <w:numId w:val="2"/>
        </w:numPr>
        <w:spacing w:after="80" w:line="264"/>
        <w:jc w:val="both"/>
      </w:pPr>
      <w:r>
        <w:t xml:space="preserve">Configuración de Azure Application Gateway WAF_v2 (listener HTTPS, backend pool, políticas WAF, TLS 1.2/1.3).</w:t>
      </w:r>
    </w:p>
    <w:p>
      <w:pPr>
        <w:pStyle w:val="ListParagraph"/>
        <w:numPr>
          <w:ilvl w:val="0"/>
          <w:numId w:val="2"/>
        </w:numPr>
        <w:spacing w:after="80" w:line="264"/>
        <w:jc w:val="both"/>
      </w:pPr>
      <w:r>
        <w:t xml:space="preserve">Configuración de Azure Bastion para acceso administrativo seguro.</w:t>
      </w:r>
    </w:p>
    <w:p>
      <w:pPr>
        <w:pStyle w:val="ListParagraph"/>
        <w:numPr>
          <w:ilvl w:val="0"/>
          <w:numId w:val="2"/>
        </w:numPr>
        <w:spacing w:after="80" w:line="264"/>
        <w:jc w:val="both"/>
      </w:pPr>
      <w:r>
        <w:t xml:space="preserve">Configuración de Azure VPN Gateway Site-to-Site (lado Azure) e implementación de 1 túnel IPsec de referencia. Los túneles adicionales se cotizan según la cantidad final de sucursales.</w:t>
      </w:r>
    </w:p>
    <w:p>
      <w:pPr>
        <w:pStyle w:val="ListParagraph"/>
        <w:numPr>
          <w:ilvl w:val="0"/>
          <w:numId w:val="2"/>
        </w:numPr>
        <w:spacing w:after="80" w:line="264"/>
        <w:jc w:val="both"/>
      </w:pPr>
      <w:r>
        <w:t xml:space="preserve">Configuración de reglas NSG entre subredes conforme a la matriz aprobada.</w:t>
      </w:r>
    </w:p>
    <w:p>
      <w:pPr>
        <w:pStyle w:val="Heading2"/>
      </w:pPr>
      <w:r>
        <w:t xml:space="preserve">5.3 Sistema operativo y software base</w:t>
      </w:r>
    </w:p>
    <w:p>
      <w:pPr>
        <w:pStyle w:val="ListParagraph"/>
        <w:numPr>
          <w:ilvl w:val="0"/>
          <w:numId w:val="2"/>
        </w:numPr>
        <w:spacing w:after="80" w:line="264"/>
        <w:jc w:val="both"/>
      </w:pPr>
      <w:r>
        <w:t xml:space="preserve">Instalación de Windows Server 2025 en ambas VMs.</w:t>
      </w:r>
    </w:p>
    <w:p>
      <w:pPr>
        <w:pStyle w:val="ListParagraph"/>
        <w:numPr>
          <w:ilvl w:val="0"/>
          <w:numId w:val="2"/>
        </w:numPr>
        <w:spacing w:after="80" w:line="264"/>
        <w:jc w:val="both"/>
      </w:pPr>
      <w:r>
        <w:t xml:space="preserve">Instalación y configuración base de SQL Server Standard 2025 (instancia, seguridad básica, respaldos nativos).</w:t>
      </w:r>
    </w:p>
    <w:p>
      <w:pPr>
        <w:pStyle w:val="ListParagraph"/>
        <w:numPr>
          <w:ilvl w:val="0"/>
          <w:numId w:val="2"/>
        </w:numPr>
        <w:spacing w:after="80" w:line="264"/>
        <w:jc w:val="both"/>
      </w:pPr>
      <w:r>
        <w:t xml:space="preserve">Habilitación del rol de Terminal Services / Escritorio Remoto y configuración del licenciamiento RDS CAL provisto por el Cliente.</w:t>
      </w:r>
    </w:p>
    <w:p>
      <w:pPr>
        <w:pStyle w:val="ListParagraph"/>
        <w:numPr>
          <w:ilvl w:val="0"/>
          <w:numId w:val="2"/>
        </w:numPr>
        <w:spacing w:after="80" w:line="264"/>
        <w:jc w:val="both"/>
      </w:pPr>
      <w:r>
        <w:t xml:space="preserve">Instalación de MS Office Profesional en el servidor de Aplicación (licencia provista por el Cliente).</w:t>
      </w:r>
    </w:p>
    <w:p>
      <w:pPr>
        <w:pStyle w:val="Heading2"/>
      </w:pPr>
      <w:r>
        <w:t xml:space="preserve">5.4 Operación</w:t>
      </w:r>
    </w:p>
    <w:p>
      <w:pPr>
        <w:pStyle w:val="ListParagraph"/>
        <w:numPr>
          <w:ilvl w:val="0"/>
          <w:numId w:val="2"/>
        </w:numPr>
        <w:spacing w:after="80" w:line="264"/>
        <w:jc w:val="both"/>
      </w:pPr>
      <w:r>
        <w:t xml:space="preserve">Configuración de monitoreo básico (Azure Monitor / Log Analytics) y alertas de disponibilidad y consumo.</w:t>
      </w:r>
    </w:p>
    <w:p>
      <w:pPr>
        <w:pStyle w:val="ListParagraph"/>
        <w:numPr>
          <w:ilvl w:val="0"/>
          <w:numId w:val="2"/>
        </w:numPr>
        <w:spacing w:after="80" w:line="264"/>
        <w:jc w:val="both"/>
      </w:pPr>
      <w:r>
        <w:t xml:space="preserve">Configuración de Azure Backup para ambas VMs (política diaria y retención semanal/mensual).</w:t>
      </w:r>
    </w:p>
    <w:p>
      <w:pPr>
        <w:pStyle w:val="ListParagraph"/>
        <w:numPr>
          <w:ilvl w:val="0"/>
          <w:numId w:val="2"/>
        </w:numPr>
        <w:spacing w:after="80" w:line="264"/>
        <w:jc w:val="both"/>
      </w:pPr>
      <w:r>
        <w:t xml:space="preserve">Habilitación de Microsoft Defender for Cloud (plan gratuito como mínimo).</w:t>
      </w:r>
    </w:p>
    <w:p>
      <w:pPr>
        <w:pStyle w:val="Heading2"/>
      </w:pPr>
      <w:r>
        <w:t xml:space="preserve">5.5 Acompañamiento y cierre</w:t>
      </w:r>
    </w:p>
    <w:p>
      <w:pPr>
        <w:pStyle w:val="ListParagraph"/>
        <w:numPr>
          <w:ilvl w:val="0"/>
          <w:numId w:val="2"/>
        </w:numPr>
        <w:spacing w:after="80" w:line="264"/>
        <w:jc w:val="both"/>
      </w:pPr>
      <w:r>
        <w:t xml:space="preserve">Acompañamiento en lo referente a infraestructura durante la instalación de la aplicación por parte del ISV (no incluye el aplicativo en sí).</w:t>
      </w:r>
    </w:p>
    <w:p>
      <w:pPr>
        <w:pStyle w:val="ListParagraph"/>
        <w:numPr>
          <w:ilvl w:val="0"/>
          <w:numId w:val="2"/>
        </w:numPr>
        <w:spacing w:after="80" w:line="264"/>
        <w:jc w:val="both"/>
      </w:pPr>
      <w:r>
        <w:t xml:space="preserve">Pruebas integrales de infraestructura y acompañamiento a pruebas piloto en al menos 2 sucursales.</w:t>
      </w:r>
    </w:p>
    <w:p>
      <w:pPr>
        <w:pStyle w:val="ListParagraph"/>
        <w:numPr>
          <w:ilvl w:val="0"/>
          <w:numId w:val="2"/>
        </w:numPr>
        <w:spacing w:after="80" w:line="264"/>
        <w:jc w:val="both"/>
      </w:pPr>
      <w:r>
        <w:t xml:space="preserve">Salida a producción y periodo de hypercare de hasta 2 semanas.</w:t>
      </w:r>
    </w:p>
    <w:p>
      <w:pPr>
        <w:pStyle w:val="ListParagraph"/>
        <w:numPr>
          <w:ilvl w:val="0"/>
          <w:numId w:val="2"/>
        </w:numPr>
        <w:spacing w:after="80" w:line="264"/>
        <w:jc w:val="both"/>
      </w:pPr>
      <w:r>
        <w:t xml:space="preserve">Entrega de documentación técnica y transferencia de conocimiento al equipo de TI del Cliente.</w:t>
      </w:r>
    </w:p>
    <w:p>
      <w:pPr>
        <w:pStyle w:val="Heading1"/>
      </w:pPr>
      <w:r>
        <w:t xml:space="preserve">6. Fuera de alcance</w:t>
      </w:r>
    </w:p>
    <w:p>
      <w:pPr>
        <w:spacing w:after="120" w:line="276"/>
        <w:jc w:val="both"/>
      </w:pPr>
      <w:r>
        <w:t xml:space="preserve">Queda expresamente fuera del alcance de este proyecto cualquier actividad no descrita en la sección 5, incluyendo de manera enunciativa mas no limitativa:</w:t>
      </w:r>
    </w:p>
    <w:p>
      <w:pPr>
        <w:pStyle w:val="ListParagraph"/>
        <w:numPr>
          <w:ilvl w:val="0"/>
          <w:numId w:val="2"/>
        </w:numPr>
        <w:spacing w:after="80" w:line="264"/>
        <w:jc w:val="both"/>
      </w:pPr>
      <w:r>
        <w:t xml:space="preserve">Desarrollo, instalación, configuración, licenciamiento o soporte del software aplicativo del ISV.</w:t>
      </w:r>
    </w:p>
    <w:p>
      <w:pPr>
        <w:pStyle w:val="ListParagraph"/>
        <w:numPr>
          <w:ilvl w:val="0"/>
          <w:numId w:val="2"/>
        </w:numPr>
        <w:spacing w:after="80" w:line="264"/>
        <w:jc w:val="both"/>
      </w:pPr>
      <w:r>
        <w:t xml:space="preserve">Migración de datos históricos hacia la nueva base de datos.</w:t>
      </w:r>
    </w:p>
    <w:p>
      <w:pPr>
        <w:pStyle w:val="ListParagraph"/>
        <w:numPr>
          <w:ilvl w:val="0"/>
          <w:numId w:val="2"/>
        </w:numPr>
        <w:spacing w:after="80" w:line="264"/>
        <w:jc w:val="both"/>
      </w:pPr>
      <w:r>
        <w:t xml:space="preserve">Pruebas funcionales, de estrés o de rendimiento de la aplicación del ISV (solo se valida infraestructura: conectividad, recursos y red).</w:t>
      </w:r>
    </w:p>
    <w:p>
      <w:pPr>
        <w:pStyle w:val="ListParagraph"/>
        <w:numPr>
          <w:ilvl w:val="0"/>
          <w:numId w:val="2"/>
        </w:numPr>
        <w:spacing w:after="80" w:line="264"/>
        <w:jc w:val="both"/>
      </w:pPr>
      <w:r>
        <w:t xml:space="preserve">Contratación o configuración de enlaces de Internet por sucursal (ISP, routers, SD-WAN); se entrega únicamente el requerimiento estimado de ancho de banda.</w:t>
      </w:r>
    </w:p>
    <w:p>
      <w:pPr>
        <w:pStyle w:val="ListParagraph"/>
        <w:numPr>
          <w:ilvl w:val="0"/>
          <w:numId w:val="2"/>
        </w:numPr>
        <w:spacing w:after="80" w:line="264"/>
        <w:jc w:val="both"/>
      </w:pPr>
      <w:r>
        <w:t xml:space="preserve">Configuración de equipos locales en sucursales para el extremo del túnel VPN (se entrega la configuración del lado Azure).</w:t>
      </w:r>
    </w:p>
    <w:p>
      <w:pPr>
        <w:pStyle w:val="ListParagraph"/>
        <w:numPr>
          <w:ilvl w:val="0"/>
          <w:numId w:val="2"/>
        </w:numPr>
        <w:spacing w:after="80" w:line="264"/>
        <w:jc w:val="both"/>
      </w:pPr>
      <w:r>
        <w:t xml:space="preserve">Soporte y administración de la herramienta TC Plus (licenciamiento, agentes en endpoints).</w:t>
      </w:r>
    </w:p>
    <w:p>
      <w:pPr>
        <w:pStyle w:val="ListParagraph"/>
        <w:numPr>
          <w:ilvl w:val="0"/>
          <w:numId w:val="2"/>
        </w:numPr>
        <w:spacing w:after="80" w:line="264"/>
        <w:jc w:val="both"/>
      </w:pPr>
      <w:r>
        <w:t xml:space="preserve">Hardening avanzado o auditorías de cumplimiento normativo (PCI-DSS, ISO 27001, etc.).</w:t>
      </w:r>
    </w:p>
    <w:p>
      <w:pPr>
        <w:pStyle w:val="ListParagraph"/>
        <w:numPr>
          <w:ilvl w:val="0"/>
          <w:numId w:val="2"/>
        </w:numPr>
        <w:spacing w:after="80" w:line="264"/>
        <w:jc w:val="both"/>
      </w:pPr>
      <w:r>
        <w:t xml:space="preserve">Disaster Recovery en una segunda región (Azure Site Recovery); puede cotizarse como fase adicional.</w:t>
      </w:r>
    </w:p>
    <w:p>
      <w:pPr>
        <w:pStyle w:val="ListParagraph"/>
        <w:numPr>
          <w:ilvl w:val="0"/>
          <w:numId w:val="2"/>
        </w:numPr>
        <w:spacing w:after="80" w:line="264"/>
        <w:jc w:val="both"/>
      </w:pPr>
      <w:r>
        <w:t xml:space="preserve">Capacitación funcional a usuarios finales sobre el uso de la aplicación.</w:t>
      </w:r>
    </w:p>
    <w:p>
      <w:pPr>
        <w:pStyle w:val="ListParagraph"/>
        <w:numPr>
          <w:ilvl w:val="0"/>
          <w:numId w:val="2"/>
        </w:numPr>
        <w:spacing w:after="80" w:line="264"/>
        <w:jc w:val="both"/>
      </w:pPr>
      <w:r>
        <w:t xml:space="preserve">Costo de licenciamiento del aplicativo, MS Office, SQL Server, Windows Server y RDS CALs, así como el consumo mensual de Azure.</w:t>
      </w:r>
    </w:p>
    <w:p>
      <w:pPr>
        <w:pStyle w:val="ListParagraph"/>
        <w:numPr>
          <w:ilvl w:val="0"/>
          <w:numId w:val="2"/>
        </w:numPr>
        <w:spacing w:after="80" w:line="264"/>
        <w:jc w:val="both"/>
      </w:pPr>
      <w:r>
        <w:t xml:space="preserve">Soporte operativo, administración continua o servicios administrados posteriores al hypercare.</w:t>
      </w:r>
    </w:p>
    <w:p>
      <w:pPr>
        <w:pStyle w:val="Heading1"/>
      </w:pPr>
      <w:r>
        <w:t xml:space="preserve">7.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1100"/>
        <w:gridCol w:w="2500"/>
      </w:tblGrid>
      <w:tr>
        <w:trPr>
          <w:tblHeader/>
        </w:trPr>
        <w:tc>
          <w:tcPr>
            <w:tcW w:type="dxa" w:w="7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w:t>
            </w:r>
          </w:p>
        </w:tc>
        <w:tc>
          <w:tcPr>
            <w:tcW w:type="dxa" w:w="50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Entregable</w:t>
            </w:r>
          </w:p>
        </w:tc>
        <w:tc>
          <w:tcPr>
            <w:tcW w:type="dxa" w:w="11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Fase</w:t>
            </w:r>
          </w:p>
        </w:tc>
        <w:tc>
          <w:tcPr>
            <w:tcW w:type="dxa" w:w="25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Formato</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E1</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Documento de Visión y Alcance firmado (este documento)</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Inicio</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Word / PDF</w:t>
            </w:r>
          </w:p>
        </w:tc>
      </w:tr>
      <w:t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E2</w:t>
            </w:r>
          </w:p>
        </w:tc>
        <w:tc>
          <w:tcPr>
            <w:tcW w:type="dxa" w:w="50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Diseño detallado: diagrama, direccionamiento IP, subredes y matriz NSG</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1</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Word / Visio / PDF</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E3</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Estimación final de costos en la calculadora oficial de Azure</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Excel / enlace</w:t>
            </w:r>
          </w:p>
        </w:tc>
      </w:tr>
      <w:t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E4</w:t>
            </w:r>
          </w:p>
        </w:tc>
        <w:tc>
          <w:tcPr>
            <w:tcW w:type="dxa" w:w="50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Infraestructura aprovisionada (VNet, VMs, discos, WAF, Bastion, VPN)</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Ambiente en Azure</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E5</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Servidores con SO y software base instalados y configurados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Ambiente en Azure</w:t>
            </w:r>
          </w:p>
        </w:tc>
      </w:tr>
      <w:t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E6</w:t>
            </w:r>
          </w:p>
        </w:tc>
        <w:tc>
          <w:tcPr>
            <w:tcW w:type="dxa" w:w="50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Evidencia de pruebas de seguridad y conectividad (443/1433)</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Word / PDF</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E7</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Monitoreo, alertas y políticas de respaldo configuradas</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6</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Ambiente + evidencia</w:t>
            </w:r>
          </w:p>
        </w:tc>
      </w:tr>
      <w:t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E8</w:t>
            </w:r>
          </w:p>
        </w:tc>
        <w:tc>
          <w:tcPr>
            <w:tcW w:type="dxa" w:w="50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Acta de pruebas integrales y piloto</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7</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Word / PDF</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E9</w:t>
            </w:r>
          </w:p>
        </w:tc>
        <w:tc>
          <w:tcPr>
            <w:tcW w:type="dxa" w:w="5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Memoria técnica (as-built) y guía de operación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Word / PDF</w:t>
            </w:r>
          </w:p>
        </w:tc>
      </w:tr>
      <w:tr>
        <w:tc>
          <w:tcPr>
            <w:tcW w:type="dxa" w:w="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E10</w:t>
            </w:r>
          </w:p>
        </w:tc>
        <w:tc>
          <w:tcPr>
            <w:tcW w:type="dxa" w:w="50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Acta de cierre del proyecto</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Word / PDF</w:t>
            </w:r>
          </w:p>
        </w:tc>
      </w:tr>
    </w:tbl>
    <w:p>
      <w:pPr>
        <w:pStyle w:val="Heading1"/>
      </w:pPr>
      <w:r>
        <w:t xml:space="preserve">8. Plan de trabajo y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Fase</w:t>
            </w:r>
          </w:p>
        </w:tc>
        <w:tc>
          <w:tcPr>
            <w:tcW w:type="dxa" w:w="46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Actividades principales</w:t>
            </w:r>
          </w:p>
        </w:tc>
        <w:tc>
          <w:tcPr>
            <w:tcW w:type="dxa" w:w="20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Duración estimada</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 Planeación y diseño detallado</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Validación de requerimientos, dimensionamiento final, red/IPs, decisión sobre VPN Gateway, aprobación del diseño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 semana</w:t>
            </w:r>
          </w:p>
        </w:tc>
      </w:tr>
      <w:t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2. Aprovisionamiento de infraestructura</w:t>
            </w:r>
          </w:p>
        </w:tc>
        <w:tc>
          <w:tcPr>
            <w:tcW w:type="dxa" w:w="46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VNet, subredes, NSGs, Application Gateway/WAF, Bastion, VMs y discos</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1 semana</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 SO y software base</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Windows Server 2025, SQL Server 2025, Terminal Services, MS Office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 semana</w:t>
            </w:r>
          </w:p>
        </w:tc>
      </w:tr>
      <w:t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4. Seguridad y publicación</w:t>
            </w:r>
          </w:p>
        </w:tc>
        <w:tc>
          <w:tcPr>
            <w:tcW w:type="dxa" w:w="46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Reglas NSG, políticas WAF, certificados TLS, pruebas 443/1433</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3 a 5 días</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5. Instalación del aplicativo (ISV)</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Acompañamiento de infraestructura durante instalación y pruebas del ISV</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 a 2 semanas (depende del ISV)</w:t>
            </w:r>
          </w:p>
        </w:tc>
      </w:tr>
      <w:t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6. Monitoreo, backups y hardening final</w:t>
            </w:r>
          </w:p>
        </w:tc>
        <w:tc>
          <w:tcPr>
            <w:tcW w:type="dxa" w:w="46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Azure Monitor, Log Analytics, Azure Backup, revisión de accesos</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3 a 5 días</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7. Pruebas integrales</w:t>
            </w:r>
          </w:p>
        </w:tc>
        <w:tc>
          <w:tcPr>
            <w:tcW w:type="dxa" w:w="46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Pruebas de infraestructura, piloto en al menos 2 sucursales, ajustes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 semana</w:t>
            </w:r>
          </w:p>
        </w:tc>
      </w:tr>
      <w:t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8. Producción y estabilización</w:t>
            </w:r>
          </w:p>
        </w:tc>
        <w:tc>
          <w:tcPr>
            <w:tcW w:type="dxa" w:w="46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Salida a producción, hypercare, documentación y cierre</w:t>
            </w:r>
          </w:p>
        </w:tc>
        <w:tc>
          <w:tcPr>
            <w:tcW w:type="dxa" w:w="20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1 a 2 semanas</w:t>
            </w:r>
          </w:p>
        </w:tc>
      </w:tr>
    </w:tbl>
    <w:p>
      <w:pPr>
        <w:spacing w:after="160" w:before="60"/>
        <w:jc w:val="both"/>
      </w:pPr>
      <w:r>
        <w:rPr>
          <w:i/>
          <w:iCs/>
          <w:color w:val="595959"/>
          <w:sz w:val="18"/>
          <w:szCs w:val="18"/>
        </w:rPr>
        <w:t xml:space="preserve">Duración total estimada: 6 a 8 semanas calendario, sujeta a los tiempos del ISV, a la disponibilidad de accesos y aprobaciones del Cliente y a lo establecido en la sección 11 (Premisas).</w:t>
      </w:r>
    </w:p>
    <w:p>
      <w:pPr>
        <w:pStyle w:val="Heading1"/>
      </w:pPr>
      <w:r>
        <w:t xml:space="preserve">9. Organización del proyecto</w:t>
      </w:r>
    </w:p>
    <w:p>
      <w:pPr>
        <w:pStyle w:val="Heading2"/>
      </w:pPr>
      <w:r>
        <w:t xml:space="preserve">9.1 Roles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rPr>
          <w:tblHeader/>
        </w:trPr>
        <w:tc>
          <w:tcPr>
            <w:tcW w:type="dxa" w:w="27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Rol</w:t>
            </w:r>
          </w:p>
        </w:tc>
        <w:tc>
          <w:tcPr>
            <w:tcW w:type="dxa" w:w="13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Parte</w:t>
            </w:r>
          </w:p>
        </w:tc>
        <w:tc>
          <w:tcPr>
            <w:tcW w:type="dxa" w:w="53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Responsabilidad principal</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Patrocinador del proyecto</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Cliente</w:t>
            </w:r>
          </w:p>
        </w:tc>
        <w:tc>
          <w:tcPr>
            <w:tcW w:type="dxa" w:w="5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Autoriza alcance, presupuesto y cambios; resuelve escalamientos de alto nivel.</w:t>
            </w:r>
          </w:p>
        </w:tc>
      </w:tr>
      <w:t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Líder de proyecto / contacto único</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Cliente</w:t>
            </w:r>
          </w:p>
        </w:tc>
        <w:tc>
          <w:tcPr>
            <w:tcW w:type="dxa" w:w="53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Punto único de contacto; gestiona accesos, aprobaciones, información de sucursales y pruebas de aceptación.</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Gerente de Proyecto (PM)</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Consultor</w:t>
            </w:r>
          </w:p>
        </w:tc>
        <w:tc>
          <w:tcPr>
            <w:tcW w:type="dxa" w:w="5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Planeación, seguimiento, gestión de riesgos, reportes de avance y coordinación con el ISV.</w:t>
            </w:r>
          </w:p>
        </w:tc>
      </w:tr>
      <w:t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Arquitecto Cloud (Azure)</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Consultor</w:t>
            </w:r>
          </w:p>
        </w:tc>
        <w:tc>
          <w:tcPr>
            <w:tcW w:type="dxa" w:w="53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Diseño de la arquitectura, VNet/subredes/NSGs, validación de SKUs y costos.</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Ingeniero de Infraestructura Azure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Consultor</w:t>
            </w:r>
          </w:p>
        </w:tc>
        <w:tc>
          <w:tcPr>
            <w:tcW w:type="dxa" w:w="5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Aprovisionamiento de VMs, discos, redes, Application Gateway y Bastion.</w:t>
            </w:r>
          </w:p>
        </w:tc>
      </w:tr>
      <w:t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DBA SQL Server</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Consultor</w:t>
            </w:r>
          </w:p>
        </w:tc>
        <w:tc>
          <w:tcPr>
            <w:tcW w:type="dxa" w:w="53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Instalación y configuración de SQL Server 2025, seguridad y respaldos.</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Especialista en Seguridad / Redes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Consultor</w:t>
            </w:r>
          </w:p>
        </w:tc>
        <w:tc>
          <w:tcPr>
            <w:tcW w:type="dxa" w:w="5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WAF, reglas NSG, VPN y revisión de exposición de puertos.</w:t>
            </w:r>
          </w:p>
        </w:tc>
      </w:tr>
      <w:tr>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Ingeniero de Monitoreo / Operaciones</w:t>
            </w:r>
          </w:p>
        </w:tc>
        <w:tc>
          <w:tcPr>
            <w:tcW w:type="dxa" w:w="1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Consultor</w:t>
            </w:r>
          </w:p>
        </w:tc>
        <w:tc>
          <w:tcPr>
            <w:tcW w:type="dxa" w:w="53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Azure Monitor, Log Analytics y Azure Backup.</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Contacto técnico del ISV</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ISV</w:t>
            </w:r>
          </w:p>
        </w:tc>
        <w:tc>
          <w:tcPr>
            <w:tcW w:type="dxa" w:w="53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Instalación del aplicativo, pruebas funcionales y requerimientos específicos de la aplicación.</w:t>
            </w:r>
          </w:p>
        </w:tc>
      </w:tr>
    </w:tbl>
    <w:p>
      <w:pPr>
        <w:pStyle w:val="Heading2"/>
      </w:pPr>
      <w:r>
        <w:t xml:space="preserve">9.2 Matriz RACI</w:t>
      </w:r>
    </w:p>
    <w:p>
      <w:pPr>
        <w:spacing w:after="120" w:line="276"/>
        <w:jc w:val="both"/>
      </w:pPr>
      <w:r>
        <w:t xml:space="preserve">R = Responsable, A = Aprueba, C = Consultado, I = Informado.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Actividad</w:t>
            </w:r>
          </w:p>
        </w:tc>
        <w:tc>
          <w:tcPr>
            <w:tcW w:type="dxa" w:w="16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Cliente</w:t>
            </w:r>
          </w:p>
        </w:tc>
        <w:tc>
          <w:tcPr>
            <w:tcW w:type="dxa" w:w="16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Consultor</w:t>
            </w:r>
          </w:p>
        </w:tc>
        <w:tc>
          <w:tcPr>
            <w:tcW w:type="dxa" w:w="16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ISV</w:t>
            </w:r>
          </w:p>
        </w:tc>
      </w:tr>
      <w:t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Aprobación del alcance y diseño</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w:t>
            </w:r>
          </w:p>
        </w:tc>
      </w:tr>
      <w:tr>
        <w:tc>
          <w:tcPr>
            <w:tcW w:type="dxa" w:w="45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Suscripción Azure, permisos y cuotas</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R / A</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w:t>
            </w:r>
          </w:p>
        </w:tc>
      </w:tr>
      <w:t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Adquisición de licencias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 / A</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w:t>
            </w:r>
          </w:p>
        </w:tc>
      </w:tr>
      <w:tr>
        <w:tc>
          <w:tcPr>
            <w:tcW w:type="dxa" w:w="45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Aprovisionamiento de infraestructura</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R / A</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w:t>
            </w:r>
          </w:p>
        </w:tc>
      </w:tr>
      <w:t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Instalación de SO y software base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 / A</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w:t>
            </w:r>
          </w:p>
        </w:tc>
      </w:tr>
      <w:tr>
        <w:tc>
          <w:tcPr>
            <w:tcW w:type="dxa" w:w="45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Configuración WAF, NSG, VPN y Bastion</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R</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w:t>
            </w:r>
          </w:p>
        </w:tc>
      </w:tr>
      <w:t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Configuración del extremo VPN en sucursales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w:t>
            </w:r>
          </w:p>
        </w:tc>
      </w:tr>
      <w:tr>
        <w:tc>
          <w:tcPr>
            <w:tcW w:type="dxa" w:w="45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Instalación y pruebas del aplicativo</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R</w:t>
            </w:r>
          </w:p>
        </w:tc>
      </w:tr>
      <w:t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Pruebas piloto con usuarios</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 / A</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w:t>
            </w:r>
          </w:p>
        </w:tc>
      </w:tr>
      <w:tr>
        <w:tc>
          <w:tcPr>
            <w:tcW w:type="dxa" w:w="45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Documentación técnica y cierre</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R</w:t>
            </w:r>
          </w:p>
        </w:tc>
        <w:tc>
          <w:tcPr>
            <w:tcW w:type="dxa" w:w="1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w:t>
            </w:r>
          </w:p>
        </w:tc>
      </w:tr>
    </w:tbl>
    <w:p>
      <w:pPr>
        <w:pStyle w:val="Heading1"/>
      </w:pPr>
      <w:r>
        <w:t xml:space="preserve">10. Matriz de contactos</w:t>
      </w:r>
    </w:p>
    <w:p>
      <w:pPr>
        <w:spacing w:after="120" w:line="276"/>
        <w:jc w:val="both"/>
      </w:pPr>
      <w:r>
        <w:t xml:space="preserve">Cada una de las partes designará a los responsables indicados a continuación. Cualquier cambio en esta matriz deberá notificarse por escrito (correo electrónico) al Gerente de Proyecto dentro de los 2 días hábiles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700"/>
        <w:gridCol w:w="1400"/>
        <w:gridCol w:w="1860"/>
        <w:gridCol w:w="1400"/>
      </w:tblGrid>
      <w:tr>
        <w:trPr>
          <w:tblHeader/>
        </w:trPr>
        <w:tc>
          <w:tcPr>
            <w:tcW w:type="dxa" w:w="11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Parte</w:t>
            </w:r>
          </w:p>
        </w:tc>
        <w:tc>
          <w:tcPr>
            <w:tcW w:type="dxa" w:w="19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Rol</w:t>
            </w:r>
          </w:p>
        </w:tc>
        <w:tc>
          <w:tcPr>
            <w:tcW w:type="dxa" w:w="17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Nombre</w:t>
            </w:r>
          </w:p>
        </w:tc>
        <w:tc>
          <w:tcPr>
            <w:tcW w:type="dxa" w:w="14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Puesto</w:t>
            </w:r>
          </w:p>
        </w:tc>
        <w:tc>
          <w:tcPr>
            <w:tcW w:type="dxa" w:w="18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Correo</w:t>
            </w:r>
          </w:p>
        </w:tc>
        <w:tc>
          <w:tcPr>
            <w:tcW w:type="dxa" w:w="14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Teléfono</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Cliente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Patrocinador</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Cliente</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Líder de proyecto</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Cliente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Contacto técnico TI</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Cliente</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Contacto sucursales / redes</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Consultor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Gerente de Proyecto</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Consultor</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Arquitecto Cloud</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Consultor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Ingeniero de Infraestructura</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Consultor</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Director de cuenta</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ISV</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Contacto técnico</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p>
        </w:tc>
      </w:tr>
      <w:tr>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ISV</w:t>
            </w:r>
          </w:p>
        </w:tc>
        <w:tc>
          <w:tcPr>
            <w:tcW w:type="dxa" w:w="1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Contacto comercial</w:t>
            </w:r>
          </w:p>
        </w:tc>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8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c>
          <w:tcPr>
            <w:tcW w:type="dxa" w:w="1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p>
        </w:tc>
      </w:tr>
    </w:tbl>
    <w:p>
      <w:pPr>
        <w:pStyle w:val="Heading2"/>
      </w:pPr>
      <w:r>
        <w:t xml:space="preserve">10.1 Matriz de escalamiento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900"/>
        <w:gridCol w:w="2060"/>
      </w:tblGrid>
      <w:tr>
        <w:trPr>
          <w:tblHeader/>
        </w:trPr>
        <w:tc>
          <w:tcPr>
            <w:tcW w:type="dxa" w:w="17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Nivel</w:t>
            </w:r>
          </w:p>
        </w:tc>
        <w:tc>
          <w:tcPr>
            <w:tcW w:type="dxa" w:w="27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Cliente</w:t>
            </w:r>
          </w:p>
        </w:tc>
        <w:tc>
          <w:tcPr>
            <w:tcW w:type="dxa" w:w="29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Consultor</w:t>
            </w:r>
          </w:p>
        </w:tc>
        <w:tc>
          <w:tcPr>
            <w:tcW w:type="dxa" w:w="20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Tiempo para escalar</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1 — Operativo</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Líder de proyecto</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Gerente de Proyecto</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Inmediato / mismo día</w:t>
            </w:r>
          </w:p>
        </w:tc>
      </w:tr>
      <w:tr>
        <w:tc>
          <w:tcPr>
            <w:tcW w:type="dxa" w:w="1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2 — Táctico</w:t>
            </w:r>
          </w:p>
        </w:tc>
        <w:tc>
          <w:tcPr>
            <w:tcW w:type="dxa" w:w="27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Gerente / Director de TI</w:t>
            </w:r>
          </w:p>
        </w:tc>
        <w:tc>
          <w:tcPr>
            <w:tcW w:type="dxa" w:w="29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Director de cuenta</w:t>
            </w:r>
          </w:p>
        </w:tc>
        <w:tc>
          <w:tcPr>
            <w:tcW w:type="dxa" w:w="20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Sin solución en 2 días hábiles</w:t>
            </w:r>
          </w:p>
        </w:tc>
      </w:tr>
      <w:t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3 — Ejecutivo</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Patrocinador</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Dirección general / Dirección de servicios</w:t>
            </w:r>
          </w:p>
        </w:tc>
        <w:tc>
          <w:tcPr>
            <w:tcW w:type="dxa" w:w="20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Sin solución en 5 días hábiles</w:t>
            </w:r>
          </w:p>
        </w:tc>
      </w:tr>
    </w:tbl>
    <w:p>
      <w:pPr>
        <w:pStyle w:val="Heading2"/>
      </w:pPr>
      <w:r>
        <w:t xml:space="preserve">10.2 Comunicación y seguimiento</w:t>
      </w:r>
    </w:p>
    <w:p>
      <w:pPr>
        <w:pStyle w:val="ListParagraph"/>
        <w:numPr>
          <w:ilvl w:val="0"/>
          <w:numId w:val="2"/>
        </w:numPr>
        <w:spacing w:after="80" w:line="264"/>
        <w:jc w:val="both"/>
      </w:pPr>
      <w:r>
        <w:t xml:space="preserve">Reunión de arranque (kick-off) al inicio del proyecto.</w:t>
      </w:r>
    </w:p>
    <w:p>
      <w:pPr>
        <w:pStyle w:val="ListParagraph"/>
        <w:numPr>
          <w:ilvl w:val="0"/>
          <w:numId w:val="2"/>
        </w:numPr>
        <w:spacing w:after="80" w:line="264"/>
        <w:jc w:val="both"/>
      </w:pPr>
      <w:r>
        <w:t xml:space="preserve">Reunión de seguimiento semanal (30 a 45 minutos) con minuta y reporte de avance, riesgos y pendientes.</w:t>
      </w:r>
    </w:p>
    <w:p>
      <w:pPr>
        <w:pStyle w:val="ListParagraph"/>
        <w:numPr>
          <w:ilvl w:val="0"/>
          <w:numId w:val="2"/>
        </w:numPr>
        <w:spacing w:after="80" w:line="264"/>
        <w:jc w:val="both"/>
      </w:pPr>
      <w:r>
        <w:t xml:space="preserve">Los acuerdos, aprobaciones y solicitudes de cambio se formalizan por correo electrónico o minuta firmada; los acuerdos verbales no se consideran válidos hasta su confirmación por escrito.</w:t>
      </w:r>
    </w:p>
    <w:p>
      <w:pPr>
        <w:pStyle w:val="Heading1"/>
      </w:pPr>
      <w:r>
        <w:t xml:space="preserve">11. Premisas del proyecto</w:t>
      </w:r>
    </w:p>
    <w:p>
      <w:pPr>
        <w:spacing w:after="120" w:line="276"/>
        <w:jc w:val="both"/>
      </w:pPr>
      <w:r>
        <w:t xml:space="preserve">Las siguientes premisas son condiciones bajo las cuales se planeó, estimó y cotizó el proyecto. El Cliente reconoce y acepta estas condiciones al firmar el presente documento. En caso de que alguna no se cumpla, el Consultor podrá ajustar el plan de trabajo, los tiempos y/o los costos mediante el procedimiento de control de cambios.</w:t>
      </w:r>
    </w:p>
    <w:p>
      <w:pPr>
        <w:pStyle w:val="Heading2"/>
      </w:pPr>
      <w:r>
        <w:t xml:space="preserve">11.1 Modelo de contratación</w:t>
      </w:r>
    </w:p>
    <w:p>
      <w:pPr>
        <w:pStyle w:val="ListParagraph"/>
        <w:numPr>
          <w:ilvl w:val="0"/>
          <w:numId w:val="4"/>
        </w:numPr>
        <w:spacing w:after="100" w:line="264"/>
        <w:jc w:val="both"/>
      </w:pPr>
      <w:r>
        <w:rPr>
          <w:b/>
          <w:bCs/>
        </w:rPr>
        <w:t xml:space="preserve">El proyecto se contrata por alcance y no por horas.</w:t>
      </w:r>
      <w:r>
        <w:t xml:space="preserve"> El precio pactado corresponde a la entrega de los entregables y actividades descritos en las secciones 5 y 7. El esfuerzo estimado es una referencia interna de planeación del Consultor; no constituye una bolsa de horas, no se reportan horas consumidas y no genera saldos a favor ni en contra de ninguna de las partes.</w:t>
      </w:r>
    </w:p>
    <w:p>
      <w:pPr>
        <w:pStyle w:val="ListParagraph"/>
        <w:numPr>
          <w:ilvl w:val="0"/>
          <w:numId w:val="4"/>
        </w:numPr>
        <w:spacing w:after="100" w:line="264"/>
        <w:jc w:val="both"/>
      </w:pPr>
      <w:r>
        <w:rPr>
          <w:b/>
          <w:bCs/>
        </w:rPr>
        <w:t xml:space="preserve">No todas las horas del proyecto se entregarán frente al Cliente.</w:t>
      </w:r>
      <w:r>
        <w:t xml:space="preserve"> Una parte significativa del trabajo se realiza de forma remota y sin presencia del Cliente (análisis, diseño, investigación, preparación de configuraciones, pruebas internas, elaboración de documentación, coordinación interna y con el ISV). Las sesiones con el Cliente se limitan a reuniones de seguimiento, validaciones, aprobaciones, transferencia de conocimiento y actividades que requieran su participación.</w:t>
      </w:r>
    </w:p>
    <w:p>
      <w:pPr>
        <w:pStyle w:val="ListParagraph"/>
        <w:numPr>
          <w:ilvl w:val="0"/>
          <w:numId w:val="4"/>
        </w:numPr>
        <w:spacing w:after="100" w:line="264"/>
        <w:jc w:val="both"/>
      </w:pPr>
      <w:r>
        <w:t xml:space="preserve">Las actividades se ejecutarán preferentemente de forma remota. Las visitas en sitio se programarán solo cuando sean necesarias y a solicitud del Cliente; los viáticos fuera de la zona metropolitana del Consultor se cotizarán por separado.</w:t>
      </w:r>
    </w:p>
    <w:p>
      <w:pPr>
        <w:pStyle w:val="Heading2"/>
      </w:pPr>
      <w:r>
        <w:t xml:space="preserve">11.2 Impedimentos y corte provisional</w:t>
      </w:r>
    </w:p>
    <w:p>
      <w:pPr>
        <w:pStyle w:val="ListParagraph"/>
        <w:numPr>
          <w:ilvl w:val="0"/>
          <w:numId w:val="4"/>
        </w:numPr>
        <w:spacing w:after="100" w:line="264"/>
        <w:jc w:val="both"/>
      </w:pPr>
      <w:r>
        <w:rPr>
          <w:b/>
          <w:bCs/>
        </w:rPr>
        <w:t xml:space="preserve">En caso de que exista un impedimento para continuar la ejecución del proyecto</w:t>
      </w:r>
      <w:r>
        <w:t xml:space="preserve"> no atribuible al Consultor (por ejemplo: falta de accesos o permisos en la suscripción, falta de licencias, falta de aprobaciones o información, indisponibilidad del ISV, restricciones de cuotas de Azure, decisiones internas del Cliente o causas de fuerza mayor) que detenga las actividades por más de </w:t>
      </w:r>
      <w:r>
        <w:rPr>
          <w:b/>
          <w:bCs/>
        </w:rPr>
        <w:t xml:space="preserve">5 días hábiles</w:t>
      </w:r>
      <w:r>
        <w:t xml:space="preserve">, se realizará un </w:t>
      </w:r>
      <w:r>
        <w:rPr>
          <w:b/>
          <w:bCs/>
        </w:rPr>
        <w:t xml:space="preserve">corte provisional</w:t>
      </w:r>
      <w:r>
        <w:t xml:space="preserve"> del proyecto, el cual consiste en:</w:t>
      </w:r>
    </w:p>
    <w:p>
      <w:pPr>
        <w:pStyle w:val="ListParagraph"/>
        <w:numPr>
          <w:ilvl w:val="1"/>
          <w:numId w:val="2"/>
        </w:numPr>
        <w:spacing w:after="80" w:line="264"/>
        <w:jc w:val="both"/>
      </w:pPr>
      <w:r>
        <w:t xml:space="preserve">Notificar por escrito el impedimento, su causa y su impacto.</w:t>
      </w:r>
    </w:p>
    <w:p>
      <w:pPr>
        <w:pStyle w:val="ListParagraph"/>
        <w:numPr>
          <w:ilvl w:val="1"/>
          <w:numId w:val="2"/>
        </w:numPr>
        <w:spacing w:after="80" w:line="264"/>
        <w:jc w:val="both"/>
      </w:pPr>
      <w:r>
        <w:t xml:space="preserve">Documentar el estado de avance y los entregables completados a la fecha del corte, mediante un acta de corte provisional.</w:t>
      </w:r>
    </w:p>
    <w:p>
      <w:pPr>
        <w:pStyle w:val="ListParagraph"/>
        <w:numPr>
          <w:ilvl w:val="1"/>
          <w:numId w:val="2"/>
        </w:numPr>
        <w:spacing w:after="80" w:line="264"/>
        <w:jc w:val="both"/>
      </w:pPr>
      <w:r>
        <w:t xml:space="preserve">Generar los costos respectivos a la fecha del corte: facturación proporcional al avance alcanzado y, en su caso, los costos derivados de la suspensión (reasignación de recursos, removilización y replaneación).</w:t>
      </w:r>
    </w:p>
    <w:p>
      <w:pPr>
        <w:pStyle w:val="ListParagraph"/>
        <w:numPr>
          <w:ilvl w:val="1"/>
          <w:numId w:val="2"/>
        </w:numPr>
        <w:spacing w:after="80" w:line="264"/>
        <w:jc w:val="both"/>
      </w:pPr>
      <w:r>
        <w:t xml:space="preserve">Los recursos de Azure que permanezcan activos durante la suspensión continuarán generando consumo, el cual corre por cuenta del Cliente.</w:t>
      </w:r>
    </w:p>
    <w:p>
      <w:pPr>
        <w:pStyle w:val="ListParagraph"/>
        <w:numPr>
          <w:ilvl w:val="0"/>
          <w:numId w:val="4"/>
        </w:numPr>
        <w:spacing w:after="100" w:line="264"/>
        <w:jc w:val="both"/>
      </w:pPr>
      <w:r>
        <w:rPr>
          <w:b/>
          <w:bCs/>
        </w:rPr>
        <w:t xml:space="preserve">El proyecto se retomará cuando el impedimento deje de existir</w:t>
      </w:r>
      <w:r>
        <w:t xml:space="preserve">, previa notificación por escrito del Cliente. La reanudación estará sujeta a la disponibilidad de los recursos del Consultor (con un plazo de reincorporación de hasta 10 días hábiles) y a una replaneación del cronograma. Si la suspensión excede 30 días naturales, el Consultor podrá revisar el costo del alcance pendiente.</w:t>
      </w:r>
    </w:p>
    <w:p>
      <w:pPr>
        <w:pStyle w:val="Heading2"/>
      </w:pPr>
      <w:r>
        <w:t xml:space="preserve">11.3 Responsabilidades y compromisos del Cliente</w:t>
      </w:r>
    </w:p>
    <w:p>
      <w:pPr>
        <w:pStyle w:val="ListParagraph"/>
        <w:numPr>
          <w:ilvl w:val="0"/>
          <w:numId w:val="4"/>
        </w:numPr>
        <w:spacing w:after="100" w:line="264"/>
        <w:jc w:val="both"/>
      </w:pPr>
      <w:r>
        <w:t xml:space="preserve">El Cliente designará un </w:t>
      </w:r>
      <w:r>
        <w:rPr>
          <w:b/>
          <w:bCs/>
        </w:rPr>
        <w:t xml:space="preserve">líder de proyecto como contacto único</w:t>
      </w:r>
      <w:r>
        <w:t xml:space="preserve">, con autoridad para tomar decisiones y aprobar entregables, y mantendrá actualizada la matriz de contactos (sección 10).</w:t>
      </w:r>
    </w:p>
    <w:p>
      <w:pPr>
        <w:pStyle w:val="ListParagraph"/>
        <w:numPr>
          <w:ilvl w:val="0"/>
          <w:numId w:val="4"/>
        </w:numPr>
        <w:spacing w:after="100" w:line="264"/>
        <w:jc w:val="both"/>
      </w:pPr>
      <w:r>
        <w:t xml:space="preserve">El Cliente proporcionará una suscripción de Azure activa con permisos de nivel Owner o Contributor para el Consultor, así como la gestión de cuotas (quotas) requeridas, antes del inicio de la Fase 2.</w:t>
      </w:r>
    </w:p>
    <w:p>
      <w:pPr>
        <w:pStyle w:val="ListParagraph"/>
        <w:numPr>
          <w:ilvl w:val="0"/>
          <w:numId w:val="4"/>
        </w:numPr>
        <w:spacing w:after="100" w:line="264"/>
        <w:jc w:val="both"/>
      </w:pPr>
      <w:r>
        <w:t xml:space="preserve">El Cliente adquirirá y proporcionará oportunamente las licencias necesarias (Windows Server, SQL Server Standard 2025, RDS CALs, MS Office Profesional y software del ISV), así como el certificado TLS y el dominio/DNS para la publicación.</w:t>
      </w:r>
    </w:p>
    <w:p>
      <w:pPr>
        <w:pStyle w:val="ListParagraph"/>
        <w:numPr>
          <w:ilvl w:val="0"/>
          <w:numId w:val="4"/>
        </w:numPr>
        <w:spacing w:after="100" w:line="264"/>
        <w:jc w:val="both"/>
      </w:pPr>
      <w:r>
        <w:t xml:space="preserve">El Cliente revisará y responderá validaciones, solicitudes de información y aprobaciones en un plazo máximo de </w:t>
      </w:r>
      <w:r>
        <w:rPr>
          <w:b/>
          <w:bCs/>
        </w:rPr>
        <w:t xml:space="preserve">3 días hábiles</w:t>
      </w:r>
      <w:r>
        <w:t xml:space="preserve">. Los entregables no observados en un plazo de </w:t>
      </w:r>
      <w:r>
        <w:rPr>
          <w:b/>
          <w:bCs/>
        </w:rPr>
        <w:t xml:space="preserve">5 días hábiles</w:t>
      </w:r>
      <w:r>
        <w:t xml:space="preserve"> posteriores a su entrega se considerarán aceptados.</w:t>
      </w:r>
    </w:p>
    <w:p>
      <w:pPr>
        <w:pStyle w:val="ListParagraph"/>
        <w:numPr>
          <w:ilvl w:val="0"/>
          <w:numId w:val="4"/>
        </w:numPr>
        <w:spacing w:after="100" w:line="264"/>
        <w:jc w:val="both"/>
      </w:pPr>
      <w:r>
        <w:t xml:space="preserve">El Cliente es responsable de la relación contractual con el ISV y de asegurar su participación conforme al cronograma. Los retrasos del ISV no son imputables al Consultor y podrán dar lugar a un corte provisional.</w:t>
      </w:r>
    </w:p>
    <w:p>
      <w:pPr>
        <w:pStyle w:val="ListParagraph"/>
        <w:numPr>
          <w:ilvl w:val="0"/>
          <w:numId w:val="4"/>
        </w:numPr>
        <w:spacing w:after="100" w:line="264"/>
        <w:jc w:val="both"/>
      </w:pPr>
      <w:r>
        <w:t xml:space="preserve">El Cliente garantiza que la información proporcionada (requerimientos, especificaciones del ISV, número de sucursales, datos de red) es veraz y completa. Retrabajos derivados de información incorrecta o incompleta se gestionarán como cambio de alcance.</w:t>
      </w:r>
    </w:p>
    <w:p>
      <w:pPr>
        <w:pStyle w:val="ListParagraph"/>
        <w:numPr>
          <w:ilvl w:val="0"/>
          <w:numId w:val="4"/>
        </w:numPr>
        <w:spacing w:after="100" w:line="264"/>
        <w:jc w:val="both"/>
      </w:pPr>
      <w:r>
        <w:t xml:space="preserve">El consumo mensual de los servicios de Azure y el costo de licenciamiento son responsabilidad del Cliente y no forman parte del precio del proyecto.</w:t>
      </w:r>
    </w:p>
    <w:p>
      <w:pPr>
        <w:pStyle w:val="Heading2"/>
      </w:pPr>
      <w:r>
        <w:t xml:space="preserve">11.4 Condiciones de ejecución</w:t>
      </w:r>
    </w:p>
    <w:p>
      <w:pPr>
        <w:pStyle w:val="ListParagraph"/>
        <w:numPr>
          <w:ilvl w:val="0"/>
          <w:numId w:val="4"/>
        </w:numPr>
        <w:spacing w:after="100" w:line="264"/>
        <w:jc w:val="both"/>
      </w:pPr>
      <w:r>
        <w:t xml:space="preserve">El horario de trabajo es de lunes a viernes de 9:00 a 18:00 h (hora del centro de México), en días hábiles. Actividades en ventanas fuera de horario, fines de semana o días festivos se acordarán previamente y podrán generar costos adicionales.</w:t>
      </w:r>
    </w:p>
    <w:p>
      <w:pPr>
        <w:pStyle w:val="ListParagraph"/>
        <w:numPr>
          <w:ilvl w:val="0"/>
          <w:numId w:val="4"/>
        </w:numPr>
        <w:spacing w:after="100" w:line="264"/>
        <w:jc w:val="both"/>
      </w:pPr>
      <w:r>
        <w:t xml:space="preserve">Cualquier actividad, entregable o componente no descrito explícitamente en este documento se considera fuera de alcance y deberá gestionarse mediante control de cambios.</w:t>
      </w:r>
    </w:p>
    <w:p>
      <w:pPr>
        <w:pStyle w:val="ListParagraph"/>
        <w:numPr>
          <w:ilvl w:val="0"/>
          <w:numId w:val="4"/>
        </w:numPr>
        <w:spacing w:after="100" w:line="264"/>
        <w:jc w:val="both"/>
      </w:pPr>
      <w:r>
        <w:t xml:space="preserve">El periodo de hypercare tiene una duración máxima de 2 semanas posteriores a la salida a producción y se limita a incidentes de la infraestructura implementada. El soporte posterior se cotizará por separado.</w:t>
      </w:r>
    </w:p>
    <w:p>
      <w:pPr>
        <w:pStyle w:val="ListParagraph"/>
        <w:numPr>
          <w:ilvl w:val="0"/>
          <w:numId w:val="4"/>
        </w:numPr>
        <w:spacing w:after="100" w:line="264"/>
        <w:jc w:val="both"/>
      </w:pPr>
      <w:r>
        <w:t xml:space="preserve">Los tiempos del plan de trabajo son estimados y se ajustarán en función del cumplimiento de estas premisas, de la disponibilidad del ISV y de los tiempos de aprovisionamiento de Microsoft Azure.</w:t>
      </w:r>
    </w:p>
    <w:p>
      <w:pPr>
        <w:pStyle w:val="ListParagraph"/>
        <w:numPr>
          <w:ilvl w:val="0"/>
          <w:numId w:val="4"/>
        </w:numPr>
        <w:spacing w:after="100" w:line="264"/>
        <w:jc w:val="both"/>
      </w:pPr>
      <w:r>
        <w:t xml:space="preserve">La información intercambiada entre las partes se considera confidencial. Las credenciales se entregarán exclusivamente por medios seguros y el Cliente deberá cambiarlas al cierre del proyecto.</w:t>
      </w:r>
    </w:p>
    <w:p>
      <w:pPr>
        <w:pStyle w:val="ListParagraph"/>
        <w:numPr>
          <w:ilvl w:val="0"/>
          <w:numId w:val="4"/>
        </w:numPr>
        <w:spacing w:after="100" w:line="264"/>
        <w:jc w:val="both"/>
      </w:pPr>
      <w:r>
        <w:t xml:space="preserve">El proyecto se considera concluido con la firma del acta de cierre o, en su defecto, a los 5 días hábiles de la entrega de la memoria técnica sin observaciones por parte del Cliente.</w:t>
      </w:r>
    </w:p>
    <w:p>
      <w:pPr>
        <w:pStyle w:val="Heading1"/>
      </w:pPr>
      <w:r>
        <w:t xml:space="preserve">12. Supuestos técnicos y restricciones</w:t>
      </w:r>
    </w:p>
    <w:p>
      <w:pPr>
        <w:pStyle w:val="Heading2"/>
      </w:pPr>
      <w:r>
        <w:t xml:space="preserve">12.1 Supuestos técnicos</w:t>
      </w:r>
    </w:p>
    <w:p>
      <w:pPr>
        <w:pStyle w:val="ListParagraph"/>
        <w:numPr>
          <w:ilvl w:val="0"/>
          <w:numId w:val="2"/>
        </w:numPr>
        <w:spacing w:after="80" w:line="264"/>
        <w:jc w:val="both"/>
      </w:pPr>
      <w:r>
        <w:t xml:space="preserve">El diseño contempla una sola región de Azure; no incluye Disaster Recovery multi-región.</w:t>
      </w:r>
    </w:p>
    <w:p>
      <w:pPr>
        <w:pStyle w:val="ListParagraph"/>
        <w:numPr>
          <w:ilvl w:val="0"/>
          <w:numId w:val="2"/>
        </w:numPr>
        <w:spacing w:after="80" w:line="264"/>
        <w:jc w:val="both"/>
      </w:pPr>
      <w:r>
        <w:t xml:space="preserve">Los 60 usuarios acceden a la aplicación exclusivamente vía HTTPS (443) a través del WAF, sin requerir VPN.</w:t>
      </w:r>
    </w:p>
    <w:p>
      <w:pPr>
        <w:pStyle w:val="ListParagraph"/>
        <w:numPr>
          <w:ilvl w:val="0"/>
          <w:numId w:val="2"/>
        </w:numPr>
        <w:spacing w:after="80" w:line="264"/>
        <w:jc w:val="both"/>
      </w:pPr>
      <w:r>
        <w:t xml:space="preserve">El dato de ancho de banda de subida proporcionado por el ISV (15 bps por usuario) será validado y corregido antes de dimensionar los enlaces de las sucursales.</w:t>
      </w:r>
    </w:p>
    <w:p>
      <w:pPr>
        <w:pStyle w:val="ListParagraph"/>
        <w:numPr>
          <w:ilvl w:val="0"/>
          <w:numId w:val="2"/>
        </w:numPr>
        <w:spacing w:after="80" w:line="264"/>
        <w:jc w:val="both"/>
      </w:pPr>
      <w:r>
        <w:t xml:space="preserve">TC Plus se utilizará únicamente para administración, aislado a la subred de gestión, y no se instalará en las VMs productivas.</w:t>
      </w:r>
    </w:p>
    <w:p>
      <w:pPr>
        <w:pStyle w:val="ListParagraph"/>
        <w:numPr>
          <w:ilvl w:val="0"/>
          <w:numId w:val="2"/>
        </w:numPr>
        <w:spacing w:after="80" w:line="264"/>
        <w:jc w:val="both"/>
      </w:pPr>
      <w:r>
        <w:t xml:space="preserve">Las sucursales cuentan (o contarán) con enlaces de Internet independientes y, si se requiere VPN, con un dispositivo compatible con IPsec.</w:t>
      </w:r>
    </w:p>
    <w:p>
      <w:pPr>
        <w:pStyle w:val="ListParagraph"/>
        <w:numPr>
          <w:ilvl w:val="0"/>
          <w:numId w:val="2"/>
        </w:numPr>
        <w:spacing w:after="80" w:line="264"/>
        <w:jc w:val="both"/>
      </w:pPr>
      <w:r>
        <w:t xml:space="preserve">El modelo de licenciamiento (Pay-As-You-Go o Azure Hybrid Benefit) se confirmará en la Fase 1.</w:t>
      </w:r>
    </w:p>
    <w:p>
      <w:pPr>
        <w:pStyle w:val="Heading2"/>
      </w:pPr>
      <w:r>
        <w:t xml:space="preserve">12.2 Restricciones</w:t>
      </w:r>
    </w:p>
    <w:p>
      <w:pPr>
        <w:pStyle w:val="ListParagraph"/>
        <w:numPr>
          <w:ilvl w:val="0"/>
          <w:numId w:val="2"/>
        </w:numPr>
        <w:spacing w:after="80" w:line="264"/>
        <w:jc w:val="both"/>
      </w:pPr>
      <w:r>
        <w:t xml:space="preserve">El dimensionamiento de servidores está condicionado a las especificaciones mínimas entregadas por el ISV.</w:t>
      </w:r>
    </w:p>
    <w:p>
      <w:pPr>
        <w:pStyle w:val="ListParagraph"/>
        <w:numPr>
          <w:ilvl w:val="0"/>
          <w:numId w:val="2"/>
        </w:numPr>
        <w:spacing w:after="80" w:line="264"/>
        <w:jc w:val="both"/>
      </w:pPr>
      <w:r>
        <w:t xml:space="preserve">La disponibilidad de SKUs y cuotas depende de la región de Azure seleccionada.</w:t>
      </w:r>
    </w:p>
    <w:p>
      <w:pPr>
        <w:pStyle w:val="ListParagraph"/>
        <w:numPr>
          <w:ilvl w:val="0"/>
          <w:numId w:val="2"/>
        </w:numPr>
        <w:spacing w:after="80" w:line="264"/>
        <w:jc w:val="both"/>
      </w:pPr>
      <w:r>
        <w:t xml:space="preserve">La alta disponibilidad real de la capa de aplicación depende de que el ISV soporte múltiples instancias en balanceo.</w:t>
      </w:r>
    </w:p>
    <w:p>
      <w:pPr>
        <w:pStyle w:val="Heading2"/>
      </w:pPr>
      <w:r>
        <w:t xml:space="preserve">12.3 Riesgos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tblHeader/>
        </w:trPr>
        <w:tc>
          <w:tcPr>
            <w:tcW w:type="dxa" w:w="33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Riesgo</w:t>
            </w:r>
          </w:p>
        </w:tc>
        <w:tc>
          <w:tcPr>
            <w:tcW w:type="dxa" w:w="110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Impacto</w:t>
            </w:r>
          </w:p>
        </w:tc>
        <w:tc>
          <w:tcPr>
            <w:tcW w:type="dxa" w:w="4960"/>
            <w:tcBorders>
              <w:top w:val="single" w:color="A6A6A6" w:sz="4"/>
              <w:left w:val="single" w:color="A6A6A6" w:sz="4"/>
              <w:bottom w:val="single" w:color="A6A6A6" w:sz="4"/>
              <w:right w:val="single" w:color="A6A6A6" w:sz="4"/>
            </w:tcBorders>
            <w:shd w:fill="0F4C81" w:color="auto" w:val="clear"/>
            <w:tcMar>
              <w:top w:type="dxa" w:w="60"/>
              <w:left w:type="dxa" w:w="100"/>
              <w:bottom w:type="dxa" w:w="60"/>
              <w:right w:type="dxa" w:w="100"/>
            </w:tcMar>
            <w:vAlign w:val="center"/>
          </w:tcPr>
          <w:p>
            <w:pPr>
              <w:spacing w:after="0"/>
            </w:pPr>
            <w:r>
              <w:rPr>
                <w:b/>
                <w:bCs/>
                <w:color w:val="FFFFFF"/>
                <w:sz w:val="19"/>
                <w:szCs w:val="19"/>
              </w:rPr>
              <w:t xml:space="preserve">Mitigación</w:t>
            </w:r>
          </w:p>
        </w:tc>
      </w:tr>
      <w:t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Retraso del ISV en la instalación del aplicativo</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Alto</w:t>
            </w:r>
          </w:p>
        </w:tc>
        <w:tc>
          <w:tcPr>
            <w:tcW w:type="dxa" w:w="4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Acordar fechas con el ISV en Fase 1; seguimiento semanal; aplicar corte provisional si procede.</w:t>
            </w:r>
          </w:p>
        </w:tc>
      </w:tr>
      <w:tr>
        <w:tc>
          <w:tcPr>
            <w:tcW w:type="dxa" w:w="3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Accesos, cuotas o licencias no disponibles a tiempo</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Alto</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Checklist de prerrequisitos antes de Fase 2.</w:t>
            </w:r>
          </w:p>
        </w:tc>
      </w:tr>
      <w:t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Dato de ancho de banda incorrecto</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Medio</w:t>
            </w:r>
          </w:p>
        </w:tc>
        <w:tc>
          <w:tcPr>
            <w:tcW w:type="dxa" w:w="4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Validación formal con el ISV antes de dimensionar enlaces.</w:t>
            </w:r>
          </w:p>
        </w:tc>
      </w:tr>
      <w:tr>
        <w:tc>
          <w:tcPr>
            <w:tcW w:type="dxa" w:w="3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Variación de costos de Azure (región, tipo de cambio)</w:t>
            </w:r>
          </w:p>
        </w:tc>
        <w:tc>
          <w:tcPr>
            <w:tcW w:type="dxa" w:w="1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Medio</w:t>
            </w:r>
          </w:p>
        </w:tc>
        <w:tc>
          <w:tcPr>
            <w:tcW w:type="dxa" w:w="496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center"/>
          </w:tcPr>
          <w:p>
            <w:pPr>
              <w:spacing w:after="0"/>
            </w:pPr>
            <w:r>
              <w:rPr>
                <w:sz w:val="19"/>
                <w:szCs w:val="19"/>
              </w:rPr>
              <w:t xml:space="preserve">Estimación final en calculadora oficial y alertas de presupuesto.</w:t>
            </w:r>
          </w:p>
        </w:tc>
      </w:tr>
      <w:t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Sucursales sin equipo compatible para VPN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Bajo</w:t>
            </w:r>
          </w:p>
        </w:tc>
        <w:tc>
          <w:tcPr>
            <w:tcW w:type="dxa" w:w="496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pPr>
            <w:r>
              <w:rPr>
                <w:sz w:val="19"/>
                <w:szCs w:val="19"/>
              </w:rPr>
              <w:t xml:space="preserve">Mantener Bastion + TC Plus como alternativa de administración.</w:t>
            </w:r>
          </w:p>
        </w:tc>
      </w:tr>
    </w:tbl>
    <w:p>
      <w:pPr>
        <w:pStyle w:val="Heading1"/>
      </w:pPr>
      <w:r>
        <w:t xml:space="preserve">13. Gestión de cambios de alcance</w:t>
      </w:r>
    </w:p>
    <w:p>
      <w:pPr>
        <w:spacing w:after="120" w:line="276"/>
        <w:jc w:val="both"/>
      </w:pPr>
      <w:r>
        <w:t xml:space="preserve">Toda solicitud que modifique el alcance, los entregables, el cronograma o el costo del proyecto seguirá el siguiente procedimiento:</w:t>
      </w:r>
    </w:p>
    <w:p>
      <w:pPr>
        <w:pStyle w:val="ListParagraph"/>
        <w:numPr>
          <w:ilvl w:val="0"/>
          <w:numId w:val="5"/>
        </w:numPr>
        <w:spacing w:after="100" w:line="264"/>
        <w:jc w:val="both"/>
      </w:pPr>
      <w:r>
        <w:t xml:space="preserve">La parte solicitante documenta el cambio mediante un formato de Solicitud de Cambio (descripción, justificación y prioridad).</w:t>
      </w:r>
    </w:p>
    <w:p>
      <w:pPr>
        <w:pStyle w:val="ListParagraph"/>
        <w:numPr>
          <w:ilvl w:val="0"/>
          <w:numId w:val="5"/>
        </w:numPr>
        <w:spacing w:after="100" w:line="264"/>
        <w:jc w:val="both"/>
      </w:pPr>
      <w:r>
        <w:t xml:space="preserve">El Consultor evalúa el impacto en alcance, tiempo y costo en un plazo de hasta 3 días hábiles.</w:t>
      </w:r>
    </w:p>
    <w:p>
      <w:pPr>
        <w:pStyle w:val="ListParagraph"/>
        <w:numPr>
          <w:ilvl w:val="0"/>
          <w:numId w:val="5"/>
        </w:numPr>
        <w:spacing w:after="100" w:line="264"/>
        <w:jc w:val="both"/>
      </w:pPr>
      <w:r>
        <w:t xml:space="preserve">El Cliente aprueba o rechaza por escrito la solicitud y su impacto.</w:t>
      </w:r>
    </w:p>
    <w:p>
      <w:pPr>
        <w:pStyle w:val="ListParagraph"/>
        <w:numPr>
          <w:ilvl w:val="0"/>
          <w:numId w:val="5"/>
        </w:numPr>
        <w:spacing w:after="100" w:line="264"/>
        <w:jc w:val="both"/>
      </w:pPr>
      <w:r>
        <w:t xml:space="preserve">Solo los cambios aprobados se incorporan a la línea base y al plan de trabajo; ningún cambio se ejecuta sin aprobación formal.</w:t>
      </w:r>
    </w:p>
    <w:p>
      <w:pPr>
        <w:pStyle w:val="Heading1"/>
      </w:pPr>
      <w:r>
        <w:t xml:space="preserve">14. Criterios de aceptación y aprobación</w:t>
      </w:r>
    </w:p>
    <w:p>
      <w:pPr>
        <w:spacing w:after="120" w:line="276"/>
        <w:jc w:val="both"/>
      </w:pPr>
      <w:r>
        <w:t xml:space="preserve">Cada entregable se considerará aceptado cuando cumpla con lo descrito en este documento y sea aprobado por el líder de proyecto del Cliente, o bien conforme a la aceptación tácita establecida en la sección 11.3. El proyecto se cierra con la firma del acta de cierre.</w:t>
      </w:r>
    </w:p>
    <w:p>
      <w:pPr>
        <w:spacing w:after="120" w:line="276"/>
        <w:jc w:val="both"/>
      </w:pPr>
      <w:r>
        <w:t xml:space="preserve">Con la firma del presente documento, las partes manifiestan su conformidad con la visión, el alcance, las premisas y las condiciones aquí descritas.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left w:type="dxa" w:w="200"/>
              <w:right w:type="dxa" w:w="200"/>
            </w:tcMar>
          </w:tcPr>
          <w:p>
            <w:pPr>
              <w:pBdr>
                <w:top w:val="single" w:color="000000" w:sz="6" w:space="4"/>
              </w:pBdr>
              <w:spacing w:before="900"/>
              <w:jc w:val="center"/>
            </w:pPr>
            <w:r>
              <w:rPr>
                <w:b/>
                <w:bCs/>
              </w:rPr>
              <w:t xml:space="preserve">Por el Cliente — Patrocinador</w:t>
            </w:r>
          </w:p>
          <w:p>
            <w:pPr>
              <w:jc w:val="center"/>
            </w:pPr>
            <w:r>
              <w:t xml:space="preserve">Nombre:</w:t>
            </w:r>
          </w:p>
          <w:p>
            <w:pPr>
              <w:jc w:val="center"/>
            </w:pPr>
            <w:r>
              <w:t xml:space="preserve">Puesto:</w:t>
            </w:r>
          </w:p>
          <w:p>
            <w:pPr>
              <w:jc w:val="center"/>
            </w:pPr>
            <w:r>
              <w:t xml:space="preserve">Fecha:</w:t>
            </w:r>
          </w:p>
        </w:tc>
        <w:tc>
          <w:tcPr>
            <w:tcW w:type="dxa" w:w="4680"/>
            <w:tcBorders>
              <w:top w:val="none" w:color="FFFFFF" w:sz="0"/>
              <w:left w:val="none" w:color="FFFFFF" w:sz="0"/>
              <w:bottom w:val="none" w:color="FFFFFF" w:sz="0"/>
              <w:right w:val="none" w:color="FFFFFF" w:sz="0"/>
            </w:tcBorders>
            <w:tcMar>
              <w:left w:type="dxa" w:w="200"/>
              <w:right w:type="dxa" w:w="200"/>
            </w:tcMar>
          </w:tcPr>
          <w:p>
            <w:pPr>
              <w:pBdr>
                <w:top w:val="single" w:color="000000" w:sz="6" w:space="4"/>
              </w:pBdr>
              <w:spacing w:before="900"/>
              <w:jc w:val="center"/>
            </w:pPr>
            <w:r>
              <w:rPr>
                <w:b/>
                <w:bCs/>
              </w:rPr>
              <w:t xml:space="preserve">Por el Consultor — Director de cuenta</w:t>
            </w:r>
          </w:p>
          <w:p>
            <w:pPr>
              <w:jc w:val="center"/>
            </w:pPr>
            <w:r>
              <w:t xml:space="preserve">Nombre:</w:t>
            </w:r>
          </w:p>
          <w:p>
            <w:pPr>
              <w:jc w:val="center"/>
            </w:pPr>
            <w:r>
              <w:t xml:space="preserve">Puesto:</w:t>
            </w:r>
          </w:p>
          <w:p>
            <w:pPr>
              <w:jc w:val="center"/>
            </w:pPr>
            <w:r>
              <w:t xml:space="preserve">Fecha:</w:t>
            </w:r>
          </w:p>
        </w:tc>
      </w:tr>
      <w:tr>
        <w:tc>
          <w:tcPr>
            <w:tcW w:type="dxa" w:w="4680"/>
            <w:tcBorders>
              <w:top w:val="none" w:color="FFFFFF" w:sz="0"/>
              <w:left w:val="none" w:color="FFFFFF" w:sz="0"/>
              <w:bottom w:val="none" w:color="FFFFFF" w:sz="0"/>
              <w:right w:val="none" w:color="FFFFFF" w:sz="0"/>
            </w:tcBorders>
            <w:tcMar>
              <w:left w:type="dxa" w:w="200"/>
              <w:right w:type="dxa" w:w="200"/>
            </w:tcMar>
          </w:tcPr>
          <w:p>
            <w:pPr>
              <w:pBdr>
                <w:top w:val="single" w:color="000000" w:sz="6" w:space="4"/>
              </w:pBdr>
              <w:spacing w:before="900"/>
              <w:jc w:val="center"/>
            </w:pPr>
            <w:r>
              <w:rPr>
                <w:b/>
                <w:bCs/>
              </w:rPr>
              <w:t xml:space="preserve">Por el Cliente — Líder de proyecto</w:t>
            </w:r>
          </w:p>
          <w:p>
            <w:pPr>
              <w:jc w:val="center"/>
            </w:pPr>
            <w:r>
              <w:t xml:space="preserve">Nombre:</w:t>
            </w:r>
          </w:p>
          <w:p>
            <w:pPr>
              <w:jc w:val="center"/>
            </w:pPr>
            <w:r>
              <w:t xml:space="preserve">Puesto:</w:t>
            </w:r>
          </w:p>
          <w:p>
            <w:pPr>
              <w:jc w:val="center"/>
            </w:pPr>
            <w:r>
              <w:t xml:space="preserve">Fecha:</w:t>
            </w:r>
          </w:p>
        </w:tc>
        <w:tc>
          <w:tcPr>
            <w:tcW w:type="dxa" w:w="4680"/>
            <w:tcBorders>
              <w:top w:val="none" w:color="FFFFFF" w:sz="0"/>
              <w:left w:val="none" w:color="FFFFFF" w:sz="0"/>
              <w:bottom w:val="none" w:color="FFFFFF" w:sz="0"/>
              <w:right w:val="none" w:color="FFFFFF" w:sz="0"/>
            </w:tcBorders>
            <w:tcMar>
              <w:left w:type="dxa" w:w="200"/>
              <w:right w:type="dxa" w:w="200"/>
            </w:tcMar>
          </w:tcPr>
          <w:p>
            <w:pPr>
              <w:pBdr>
                <w:top w:val="single" w:color="000000" w:sz="6" w:space="4"/>
              </w:pBdr>
              <w:spacing w:before="900"/>
              <w:jc w:val="center"/>
            </w:pPr>
            <w:r>
              <w:rPr>
                <w:b/>
                <w:bCs/>
              </w:rPr>
              <w:t xml:space="preserve">Por el Consultor — Gerente de Proyecto</w:t>
            </w:r>
          </w:p>
          <w:p>
            <w:pPr>
              <w:jc w:val="center"/>
            </w:pPr>
            <w:r>
              <w:t xml:space="preserve">Nombre:</w:t>
            </w:r>
          </w:p>
          <w:p>
            <w:pPr>
              <w:jc w:val="center"/>
            </w:pPr>
            <w:r>
              <w:t xml:space="preserve">Puesto:</w:t>
            </w:r>
          </w:p>
          <w:p>
            <w:pPr>
              <w:jc w:val="center"/>
            </w:pPr>
            <w:r>
              <w:t xml:space="preserve">Fecha:</w:t>
            </w:r>
          </w:p>
        </w:tc>
      </w:tr>
    </w:tbl>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Confidencial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Visión y Alcance — Solución Web 3 Niveles en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P%1."/>
      <w:lvlJc w:val="left"/>
      <w:pPr>
        <w:ind w:left="720" w:hanging="54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4C81" w:sz="6" w:space="4"/>
      </w:pBdr>
      <w:spacing w:after="160" w:before="360"/>
      <w:outlineLvl w:val="0"/>
    </w:pPr>
    <w:rPr>
      <w:b/>
      <w:bCs/>
      <w:color w:val="0F4C81"/>
      <w:sz w:val="30"/>
      <w:szCs w:val="30"/>
    </w:rPr>
  </w:style>
  <w:style w:type="paragraph" w:styleId="Heading2">
    <w:name w:val="Heading 2"/>
    <w:basedOn w:val="Normal"/>
    <w:next w:val="Normal"/>
    <w:qFormat/>
    <w:pPr>
      <w:spacing w:after="100" w:before="240"/>
      <w:outlineLvl w:val="1"/>
    </w:pPr>
    <w:rPr>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7f1bf7f950bf580a21959c187cfcd4745d482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Visión y Alcance — Solución Web 3 Niveles Azure</dc:title>
  <dc:creator>Consultor</dc:creator>
  <cp:lastModifiedBy>Un-named</cp:lastModifiedBy>
  <cp:revision>1</cp:revision>
  <dcterms:created xsi:type="dcterms:W3CDTF">2026-09-29T06:27:18.197Z</dcterms:created>
  <dcterms:modified xsi:type="dcterms:W3CDTF">2026-09-29T06:27:18.203Z</dcterms:modified>
</cp:coreProperties>
</file>

<file path=docProps/custom.xml><?xml version="1.0" encoding="utf-8"?>
<Properties xmlns="http://schemas.openxmlformats.org/officeDocument/2006/custom-properties" xmlns:vt="http://schemas.openxmlformats.org/officeDocument/2006/docPropsVTypes"/>
</file>