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Propuesta: Unión híbrida Entra ID y protección de carpetas OneDrive</w:t>
      </w:r>
    </w:p>
    <w:p>
      <w:pPr/>
      <w:r>
        <w:t xml:space="preserve">Oct 26, 2026</w:t>
      </w:r>
      <w:r>
        <w:t xml:space="preserve"> · </w:t>
      </w:r>
      <w:r>
        <w:t xml:space="preserve">@Someone</w:t>
      </w:r>
    </w:p>
    <w:p>
      <w:pPr>
        <w:pStyle w:val="Heading2"/>
      </w:pPr>
      <w:r>
        <w:t xml:space="preserve">Resumen ejecutivo</w:t>
      </w:r>
    </w:p>
    <w:p>
      <w:pPr/>
      <w:r>
        <w:t xml:space="preserve">Proponemos un piloto de 3 semanas (1 usuario y 1 equipo) para lograr la unión híbrida con Microsoft Entra ID y la protección obligatoria de Escritorio, Documentos e Imágenes en OneDrive, solo con GPO y sin Intune. El proyecto es viable con la infraestructura actual, sujeto a una condición previa crítica: actualizar Entra Connect Sync a la versión 2.6.84.0 o posterior con autenticación por aplicación, requisito obligatorio de Microsoft antes del 7 de abril de 2027.</w:t>
      </w:r>
    </w:p>
    <w:p>
      <w:pPr/>
      <w:r>
        <w:t xml:space="preserve">El esfuerzo estimado del piloto es de 40 a 56 horas de consultoría. Tras la aceptación, el despliegue a producción se ejecuta por oleadas y se cotiza aparte según el número de equipos. No se requieren licencias adicionales para la unión híbrida; el respaldo de OneDrive se ofrece como componente opcional.</w:t>
      </w:r>
    </w:p>
    <w:p>
      <w:pPr>
        <w:pStyle w:val="Heading2"/>
      </w:pPr>
      <w:r>
        <w:t xml:space="preserve">Situación actual</w:t>
      </w:r>
    </w:p>
    <w:p>
      <w:pPr/>
      <w:r>
        <w:t xml:space="preserve">El cliente opera un dominio de Active Directory local sincronizado con un inquilino de Microsoft 365, pero sus equipos aún no están registrados en Entra ID. Por eso OneDrive no puede iniciar sesión en silencio ni proteger carpetas de forma automática.</w:t>
      </w:r>
    </w:p>
    <w:tbl>
      <w:tblPr>
        <w:tblStyle w:val="TableGrid"/>
        <w:tblW w:w="0" w:type="auto"/>
        <w:tblLayout w:type="fixed"/>
        <w:tblLook w:val="04A0" w:firstRow="1" w:lastRow="0" w:firstColumn="0" w:lastColumn="0" w:noHBand="0" w:noVBand="1"/>
      </w:tblPr>
      <w:tblGrid>
        <w:gridCol w:w="2034"/>
        <w:gridCol w:w="2406"/>
        <w:gridCol w:w="4920"/>
      </w:tblGrid>
      <w:tr>
        <w:trPr>
          <w:tblHeader/>
        </w:trPr>
        <w:tc>
          <w:tcPr>
            <w:tcW w:w="2034" w:type="dxa"/>
            <w:shd w:val="clear" w:color="auto" w:fill="F2F2F2"/>
          </w:tcPr>
          <w:p>
            <w:pPr/>
            <w:r>
              <w:t xml:space="preserve">Componente</w:t>
            </w:r>
          </w:p>
        </w:tc>
        <w:tc>
          <w:tcPr>
            <w:tcW w:w="2406" w:type="dxa"/>
            <w:shd w:val="clear" w:color="auto" w:fill="F2F2F2"/>
          </w:tcPr>
          <w:p>
            <w:pPr/>
            <w:r>
              <w:t xml:space="preserve">Estado reportado</w:t>
            </w:r>
          </w:p>
        </w:tc>
        <w:tc>
          <w:tcPr>
            <w:tcW w:w="4920" w:type="dxa"/>
            <w:shd w:val="clear" w:color="auto" w:fill="F2F2F2"/>
          </w:tcPr>
          <w:p>
            <w:pPr/>
            <w:r>
              <w:t xml:space="preserve">Implicación</w:t>
            </w:r>
          </w:p>
        </w:tc>
      </w:tr>
      <w:tr>
        <w:tc>
          <w:tcPr>
            <w:tcW w:w="2034" w:type="dxa"/>
          </w:tcPr>
          <w:p>
            <w:pPr/>
            <w:r>
              <w:t xml:space="preserve">Active Directory local</w:t>
            </w:r>
          </w:p>
        </w:tc>
        <w:tc>
          <w:tcPr>
            <w:tcW w:w="2406" w:type="dxa"/>
          </w:tcPr>
          <w:p>
            <w:pPr/>
            <w:r>
              <w:t xml:space="preserve">Operativo; equipos unidos al dominio</w:t>
            </w:r>
          </w:p>
        </w:tc>
        <w:tc>
          <w:tcPr>
            <w:tcW w:w="4920" w:type="dxa"/>
          </w:tcPr>
          <w:p>
            <w:pPr/>
            <w:r>
              <w:t xml:space="preserve">Base de la unión híbrida; no cambia</w:t>
            </w:r>
          </w:p>
        </w:tc>
      </w:tr>
      <w:tr>
        <w:tc>
          <w:tcPr>
            <w:tcW w:w="2034" w:type="dxa"/>
          </w:tcPr>
          <w:p>
            <w:pPr/>
            <w:r>
              <w:t xml:space="preserve">Inquilino Microsoft 365</w:t>
            </w:r>
          </w:p>
        </w:tc>
        <w:tc>
          <w:tcPr>
            <w:tcW w:w="2406" w:type="dxa"/>
          </w:tcPr>
          <w:p>
            <w:pPr/>
            <w:r>
              <w:t xml:space="preserve">Activo</w:t>
            </w:r>
          </w:p>
        </w:tc>
        <w:tc>
          <w:tcPr>
            <w:tcW w:w="4920" w:type="dxa"/>
          </w:tcPr>
          <w:p>
            <w:pPr/>
            <w:r>
              <w:t xml:space="preserve">Destino de registro de dispositivos y OneDrive</w:t>
            </w:r>
          </w:p>
        </w:tc>
      </w:tr>
      <w:tr>
        <w:tc>
          <w:tcPr>
            <w:tcW w:w="2034" w:type="dxa"/>
          </w:tcPr>
          <w:p>
            <w:pPr/>
            <w:r>
              <w:t xml:space="preserve">Azure AD Connect</w:t>
            </w:r>
          </w:p>
        </w:tc>
        <w:tc>
          <w:tcPr>
            <w:tcW w:w="2406" w:type="dxa"/>
          </w:tcPr>
          <w:p>
            <w:pPr/>
            <w:r>
              <w:t xml:space="preserve">Instalado; sincroniza usuarios</w:t>
            </w:r>
          </w:p>
        </w:tc>
        <w:tc>
          <w:tcPr>
            <w:tcW w:w="4920" w:type="dxa"/>
          </w:tcPr>
          <w:p>
            <w:pPr/>
            <w:r>
              <w:t xml:space="preserve">Versión por confirmar; debe llevarse a Entra Connect Sync 2.6.84.0 o posterior</w:t>
            </w:r>
          </w:p>
        </w:tc>
      </w:tr>
      <w:tr>
        <w:tc>
          <w:tcPr>
            <w:tcW w:w="2034" w:type="dxa"/>
          </w:tcPr>
          <w:p>
            <w:pPr/>
            <w:r>
              <w:t xml:space="preserve">Intune</w:t>
            </w:r>
          </w:p>
        </w:tc>
        <w:tc>
          <w:tcPr>
            <w:tcW w:w="2406" w:type="dxa"/>
          </w:tcPr>
          <w:p>
            <w:pPr/>
            <w:r>
              <w:t xml:space="preserve">No disponible</w:t>
            </w:r>
          </w:p>
        </w:tc>
        <w:tc>
          <w:tcPr>
            <w:tcW w:w="4920" w:type="dxa"/>
          </w:tcPr>
          <w:p>
            <w:pPr/>
            <w:r>
              <w:t xml:space="preserve">La configuración se hará solo con GPO</w:t>
            </w:r>
          </w:p>
        </w:tc>
      </w:tr>
      <w:tr>
        <w:tc>
          <w:tcPr>
            <w:tcW w:w="2034" w:type="dxa"/>
          </w:tcPr>
          <w:p>
            <w:pPr/>
            <w:r>
              <w:t xml:space="preserve">Plantillas ADMX de OneDrive</w:t>
            </w:r>
          </w:p>
        </w:tc>
        <w:tc>
          <w:tcPr>
            <w:tcW w:w="2406" w:type="dxa"/>
          </w:tcPr>
          <w:p>
            <w:pPr/>
            <w:r>
              <w:t xml:space="preserve">Cargadas en el editor de GPO</w:t>
            </w:r>
          </w:p>
        </w:tc>
        <w:tc>
          <w:tcPr>
            <w:tcW w:w="4920" w:type="dxa"/>
          </w:tcPr>
          <w:p>
            <w:pPr/>
            <w:r>
              <w:t xml:space="preserve">Faltan revisar ajustes activos y su vinculación a OU</w:t>
            </w:r>
          </w:p>
        </w:tc>
      </w:tr>
      <w:tr>
        <w:tc>
          <w:tcPr>
            <w:tcW w:w="2034" w:type="dxa"/>
          </w:tcPr>
          <w:p>
            <w:pPr/>
            <w:r>
              <w:t xml:space="preserve">dsregcmd /status</w:t>
            </w:r>
          </w:p>
        </w:tc>
        <w:tc>
          <w:tcPr>
            <w:tcW w:w="2406" w:type="dxa"/>
          </w:tcPr>
          <w:p>
            <w:pPr/>
            <w:r>
              <w:t xml:space="preserve">Valores NO reportados</w:t>
            </w:r>
          </w:p>
        </w:tc>
        <w:tc>
          <w:tcPr>
            <w:tcW w:w="4920" w:type="dxa"/>
          </w:tcPr>
          <w:p>
            <w:pPr/>
            <w:r>
              <w:t xml:space="preserve">Se presume AzureAdJoined NO y AzureAdPrt NO; se confirmará en el equipo piloto</w:t>
            </w:r>
          </w:p>
        </w:tc>
      </w:tr>
    </w:tbl>
    <w:p>
      <w:pPr/>
      <w:r>
        <w:t xml:space="preserve">El nombre "Azure AD Connect" sugiere una instalación antigua. La versión 2.5.79.0 perdió soporte el 23 de octubre de 2026, y desde el 7 de abril de 2027 Microsoft detendrá la sincronización en servidores que no cumplan versión mínima y autenticación por aplicación (</w:t>
      </w:r>
      <w:hyperlink r:id="rId3" w:history="1">
        <w:r>
          <w:rPr>
            <w:rStyle w:val="Hyperlink"/>
          </w:rPr>
          <w:t xml:space="preserve">IT-Connect</w:t>
        </w:r>
      </w:hyperlink>
      <w:r>
        <w:t xml:space="preserve">, </w:t>
      </w:r>
      <w:hyperlink r:id="rId4" w:history="1">
        <w:r>
          <w:rPr>
            <w:rStyle w:val="Hyperlink"/>
          </w:rPr>
          <w:t xml:space="preserve">Microsoft Learn</w:t>
        </w:r>
      </w:hyperlink>
      <w:r>
        <w:t xml:space="preserve">).</w:t>
      </w:r>
    </w:p>
    <w:p>
      <w:pPr>
        <w:pStyle w:val="Heading2"/>
      </w:pPr>
      <w:r>
        <w:t xml:space="preserve">Objetivos</w:t>
      </w:r>
    </w:p>
    <w:p>
      <w:pPr/>
      <w:r>
        <w:t xml:space="preserve">El objetivo es que el usuario inicie Windows con su cuenta de dominio y encuentre OneDrive configurado y sus carpetas protegidas, sin pasos manuales.</w:t>
      </w:r>
    </w:p>
    <w:p>
      <w:pPr>
        <w:pStyle w:val="ListParagraph"/>
        <w:numPr>
          <w:ilvl w:val="0"/>
          <w:numId w:val="2"/>
        </w:numPr>
      </w:pPr>
      <w:r>
        <w:t xml:space="preserve">Registrar el equipo piloto como unido híbrido a Entra ID (DomainJoined YES, AzureAdJoined YES, AzureAdPrt YES).</w:t>
      </w:r>
    </w:p>
    <w:p>
      <w:pPr>
        <w:pStyle w:val="ListParagraph"/>
        <w:numPr>
          <w:ilvl w:val="0"/>
          <w:numId w:val="2"/>
        </w:numPr>
      </w:pPr>
      <w:r>
        <w:t xml:space="preserve">Configurar OneDrive empresarial en silencio con la cuenta de Windows del usuario.</w:t>
      </w:r>
    </w:p>
    <w:p>
      <w:pPr>
        <w:pStyle w:val="ListParagraph"/>
        <w:numPr>
          <w:ilvl w:val="0"/>
          <w:numId w:val="2"/>
        </w:numPr>
      </w:pPr>
      <w:r>
        <w:t xml:space="preserve">Mover en silencio Escritorio, Documentos e Imágenes a OneDrive e impedir que el usuario revierta la protección.</w:t>
      </w:r>
    </w:p>
    <w:p>
      <w:pPr>
        <w:pStyle w:val="ListParagraph"/>
        <w:numPr>
          <w:ilvl w:val="0"/>
          <w:numId w:val="2"/>
        </w:numPr>
      </w:pPr>
      <w:r>
        <w:t xml:space="preserve">Activar Archivos a petición para reducir la descarga inicial.</w:t>
      </w:r>
    </w:p>
    <w:p>
      <w:pPr>
        <w:pStyle w:val="ListParagraph"/>
        <w:numPr>
          <w:ilvl w:val="0"/>
          <w:numId w:val="2"/>
        </w:numPr>
      </w:pPr>
      <w:r>
        <w:t xml:space="preserve">Conservar dominio, perfil de Windows, permisos, aplicaciones, unidades de red y alcance actual de sincronización.</w:t>
      </w:r>
    </w:p>
    <w:p>
      <w:pPr>
        <w:pStyle w:val="ListParagraph"/>
        <w:numPr>
          <w:ilvl w:val="0"/>
          <w:numId w:val="2"/>
        </w:numPr>
      </w:pPr>
      <w:r>
        <w:t xml:space="preserve">Dejar documentado un procedimiento repetible y un plan de reversión para extender la solución a producción.</w:t>
      </w:r>
    </w:p>
    <w:p>
      <w:pPr>
        <w:pStyle w:val="Heading2"/>
      </w:pPr>
      <w:r>
        <w:t xml:space="preserve">Viabilidad</w:t>
      </w:r>
    </w:p>
    <w:p>
      <w:pPr/>
      <w:r>
        <w:t xml:space="preserve">El proyecto es técnicamente viable sin Intune y sin cambiar el método de autenticación; la unión híbrida y las directivas de OneDrive se gestionan por completo con Entra Connect y GPO. La viabilidad depende de cinco condiciones que se verifican en la fase de evaluación.</w:t>
      </w:r>
    </w:p>
    <w:tbl>
      <w:tblPr>
        <w:tblStyle w:val="TableGrid"/>
        <w:tblW w:w="0" w:type="auto"/>
        <w:tblLayout w:type="fixed"/>
        <w:tblLook w:val="04A0" w:firstRow="1" w:lastRow="0" w:firstColumn="0" w:lastColumn="0" w:noHBand="0" w:noVBand="1"/>
      </w:tblPr>
      <w:tblGrid>
        <w:gridCol w:w="3219"/>
        <w:gridCol w:w="3665"/>
        <w:gridCol w:w="2476"/>
      </w:tblGrid>
      <w:tr>
        <w:trPr>
          <w:tblHeader/>
        </w:trPr>
        <w:tc>
          <w:tcPr>
            <w:tcW w:w="3219" w:type="dxa"/>
            <w:shd w:val="clear" w:color="auto" w:fill="F2F2F2"/>
          </w:tcPr>
          <w:p>
            <w:pPr/>
            <w:r>
              <w:t xml:space="preserve">Condición</w:t>
            </w:r>
          </w:p>
        </w:tc>
        <w:tc>
          <w:tcPr>
            <w:tcW w:w="3665" w:type="dxa"/>
            <w:shd w:val="clear" w:color="auto" w:fill="F2F2F2"/>
          </w:tcPr>
          <w:p>
            <w:pPr/>
            <w:r>
              <w:t xml:space="preserve">Por qué importa</w:t>
            </w:r>
          </w:p>
        </w:tc>
        <w:tc>
          <w:tcPr>
            <w:tcW w:w="2476" w:type="dxa"/>
            <w:shd w:val="clear" w:color="auto" w:fill="F2F2F2"/>
          </w:tcPr>
          <w:p>
            <w:pPr/>
            <w:r>
              <w:t xml:space="preserve">Si no se cumple</w:t>
            </w:r>
          </w:p>
        </w:tc>
      </w:tr>
      <w:tr>
        <w:tc>
          <w:tcPr>
            <w:tcW w:w="3219" w:type="dxa"/>
          </w:tcPr>
          <w:p>
            <w:pPr/>
            <w:r>
              <w:t xml:space="preserve">Entra Connect Sync 2.6.84.0 o posterior con autenticación por aplicación</w:t>
            </w:r>
          </w:p>
        </w:tc>
        <w:tc>
          <w:tcPr>
            <w:tcW w:w="3665" w:type="dxa"/>
          </w:tcPr>
          <w:p>
            <w:pPr/>
            <w:r>
              <w:t xml:space="preserve">Requisito de Microsoft para seguir sincronizando después del 7 de abril de 2027</w:t>
            </w:r>
          </w:p>
        </w:tc>
        <w:tc>
          <w:tcPr>
            <w:tcW w:w="2476" w:type="dxa"/>
          </w:tcPr>
          <w:p>
            <w:pPr/>
            <w:r>
              <w:t xml:space="preserve">Actualización previa, incluida como actividad del piloto</w:t>
            </w:r>
          </w:p>
        </w:tc>
      </w:tr>
      <w:tr>
        <w:tc>
          <w:tcPr>
            <w:tcW w:w="3219" w:type="dxa"/>
          </w:tcPr>
          <w:p>
            <w:pPr/>
            <w:r>
              <w:t xml:space="preserve">OU del equipo piloto dentro del alcance de sincronización</w:t>
            </w:r>
          </w:p>
        </w:tc>
        <w:tc>
          <w:tcPr>
            <w:tcW w:w="3665" w:type="dxa"/>
          </w:tcPr>
          <w:p>
            <w:pPr/>
            <w:r>
              <w:t xml:space="preserve">Sin el objeto de equipo en Entra el registro queda pendiente</w:t>
            </w:r>
          </w:p>
        </w:tc>
        <w:tc>
          <w:tcPr>
            <w:tcW w:w="2476" w:type="dxa"/>
          </w:tcPr>
          <w:p>
            <w:pPr/>
            <w:r>
              <w:t xml:space="preserve">Se agrega solo esa OU; no se excluye ninguna OU de usuarios</w:t>
            </w:r>
          </w:p>
        </w:tc>
      </w:tr>
      <w:tr>
        <w:tc>
          <w:tcPr>
            <w:tcW w:w="3219" w:type="dxa"/>
          </w:tcPr>
          <w:p>
            <w:pPr/>
            <w:r>
              <w:t xml:space="preserve">Windows 10/11 compatible y cliente OneDrive actualizado</w:t>
            </w:r>
          </w:p>
        </w:tc>
        <w:tc>
          <w:tcPr>
            <w:tcW w:w="3665" w:type="dxa"/>
          </w:tcPr>
          <w:p>
            <w:pPr/>
            <w:r>
              <w:t xml:space="preserve">El inicio de sesión silencioso y la protección de carpetas los exigen</w:t>
            </w:r>
          </w:p>
        </w:tc>
        <w:tc>
          <w:tcPr>
            <w:tcW w:w="2476" w:type="dxa"/>
          </w:tcPr>
          <w:p>
            <w:pPr/>
            <w:r>
              <w:t xml:space="preserve">Actualizar el equipo piloto</w:t>
            </w:r>
          </w:p>
        </w:tc>
      </w:tr>
      <w:tr>
        <w:tc>
          <w:tcPr>
            <w:tcW w:w="3219" w:type="dxa"/>
          </w:tcPr>
          <w:p>
            <w:pPr/>
            <w:r>
              <w:t xml:space="preserve">Salida a Internet del equipo (contexto SYSTEM) hacia los servicios de registro de Microsoft</w:t>
            </w:r>
          </w:p>
        </w:tc>
        <w:tc>
          <w:tcPr>
            <w:tcW w:w="3665" w:type="dxa"/>
          </w:tcPr>
          <w:p>
            <w:pPr/>
            <w:r>
              <w:t xml:space="preserve">El registro lo ejecuta el equipo, no el usuario; proxy o inspección TLS lo bloquean con frecuencia</w:t>
            </w:r>
          </w:p>
        </w:tc>
        <w:tc>
          <w:tcPr>
            <w:tcW w:w="2476" w:type="dxa"/>
          </w:tcPr>
          <w:p>
            <w:pPr/>
            <w:r>
              <w:t xml:space="preserve">Excepciones en proxy/firewall a cargo del cliente</w:t>
            </w:r>
          </w:p>
        </w:tc>
      </w:tr>
      <w:tr>
        <w:tc>
          <w:tcPr>
            <w:tcW w:w="3219" w:type="dxa"/>
          </w:tcPr>
          <w:p>
            <w:pPr/>
            <w:r>
              <w:t xml:space="preserve">Usuario con licencia de OneDrive, UPN en dominio verificado</w:t>
            </w:r>
          </w:p>
        </w:tc>
        <w:tc>
          <w:tcPr>
            <w:tcW w:w="3665" w:type="dxa"/>
          </w:tcPr>
          <w:p>
            <w:pPr/>
            <w:r>
              <w:t xml:space="preserve">El PRT y OneDrive dependen de que el UPN local coincida con la cuenta en la nube</w:t>
            </w:r>
          </w:p>
        </w:tc>
        <w:tc>
          <w:tcPr>
            <w:tcW w:w="2476" w:type="dxa"/>
          </w:tcPr>
          <w:p>
            <w:pPr/>
            <w:r>
              <w:t xml:space="preserve">Ajuste de sufijo UPN acordado como cambio adicional</w:t>
            </w:r>
          </w:p>
        </w:tc>
      </w:tr>
    </w:tbl>
    <w:p>
      <w:pPr/>
      <w:r>
        <w:t xml:space="preserve">Si el dominio está federado (AD FS), el flujo cambia: se validan las reglas de notificaciones antes de registrar. Si existen MFA o acceso condicional que exijan interacción, se documentarán como excepción y no se debilitarán.</w:t>
      </w:r>
    </w:p>
    <w:p>
      <w:pPr>
        <w:pStyle w:val="Heading2"/>
      </w:pPr>
      <w:r>
        <w:t xml:space="preserve">Arquitectura de la solución</w:t>
      </w:r>
    </w:p>
    <w:p>
      <w:pPr/>
      <w:r>
        <w:t xml:space="preserve">La solución agrega el registro del equipo sin tocar la autenticación: Entra Connect sincroniza el objeto del equipo, el equipo se registra en Entra ID y, con el PRT obtenido, OneDrive inicia sesión y protege las carpetas.</w:t>
      </w:r>
    </w:p>
    <w:p>
      <w:pPr/>
      <w:r>
        <w:drawing>
          <wp:inline distT="0" distB="0" distL="0" distR="0">
            <wp:extent cx="5486400" cy="3233057"/>
            <wp:docPr id="1" name="image1" descr="arquitectura · 3 componentes locales, 3 en la nube"/>
            <a:graphic xmlns:a="http://schemas.openxmlformats.org/drawingml/2006/main">
              <a:graphicData uri="http://schemas.openxmlformats.org/drawingml/2006/picture">
                <pic:pic xmlns:pic="http://schemas.openxmlformats.org/drawingml/2006/picture">
                  <pic:nvPicPr>
                    <pic:cNvPr id="1" name="image1" descr="arquitectura · 3 componentes locales, 3 en la nube"/>
                    <pic:cNvPicPr/>
                  </pic:nvPicPr>
                  <pic:blipFill>
                    <a:blip r:embed="rId5"/>
                    <a:stretch>
                      <a:fillRect/>
                    </a:stretch>
                  </pic:blipFill>
                  <pic:spPr>
                    <a:xfrm>
                      <a:off x="0" y="0"/>
                      <a:ext cx="5486400" cy="3233057"/>
                    </a:xfrm>
                    <a:prstGeom prst="rect">
                      <a:avLst/>
                    </a:prstGeom>
                  </pic:spPr>
                </pic:pic>
              </a:graphicData>
            </a:graphic>
          </wp:inline>
        </w:drawing>
      </w:r>
    </w:p>
    <w:p>
      <w:pPr/>
      <w:r>
        <w:t xml:space="preserve">arquitectura · 3 componentes locales, 3 en la nube</w:t>
      </w:r>
    </w:p>
    <w:p>
      <w:pPr/>
      <w:r>
        <w:t xml:space="preserve">Secuencia en el equipo piloto:</w:t>
      </w:r>
    </w:p>
    <w:p>
      <w:pPr>
        <w:pStyle w:val="ListParagraph"/>
        <w:numPr>
          <w:ilvl w:val="0"/>
          <w:numId w:val="3"/>
        </w:numPr>
      </w:pPr>
      <w:r>
        <w:t xml:space="preserve">La GPO escribe en el equipo las claves de registro dirigido (TenantId y TenantName), sin publicar SCP en el bosque.</w:t>
      </w:r>
    </w:p>
    <w:p>
      <w:pPr>
        <w:pStyle w:val="ListParagraph"/>
        <w:numPr>
          <w:ilvl w:val="0"/>
          <w:numId w:val="3"/>
        </w:numPr>
      </w:pPr>
      <w:r>
        <w:t xml:space="preserve">Entra Connect sincroniza el objeto del equipo de la OU piloto, con su atributo userCertificate.</w:t>
      </w:r>
    </w:p>
    <w:p>
      <w:pPr>
        <w:pStyle w:val="ListParagraph"/>
        <w:numPr>
          <w:ilvl w:val="0"/>
          <w:numId w:val="3"/>
        </w:numPr>
      </w:pPr>
      <w:r>
        <w:t xml:space="preserve">La tarea programada Automatic-Device-Join registra el equipo en Entra ID por HTTPS.</w:t>
      </w:r>
    </w:p>
    <w:p>
      <w:pPr>
        <w:pStyle w:val="ListParagraph"/>
        <w:numPr>
          <w:ilvl w:val="0"/>
          <w:numId w:val="3"/>
        </w:numPr>
      </w:pPr>
      <w:r>
        <w:t xml:space="preserve">Al iniciar sesión, Windows obtiene el token PRT del usuario.</w:t>
      </w:r>
    </w:p>
    <w:p>
      <w:pPr>
        <w:pStyle w:val="ListParagraph"/>
        <w:numPr>
          <w:ilvl w:val="0"/>
          <w:numId w:val="3"/>
        </w:numPr>
      </w:pPr>
      <w:r>
        <w:t xml:space="preserve">OneDrive usa ese token para configurarse en silencio y la GPO mueve Escritorio, Documentos e Imágenes.</w:t>
      </w:r>
    </w:p>
    <w:p>
      <w:pPr>
        <w:pStyle w:val="Heading2"/>
      </w:pPr>
      <w:r>
        <w:t xml:space="preserve">Alcances</w:t>
      </w:r>
    </w:p>
    <w:p>
      <w:pPr/>
      <w:r>
        <w:t xml:space="preserve">El servicio cubre la evaluación, configuración y validación en 1 usuario y 1 equipo piloto, más la documentación para replicarlo.</w:t>
      </w:r>
    </w:p>
    <w:p>
      <w:pPr/>
      <w:r>
        <w:rPr>
          <w:b/>
        </w:rPr>
        <w:t xml:space="preserve">Evaluación</w:t>
      </w:r>
    </w:p>
    <w:p>
      <w:pPr>
        <w:pStyle w:val="ListParagraph"/>
        <w:numPr>
          <w:ilvl w:val="0"/>
          <w:numId w:val="4"/>
        </w:numPr>
      </w:pPr>
      <w:r>
        <w:t xml:space="preserve">Inventario de Entra Connect: versión, modo de autenticación (PHS, PTA o federado), filtrado de OU, opciones de dispositivo y salud de la sincronización.</w:t>
      </w:r>
    </w:p>
    <w:p>
      <w:pPr>
        <w:pStyle w:val="ListParagraph"/>
        <w:numPr>
          <w:ilvl w:val="0"/>
          <w:numId w:val="4"/>
        </w:numPr>
      </w:pPr>
      <w:r>
        <w:t xml:space="preserve">Respaldo de la configuración de Entra Connect (exportación) antes de cualquier cambio.</w:t>
      </w:r>
    </w:p>
    <w:p>
      <w:pPr>
        <w:pStyle w:val="ListParagraph"/>
        <w:numPr>
          <w:ilvl w:val="0"/>
          <w:numId w:val="4"/>
        </w:numPr>
      </w:pPr>
      <w:r>
        <w:t xml:space="preserve">Revisión de dominios verificados, sufijos UPN, licencia de OneDrive del usuario piloto, MFA y directivas de acceso condicional.</w:t>
      </w:r>
    </w:p>
    <w:p>
      <w:pPr>
        <w:pStyle w:val="ListParagraph"/>
        <w:numPr>
          <w:ilvl w:val="0"/>
          <w:numId w:val="4"/>
        </w:numPr>
      </w:pPr>
      <w:r>
        <w:t xml:space="preserve">Revisión de GPO existentes de OneDrive y redirección de carpetas, y de herramientas de sincronización de terceros en el equipo.</w:t>
      </w:r>
    </w:p>
    <w:p>
      <w:pPr>
        <w:pStyle w:val="ListParagraph"/>
        <w:numPr>
          <w:ilvl w:val="0"/>
          <w:numId w:val="4"/>
        </w:numPr>
      </w:pPr>
      <w:r>
        <w:t xml:space="preserve">Pruebas de conectividad desde el contexto SYSTEM del equipo: DNS, proxy, firewall e inspección TLS.</w:t>
      </w:r>
    </w:p>
    <w:p>
      <w:pPr>
        <w:pStyle w:val="ListParagraph"/>
        <w:numPr>
          <w:ilvl w:val="0"/>
          <w:numId w:val="4"/>
        </w:numPr>
      </w:pPr>
      <w:r>
        <w:t xml:space="preserve">Captura inicial de dsregcmd /status del equipo piloto.</w:t>
      </w:r>
    </w:p>
    <w:p>
      <w:pPr/>
      <w:r>
        <w:rPr>
          <w:b/>
        </w:rPr>
        <w:t xml:space="preserve">Configuración</w:t>
      </w:r>
    </w:p>
    <w:p>
      <w:pPr>
        <w:pStyle w:val="ListParagraph"/>
        <w:numPr>
          <w:ilvl w:val="0"/>
          <w:numId w:val="5"/>
        </w:numPr>
      </w:pPr>
      <w:r>
        <w:t xml:space="preserve">Actualización de Entra Connect Sync a la versión vigente y cambio a autenticación por aplicación (ventana acordada).</w:t>
      </w:r>
    </w:p>
    <w:p>
      <w:pPr>
        <w:pStyle w:val="ListParagraph"/>
        <w:numPr>
          <w:ilvl w:val="0"/>
          <w:numId w:val="5"/>
        </w:numPr>
      </w:pPr>
      <w:r>
        <w:t xml:space="preserve">Inclusión de la OU piloto en la sincronización de dispositivos sin alterar el alcance de usuarios.</w:t>
      </w:r>
    </w:p>
    <w:p>
      <w:pPr>
        <w:pStyle w:val="ListParagraph"/>
        <w:numPr>
          <w:ilvl w:val="0"/>
          <w:numId w:val="5"/>
        </w:numPr>
      </w:pPr>
      <w:r>
        <w:t xml:space="preserve">Despliegue dirigido de unión híbrida: claves de registro TenantId y TenantName por GPO solo a la OU piloto, sin SCP en el bosque.</w:t>
      </w:r>
    </w:p>
    <w:p>
      <w:pPr>
        <w:pStyle w:val="ListParagraph"/>
        <w:numPr>
          <w:ilvl w:val="0"/>
          <w:numId w:val="5"/>
        </w:numPr>
      </w:pPr>
      <w:r>
        <w:t xml:space="preserve">GPO de OneDrive vinculada solo a la OU piloto: inicio de sesión silencioso, movimiento silencioso de carpetas conocidas con el ID de inquilino, bloqueo de la reversión, Archivos a petición.</w:t>
      </w:r>
    </w:p>
    <w:p>
      <w:pPr/>
      <w:r>
        <w:rPr>
          <w:b/>
        </w:rPr>
        <w:t xml:space="preserve">Validación y entrega</w:t>
      </w:r>
    </w:p>
    <w:p>
      <w:pPr>
        <w:pStyle w:val="ListParagraph"/>
        <w:numPr>
          <w:ilvl w:val="0"/>
          <w:numId w:val="6"/>
        </w:numPr>
      </w:pPr>
      <w:r>
        <w:t xml:space="preserve">Ejecución de los criterios de aceptación con evidencia (capturas de dsregcmd, gpresult, OneDrive web).</w:t>
      </w:r>
    </w:p>
    <w:p>
      <w:pPr>
        <w:pStyle w:val="ListParagraph"/>
        <w:numPr>
          <w:ilvl w:val="0"/>
          <w:numId w:val="6"/>
        </w:numPr>
      </w:pPr>
      <w:r>
        <w:t xml:space="preserve">Documento técnico "como quedó", procedimiento de despliegue por oleadas y plan de reversión probado.</w:t>
      </w:r>
    </w:p>
    <w:p>
      <w:pPr>
        <w:pStyle w:val="ListParagraph"/>
        <w:numPr>
          <w:ilvl w:val="0"/>
          <w:numId w:val="6"/>
        </w:numPr>
      </w:pPr>
      <w:r>
        <w:t xml:space="preserve">Sesión de transferencia de conocimiento de 1 hora al equipo de TI del cliente.</w:t>
      </w:r>
    </w:p>
    <w:p>
      <w:pPr>
        <w:pStyle w:val="Heading2"/>
      </w:pPr>
      <w:r>
        <w:t xml:space="preserve">Fuera de alcance</w:t>
      </w:r>
    </w:p>
    <w:p>
      <w:pPr/>
      <w:r>
        <w:t xml:space="preserve">Cualquier actividad no listada en Alcances requiere un cambio acordado por escrito. En particular, quedan fuera:</w:t>
      </w:r>
    </w:p>
    <w:p>
      <w:pPr>
        <w:pStyle w:val="ListParagraph"/>
        <w:numPr>
          <w:ilvl w:val="0"/>
          <w:numId w:val="7"/>
        </w:numPr>
      </w:pPr>
      <w:r>
        <w:t xml:space="preserve">Despliegue a equipos de producción más allá del piloto (se cotiza como fase 2, por oleadas).</w:t>
      </w:r>
    </w:p>
    <w:p>
      <w:pPr>
        <w:pStyle w:val="ListParagraph"/>
        <w:numPr>
          <w:ilvl w:val="0"/>
          <w:numId w:val="7"/>
        </w:numPr>
      </w:pPr>
      <w:r>
        <w:t xml:space="preserve">Implementación o licenciamiento de Intune, Autopilot o unión pura a Entra ID.</w:t>
      </w:r>
    </w:p>
    <w:p>
      <w:pPr>
        <w:pStyle w:val="ListParagraph"/>
        <w:numPr>
          <w:ilvl w:val="0"/>
          <w:numId w:val="7"/>
        </w:numPr>
      </w:pPr>
      <w:r>
        <w:t xml:space="preserve">Cambio del método de autenticación (PHS, PTA, AD FS), de contraseñas o de correspondencia de usuarios.</w:t>
      </w:r>
    </w:p>
    <w:p>
      <w:pPr>
        <w:pStyle w:val="ListParagraph"/>
        <w:numPr>
          <w:ilvl w:val="0"/>
          <w:numId w:val="7"/>
        </w:numPr>
      </w:pPr>
      <w:r>
        <w:t xml:space="preserve">Cambios de sufijo UPN, migración de dominio o corrección masiva de atributos de usuario.</w:t>
      </w:r>
    </w:p>
    <w:p>
      <w:pPr>
        <w:pStyle w:val="ListParagraph"/>
        <w:numPr>
          <w:ilvl w:val="0"/>
          <w:numId w:val="7"/>
        </w:numPr>
      </w:pPr>
      <w:r>
        <w:t xml:space="preserve">Diseño o modificación de directivas de acceso condicional y MFA.</w:t>
      </w:r>
    </w:p>
    <w:p>
      <w:pPr>
        <w:pStyle w:val="ListParagraph"/>
        <w:numPr>
          <w:ilvl w:val="0"/>
          <w:numId w:val="7"/>
        </w:numPr>
      </w:pPr>
      <w:r>
        <w:t xml:space="preserve">Migración de servidores de archivos, unidades de red o sitios SharePoint a OneDrive.</w:t>
      </w:r>
    </w:p>
    <w:p>
      <w:pPr>
        <w:pStyle w:val="ListParagraph"/>
        <w:numPr>
          <w:ilvl w:val="0"/>
          <w:numId w:val="7"/>
        </w:numPr>
      </w:pPr>
      <w:r>
        <w:t xml:space="preserve">Desinstalación de soluciones de sincronización o respaldo de terceros existentes.</w:t>
      </w:r>
    </w:p>
    <w:p>
      <w:pPr>
        <w:pStyle w:val="ListParagraph"/>
        <w:numPr>
          <w:ilvl w:val="0"/>
          <w:numId w:val="7"/>
        </w:numPr>
      </w:pPr>
      <w:r>
        <w:t xml:space="preserve">Remediación de hardware, reinstalación de Windows o actualización de versiones de Windows no compatibles.</w:t>
      </w:r>
    </w:p>
    <w:p>
      <w:pPr>
        <w:pStyle w:val="ListParagraph"/>
        <w:numPr>
          <w:ilvl w:val="0"/>
          <w:numId w:val="7"/>
        </w:numPr>
      </w:pPr>
      <w:r>
        <w:t xml:space="preserve">Configuración de proxy, firewall o inspección TLS del cliente (el proveedor indica las excepciones; el cliente las aplica).</w:t>
      </w:r>
    </w:p>
    <w:p>
      <w:pPr>
        <w:pStyle w:val="ListParagraph"/>
        <w:numPr>
          <w:ilvl w:val="0"/>
          <w:numId w:val="7"/>
        </w:numPr>
      </w:pPr>
      <w:r>
        <w:t xml:space="preserve">Soporte a usuarios finales posterior a la aceptación del piloto.</w:t>
      </w:r>
    </w:p>
    <w:p>
      <w:pPr>
        <w:pStyle w:val="ListParagraph"/>
        <w:numPr>
          <w:ilvl w:val="0"/>
          <w:numId w:val="7"/>
        </w:numPr>
      </w:pPr>
      <w:r>
        <w:t xml:space="preserve">Implementación del sistema de respaldo, salvo que se contrate el componente opcional.</w:t>
      </w:r>
    </w:p>
    <w:p>
      <w:pPr>
        <w:pStyle w:val="Heading2"/>
      </w:pPr>
      <w:r>
        <w:t xml:space="preserve">Requerimientos técnicos y humanos</w:t>
      </w:r>
    </w:p>
    <w:p>
      <w:pPr/>
      <w:r>
        <w:t xml:space="preserve">El cliente aporta accesos, un equipo de prueba y un responsable de TI; el proveedor aporta un consultor certificado.</w:t>
      </w:r>
    </w:p>
    <w:p>
      <w:pPr/>
      <w:r>
        <w:rPr>
          <w:b/>
        </w:rPr>
        <w:t xml:space="preserve">Técnicos (a cargo del cliente)</w:t>
      </w:r>
    </w:p>
    <w:tbl>
      <w:tblPr>
        <w:tblStyle w:val="TableGrid"/>
        <w:tblW w:w="0" w:type="auto"/>
        <w:tblLayout w:type="fixed"/>
        <w:tblLook w:val="04A0" w:firstRow="1" w:lastRow="0" w:firstColumn="0" w:lastColumn="0" w:noHBand="0" w:noVBand="1"/>
      </w:tblPr>
      <w:tblGrid>
        <w:gridCol w:w="3376"/>
        <w:gridCol w:w="5983"/>
      </w:tblGrid>
      <w:tr>
        <w:trPr>
          <w:tblHeader/>
        </w:trPr>
        <w:tc>
          <w:tcPr>
            <w:tcW w:w="3376" w:type="dxa"/>
            <w:shd w:val="clear" w:color="auto" w:fill="F2F2F2"/>
          </w:tcPr>
          <w:p>
            <w:pPr/>
            <w:r>
              <w:t xml:space="preserve">Requerimiento</w:t>
            </w:r>
          </w:p>
        </w:tc>
        <w:tc>
          <w:tcPr>
            <w:tcW w:w="5983" w:type="dxa"/>
            <w:shd w:val="clear" w:color="auto" w:fill="F2F2F2"/>
          </w:tcPr>
          <w:p>
            <w:pPr/>
            <w:r>
              <w:t xml:space="preserve">Detalle</w:t>
            </w:r>
          </w:p>
        </w:tc>
      </w:tr>
      <w:tr>
        <w:tc>
          <w:tcPr>
            <w:tcW w:w="3376" w:type="dxa"/>
          </w:tcPr>
          <w:p>
            <w:pPr/>
            <w:r>
              <w:t xml:space="preserve">Servidor Entra Connect</w:t>
            </w:r>
          </w:p>
        </w:tc>
        <w:tc>
          <w:tcPr>
            <w:tcW w:w="5983" w:type="dxa"/>
          </w:tcPr>
          <w:p>
            <w:pPr/>
            <w:r>
              <w:t xml:space="preserve">Windows Server soportado, .NET Framework 4.7.2 o posterior, TLS 1.2 habilitado, respaldo o instantánea previa</w:t>
            </w:r>
          </w:p>
        </w:tc>
      </w:tr>
      <w:tr>
        <w:tc>
          <w:tcPr>
            <w:tcW w:w="3376" w:type="dxa"/>
          </w:tcPr>
          <w:p>
            <w:pPr/>
            <w:r>
              <w:t xml:space="preserve">Equipo piloto</w:t>
            </w:r>
          </w:p>
        </w:tc>
        <w:tc>
          <w:tcPr>
            <w:tcW w:w="5983" w:type="dxa"/>
          </w:tcPr>
          <w:p>
            <w:pPr/>
            <w:r>
              <w:t xml:space="preserve">Windows 10/11 Pro o Enterprise con versión en soporte, unido al dominio, en una OU dedicada</w:t>
            </w:r>
          </w:p>
        </w:tc>
      </w:tr>
      <w:tr>
        <w:tc>
          <w:tcPr>
            <w:tcW w:w="3376" w:type="dxa"/>
          </w:tcPr>
          <w:p>
            <w:pPr/>
            <w:r>
              <w:t xml:space="preserve">Usuario piloto</w:t>
            </w:r>
          </w:p>
        </w:tc>
        <w:tc>
          <w:tcPr>
            <w:tcW w:w="5983" w:type="dxa"/>
          </w:tcPr>
          <w:p>
            <w:pPr/>
            <w:r>
              <w:t xml:space="preserve">Cuenta de dominio sincronizada, UPN en dominio verificado, licencia con OneDrive asignada</w:t>
            </w:r>
          </w:p>
        </w:tc>
      </w:tr>
      <w:tr>
        <w:tc>
          <w:tcPr>
            <w:tcW w:w="3376" w:type="dxa"/>
          </w:tcPr>
          <w:p>
            <w:pPr/>
            <w:r>
              <w:t xml:space="preserve">Cuentas administrativas</w:t>
            </w:r>
          </w:p>
        </w:tc>
        <w:tc>
          <w:tcPr>
            <w:tcW w:w="5983" w:type="dxa"/>
          </w:tcPr>
          <w:p>
            <w:pPr/>
            <w:r>
              <w:t xml:space="preserve">Domain Admin (o delegado para GPO y OU), Enterprise Admin si se configura SCP, Global Admin o Hybrid Identity Admin en Entra</w:t>
            </w:r>
          </w:p>
        </w:tc>
      </w:tr>
      <w:tr>
        <w:tc>
          <w:tcPr>
            <w:tcW w:w="3376" w:type="dxa"/>
          </w:tcPr>
          <w:p>
            <w:pPr/>
            <w:r>
              <w:t xml:space="preserve">Red</w:t>
            </w:r>
          </w:p>
        </w:tc>
        <w:tc>
          <w:tcPr>
            <w:tcW w:w="5983" w:type="dxa"/>
          </w:tcPr>
          <w:p>
            <w:pPr/>
            <w:r>
              <w:t xml:space="preserve">Salida HTTPS 443 desde el equipo y el servidor a enterpriseregistration.windows.net, login.microsoftonline.com, device.login.microsoftonline.com y dominios de OneDrive/SharePoint, sin inspección TLS</w:t>
            </w:r>
          </w:p>
        </w:tc>
      </w:tr>
      <w:tr>
        <w:tc>
          <w:tcPr>
            <w:tcW w:w="3376" w:type="dxa"/>
          </w:tcPr>
          <w:p>
            <w:pPr/>
            <w:r>
              <w:t xml:space="preserve">Acceso remoto</w:t>
            </w:r>
          </w:p>
        </w:tc>
        <w:tc>
          <w:tcPr>
            <w:tcW w:w="5983" w:type="dxa"/>
          </w:tcPr>
          <w:p>
            <w:pPr/>
            <w:r>
              <w:t xml:space="preserve">Sesión remota supervisada al servidor de Entra Connect, a un controlador de dominio y al equipo piloto</w:t>
            </w:r>
          </w:p>
        </w:tc>
      </w:tr>
    </w:tbl>
    <w:p>
      <w:pPr/>
      <w:r>
        <w:rPr>
          <w:b/>
        </w:rPr>
        <w:t xml:space="preserve">Humanos</w:t>
      </w:r>
    </w:p>
    <w:tbl>
      <w:tblPr>
        <w:tblStyle w:val="TableGrid"/>
        <w:tblW w:w="0" w:type="auto"/>
        <w:tblLayout w:type="fixed"/>
        <w:tblLook w:val="04A0" w:firstRow="1" w:lastRow="0" w:firstColumn="0" w:lastColumn="0" w:noHBand="0" w:noVBand="1"/>
      </w:tblPr>
      <w:tblGrid>
        <w:gridCol w:w="5343"/>
        <w:gridCol w:w="1373"/>
        <w:gridCol w:w="2642"/>
      </w:tblGrid>
      <w:tr>
        <w:trPr>
          <w:tblHeader/>
        </w:trPr>
        <w:tc>
          <w:tcPr>
            <w:tcW w:w="5343" w:type="dxa"/>
            <w:shd w:val="clear" w:color="auto" w:fill="F2F2F2"/>
          </w:tcPr>
          <w:p>
            <w:pPr/>
            <w:r>
              <w:t xml:space="preserve">Rol</w:t>
            </w:r>
          </w:p>
        </w:tc>
        <w:tc>
          <w:tcPr>
            <w:tcW w:w="1373" w:type="dxa"/>
            <w:shd w:val="clear" w:color="auto" w:fill="F2F2F2"/>
          </w:tcPr>
          <w:p>
            <w:pPr/>
            <w:r>
              <w:t xml:space="preserve">Parte</w:t>
            </w:r>
          </w:p>
        </w:tc>
        <w:tc>
          <w:tcPr>
            <w:tcW w:w="2642" w:type="dxa"/>
            <w:shd w:val="clear" w:color="auto" w:fill="F2F2F2"/>
          </w:tcPr>
          <w:p>
            <w:pPr/>
            <w:r>
              <w:t xml:space="preserve">Dedicación estimada</w:t>
            </w:r>
          </w:p>
        </w:tc>
      </w:tr>
      <w:tr>
        <w:tc>
          <w:tcPr>
            <w:tcW w:w="5343" w:type="dxa"/>
          </w:tcPr>
          <w:p>
            <w:pPr/>
            <w:r>
              <w:t xml:space="preserve">Consultor senior Microsoft 365 / identidad híbrida</w:t>
            </w:r>
          </w:p>
        </w:tc>
        <w:tc>
          <w:tcPr>
            <w:tcW w:w="1373" w:type="dxa"/>
          </w:tcPr>
          <w:p>
            <w:pPr/>
            <w:r>
              <w:t xml:space="preserve">Proveedor</w:t>
            </w:r>
          </w:p>
        </w:tc>
        <w:tc>
          <w:tcPr>
            <w:tcW w:w="2642" w:type="dxa"/>
          </w:tcPr>
          <w:p>
            <w:pPr/>
            <w:r>
              <w:t xml:space="preserve">40 a 56 h</w:t>
            </w:r>
          </w:p>
        </w:tc>
      </w:tr>
      <w:tr>
        <w:tc>
          <w:tcPr>
            <w:tcW w:w="5343" w:type="dxa"/>
          </w:tcPr>
          <w:p>
            <w:pPr/>
            <w:r>
              <w:t xml:space="preserve">Gerente de proyecto (seguimiento y minutas)</w:t>
            </w:r>
          </w:p>
        </w:tc>
        <w:tc>
          <w:tcPr>
            <w:tcW w:w="1373" w:type="dxa"/>
          </w:tcPr>
          <w:p>
            <w:pPr/>
            <w:r>
              <w:t xml:space="preserve">Proveedor</w:t>
            </w:r>
          </w:p>
        </w:tc>
        <w:tc>
          <w:tcPr>
            <w:tcW w:w="2642" w:type="dxa"/>
          </w:tcPr>
          <w:p>
            <w:pPr/>
            <w:r>
              <w:t xml:space="preserve">6 a 8 h</w:t>
            </w:r>
          </w:p>
        </w:tc>
      </w:tr>
      <w:tr>
        <w:tc>
          <w:tcPr>
            <w:tcW w:w="5343" w:type="dxa"/>
          </w:tcPr>
          <w:p>
            <w:pPr/>
            <w:r>
              <w:t xml:space="preserve">Responsable de TI / administrador de AD</w:t>
            </w:r>
          </w:p>
        </w:tc>
        <w:tc>
          <w:tcPr>
            <w:tcW w:w="1373" w:type="dxa"/>
          </w:tcPr>
          <w:p>
            <w:pPr/>
            <w:r>
              <w:t xml:space="preserve">Cliente</w:t>
            </w:r>
          </w:p>
        </w:tc>
        <w:tc>
          <w:tcPr>
            <w:tcW w:w="2642" w:type="dxa"/>
          </w:tcPr>
          <w:p>
            <w:pPr/>
            <w:r>
              <w:t xml:space="preserve">10 a 12 h</w:t>
            </w:r>
          </w:p>
        </w:tc>
      </w:tr>
      <w:tr>
        <w:tc>
          <w:tcPr>
            <w:tcW w:w="5343" w:type="dxa"/>
          </w:tcPr>
          <w:p>
            <w:pPr/>
            <w:r>
              <w:t xml:space="preserve">Administrador de red / seguridad perimetral</w:t>
            </w:r>
          </w:p>
        </w:tc>
        <w:tc>
          <w:tcPr>
            <w:tcW w:w="1373" w:type="dxa"/>
          </w:tcPr>
          <w:p>
            <w:pPr/>
            <w:r>
              <w:t xml:space="preserve">Cliente</w:t>
            </w:r>
          </w:p>
        </w:tc>
        <w:tc>
          <w:tcPr>
            <w:tcW w:w="2642" w:type="dxa"/>
          </w:tcPr>
          <w:p>
            <w:pPr/>
            <w:r>
              <w:t xml:space="preserve">2 a 4 h</w:t>
            </w:r>
          </w:p>
        </w:tc>
      </w:tr>
      <w:tr>
        <w:tc>
          <w:tcPr>
            <w:tcW w:w="5343" w:type="dxa"/>
          </w:tcPr>
          <w:p>
            <w:pPr/>
            <w:r>
              <w:t xml:space="preserve">Usuario piloto</w:t>
            </w:r>
          </w:p>
        </w:tc>
        <w:tc>
          <w:tcPr>
            <w:tcW w:w="1373" w:type="dxa"/>
          </w:tcPr>
          <w:p>
            <w:pPr/>
            <w:r>
              <w:t xml:space="preserve">Cliente</w:t>
            </w:r>
          </w:p>
        </w:tc>
        <w:tc>
          <w:tcPr>
            <w:tcW w:w="2642" w:type="dxa"/>
          </w:tcPr>
          <w:p>
            <w:pPr/>
            <w:r>
              <w:t xml:space="preserve">2 h para pruebas</w:t>
            </w:r>
          </w:p>
        </w:tc>
      </w:tr>
      <w:tr>
        <w:tc>
          <w:tcPr>
            <w:tcW w:w="5343" w:type="dxa"/>
          </w:tcPr>
          <w:p>
            <w:pPr/>
            <w:r>
              <w:t xml:space="preserve">Aprobador del cambio</w:t>
            </w:r>
          </w:p>
        </w:tc>
        <w:tc>
          <w:tcPr>
            <w:tcW w:w="1373" w:type="dxa"/>
          </w:tcPr>
          <w:p>
            <w:pPr/>
            <w:r>
              <w:t xml:space="preserve">Cliente</w:t>
            </w:r>
          </w:p>
        </w:tc>
        <w:tc>
          <w:tcPr>
            <w:tcW w:w="2642" w:type="dxa"/>
          </w:tcPr>
          <w:p>
            <w:pPr/>
            <w:r>
              <w:t xml:space="preserve">1 h por ventana</w:t>
            </w:r>
          </w:p>
        </w:tc>
      </w:tr>
    </w:tbl>
    <w:p>
      <w:pPr>
        <w:pStyle w:val="Heading2"/>
      </w:pPr>
      <w:r>
        <w:t xml:space="preserve">Supuestos</w:t>
      </w:r>
    </w:p>
    <w:p>
      <w:pPr/>
      <w:r>
        <w:t xml:space="preserve">La estimación de tiempo y esfuerzo se basa en estos supuestos; si alguno no se cumple, se revisa el alcance.</w:t>
      </w:r>
    </w:p>
    <w:p>
      <w:pPr>
        <w:pStyle w:val="ListParagraph"/>
        <w:numPr>
          <w:ilvl w:val="0"/>
          <w:numId w:val="8"/>
        </w:numPr>
      </w:pPr>
      <w:r>
        <w:t xml:space="preserve">Existe un solo bosque de AD y un solo inquilino de Microsoft 365.</w:t>
      </w:r>
    </w:p>
    <w:p>
      <w:pPr>
        <w:pStyle w:val="ListParagraph"/>
        <w:numPr>
          <w:ilvl w:val="0"/>
          <w:numId w:val="8"/>
        </w:numPr>
      </w:pPr>
      <w:r>
        <w:t xml:space="preserve">La autenticación es administrada (sincronización de hash o autenticación de paso); si es federada, se agregan de 4 a 6 horas.</w:t>
      </w:r>
    </w:p>
    <w:p>
      <w:pPr>
        <w:pStyle w:val="ListParagraph"/>
        <w:numPr>
          <w:ilvl w:val="0"/>
          <w:numId w:val="8"/>
        </w:numPr>
      </w:pPr>
      <w:r>
        <w:t xml:space="preserve">El servidor de Entra Connect puede actualizarse en sitio; no requiere migración a un servidor nuevo.</w:t>
      </w:r>
    </w:p>
    <w:p>
      <w:pPr>
        <w:pStyle w:val="ListParagraph"/>
        <w:numPr>
          <w:ilvl w:val="0"/>
          <w:numId w:val="8"/>
        </w:numPr>
      </w:pPr>
      <w:r>
        <w:t xml:space="preserve">El UPN del usuario piloto ya coincide con su cuenta de Microsoft 365.</w:t>
      </w:r>
    </w:p>
    <w:p>
      <w:pPr>
        <w:pStyle w:val="ListParagraph"/>
        <w:numPr>
          <w:ilvl w:val="0"/>
          <w:numId w:val="8"/>
        </w:numPr>
      </w:pPr>
      <w:r>
        <w:t xml:space="preserve">No hay redirección de carpetas por GPO activa sobre el usuario piloto; si existe, se desactiva antes del movimiento de carpetas.</w:t>
      </w:r>
    </w:p>
    <w:p>
      <w:pPr>
        <w:pStyle w:val="ListParagraph"/>
        <w:numPr>
          <w:ilvl w:val="0"/>
          <w:numId w:val="8"/>
        </w:numPr>
      </w:pPr>
      <w:r>
        <w:t xml:space="preserve">El volumen de Escritorio, Documentos e Imágenes del usuario piloto es menor a 20 GB y cabe en su cuota.</w:t>
      </w:r>
    </w:p>
    <w:p>
      <w:pPr>
        <w:pStyle w:val="ListParagraph"/>
        <w:numPr>
          <w:ilvl w:val="0"/>
          <w:numId w:val="8"/>
        </w:numPr>
      </w:pPr>
      <w:r>
        <w:t xml:space="preserve">El cliente aplica las excepciones de red en un máximo de 3 días hábiles tras recibirlas.</w:t>
      </w:r>
    </w:p>
    <w:p>
      <w:pPr>
        <w:pStyle w:val="ListParagraph"/>
        <w:numPr>
          <w:ilvl w:val="0"/>
          <w:numId w:val="8"/>
        </w:numPr>
      </w:pPr>
      <w:r>
        <w:t xml:space="preserve">Los trabajos se realizan de forma remota, en horario hábil, salvo la ventana de actualización de Entra Connect.</w:t>
      </w:r>
    </w:p>
    <w:p>
      <w:pPr>
        <w:pStyle w:val="ListParagraph"/>
        <w:numPr>
          <w:ilvl w:val="0"/>
          <w:numId w:val="8"/>
        </w:numPr>
      </w:pPr>
      <w:r>
        <w:t xml:space="preserve">Las ventanas de cambio se aprueban con al menos 48 horas de anticipación.</w:t>
      </w:r>
    </w:p>
    <w:p>
      <w:pPr>
        <w:pStyle w:val="ListParagraph"/>
        <w:numPr>
          <w:ilvl w:val="0"/>
          <w:numId w:val="8"/>
        </w:numPr>
      </w:pPr>
      <w:r>
        <w:t xml:space="preserve">Los precios de licencias son de lista en USD y pueden variar según el distribuidor, el tipo de cambio y la modalidad de pago.</w:t>
      </w:r>
    </w:p>
    <w:p>
      <w:pPr>
        <w:pStyle w:val="Heading2"/>
      </w:pPr>
      <w:r>
        <w:t xml:space="preserve">Tiempos de implementación</w:t>
      </w:r>
    </w:p>
    <w:p>
      <w:pPr/>
      <w:r>
        <w:t xml:space="preserve">El piloto toma 3 semanas calendario y de 40 a 56 horas de consultoría, desde la reunión de arranque hasta la aceptación firmada.</w:t>
      </w:r>
    </w:p>
    <w:tbl>
      <w:tblPr>
        <w:tblStyle w:val="TableGrid"/>
        <w:tblW w:w="0" w:type="auto"/>
        <w:tblLayout w:type="fixed"/>
        <w:tblLook w:val="04A0" w:firstRow="1" w:lastRow="0" w:firstColumn="0" w:lastColumn="0" w:noHBand="0" w:noVBand="1"/>
      </w:tblPr>
      <w:tblGrid>
        <w:gridCol w:w="2282"/>
        <w:gridCol w:w="1352"/>
        <w:gridCol w:w="1226"/>
        <w:gridCol w:w="4499"/>
      </w:tblGrid>
      <w:tr>
        <w:trPr>
          <w:tblHeader/>
        </w:trPr>
        <w:tc>
          <w:tcPr>
            <w:tcW w:w="2282" w:type="dxa"/>
            <w:shd w:val="clear" w:color="auto" w:fill="F2F2F2"/>
          </w:tcPr>
          <w:p>
            <w:pPr/>
            <w:r>
              <w:t xml:space="preserve">Fase</w:t>
            </w:r>
          </w:p>
        </w:tc>
        <w:tc>
          <w:tcPr>
            <w:tcW w:w="1352" w:type="dxa"/>
            <w:shd w:val="clear" w:color="auto" w:fill="F2F2F2"/>
          </w:tcPr>
          <w:p>
            <w:pPr/>
            <w:r>
              <w:t xml:space="preserve">Semana</w:t>
            </w:r>
          </w:p>
        </w:tc>
        <w:tc>
          <w:tcPr>
            <w:tcW w:w="1226" w:type="dxa"/>
            <w:shd w:val="clear" w:color="auto" w:fill="F2F2F2"/>
          </w:tcPr>
          <w:p>
            <w:pPr/>
            <w:r>
              <w:t xml:space="preserve">Esfuerzo proveedor (h)</w:t>
            </w:r>
          </w:p>
        </w:tc>
        <w:tc>
          <w:tcPr>
            <w:tcW w:w="4499" w:type="dxa"/>
            <w:shd w:val="clear" w:color="auto" w:fill="F2F2F2"/>
          </w:tcPr>
          <w:p>
            <w:pPr/>
            <w:r>
              <w:t xml:space="preserve">Entregable</w:t>
            </w:r>
          </w:p>
        </w:tc>
      </w:tr>
      <w:tr>
        <w:tc>
          <w:tcPr>
            <w:tcW w:w="2282" w:type="dxa"/>
          </w:tcPr>
          <w:p>
            <w:pPr/>
            <w:r>
              <w:t xml:space="preserve">1. Arranque y evaluación</w:t>
            </w:r>
          </w:p>
        </w:tc>
        <w:tc>
          <w:tcPr>
            <w:tcW w:w="1352" w:type="dxa"/>
          </w:tcPr>
          <w:p>
            <w:pPr/>
            <w:r>
              <w:t xml:space="preserve">1</w:t>
            </w:r>
          </w:p>
        </w:tc>
        <w:tc>
          <w:tcPr>
            <w:tcW w:w="1226" w:type="dxa"/>
          </w:tcPr>
          <w:p>
            <w:pPr/>
            <w:r>
              <w:t xml:space="preserve">8 a 12</w:t>
            </w:r>
          </w:p>
        </w:tc>
        <w:tc>
          <w:tcPr>
            <w:tcW w:w="4499" w:type="dxa"/>
          </w:tcPr>
          <w:p>
            <w:pPr/>
            <w:r>
              <w:t xml:space="preserve">Informe de estado, lista de excepciones de red, plan de cambio</w:t>
            </w:r>
          </w:p>
        </w:tc>
      </w:tr>
      <w:tr>
        <w:tc>
          <w:tcPr>
            <w:tcW w:w="2282" w:type="dxa"/>
          </w:tcPr>
          <w:p>
            <w:pPr/>
            <w:r>
              <w:t xml:space="preserve">2. Actualización de Entra Connect Sync</w:t>
            </w:r>
          </w:p>
        </w:tc>
        <w:tc>
          <w:tcPr>
            <w:tcW w:w="1352" w:type="dxa"/>
          </w:tcPr>
          <w:p>
            <w:pPr/>
            <w:r>
              <w:t xml:space="preserve">1 a 2</w:t>
            </w:r>
          </w:p>
        </w:tc>
        <w:tc>
          <w:tcPr>
            <w:tcW w:w="1226" w:type="dxa"/>
          </w:tcPr>
          <w:p>
            <w:pPr/>
            <w:r>
              <w:t xml:space="preserve">6 a 8</w:t>
            </w:r>
          </w:p>
        </w:tc>
        <w:tc>
          <w:tcPr>
            <w:tcW w:w="4499" w:type="dxa"/>
          </w:tcPr>
          <w:p>
            <w:pPr/>
            <w:r>
              <w:t xml:space="preserve">Entra Connect en versión vigente con autenticación por aplicación</w:t>
            </w:r>
          </w:p>
        </w:tc>
      </w:tr>
      <w:tr>
        <w:tc>
          <w:tcPr>
            <w:tcW w:w="2282" w:type="dxa"/>
          </w:tcPr>
          <w:p>
            <w:pPr/>
            <w:r>
              <w:t xml:space="preserve">3. Unión híbrida dirigida</w:t>
            </w:r>
          </w:p>
        </w:tc>
        <w:tc>
          <w:tcPr>
            <w:tcW w:w="1352" w:type="dxa"/>
          </w:tcPr>
          <w:p>
            <w:pPr/>
            <w:r>
              <w:t xml:space="preserve">2</w:t>
            </w:r>
          </w:p>
        </w:tc>
        <w:tc>
          <w:tcPr>
            <w:tcW w:w="1226" w:type="dxa"/>
          </w:tcPr>
          <w:p>
            <w:pPr/>
            <w:r>
              <w:t xml:space="preserve">8 a 10</w:t>
            </w:r>
          </w:p>
        </w:tc>
        <w:tc>
          <w:tcPr>
            <w:tcW w:w="4499" w:type="dxa"/>
          </w:tcPr>
          <w:p>
            <w:pPr/>
            <w:r>
              <w:t xml:space="preserve">Equipo piloto con AzureAdJoined YES y AzureAdPrt YES</w:t>
            </w:r>
          </w:p>
        </w:tc>
      </w:tr>
      <w:tr>
        <w:tc>
          <w:tcPr>
            <w:tcW w:w="2282" w:type="dxa"/>
          </w:tcPr>
          <w:p>
            <w:pPr/>
            <w:r>
              <w:t xml:space="preserve">4. GPO de OneDrive</w:t>
            </w:r>
          </w:p>
        </w:tc>
        <w:tc>
          <w:tcPr>
            <w:tcW w:w="1352" w:type="dxa"/>
          </w:tcPr>
          <w:p>
            <w:pPr/>
            <w:r>
              <w:t xml:space="preserve">2 a 3</w:t>
            </w:r>
          </w:p>
        </w:tc>
        <w:tc>
          <w:tcPr>
            <w:tcW w:w="1226" w:type="dxa"/>
          </w:tcPr>
          <w:p>
            <w:pPr/>
            <w:r>
              <w:t xml:space="preserve">6 a 8</w:t>
            </w:r>
          </w:p>
        </w:tc>
        <w:tc>
          <w:tcPr>
            <w:tcW w:w="4499" w:type="dxa"/>
          </w:tcPr>
          <w:p>
            <w:pPr/>
            <w:r>
              <w:t xml:space="preserve">GPO vinculada a la OU piloto y documentada</w:t>
            </w:r>
          </w:p>
        </w:tc>
      </w:tr>
      <w:tr>
        <w:tc>
          <w:tcPr>
            <w:tcW w:w="2282" w:type="dxa"/>
          </w:tcPr>
          <w:p>
            <w:pPr/>
            <w:r>
              <w:t xml:space="preserve">5. Validación y pruebas</w:t>
            </w:r>
          </w:p>
        </w:tc>
        <w:tc>
          <w:tcPr>
            <w:tcW w:w="1352" w:type="dxa"/>
          </w:tcPr>
          <w:p>
            <w:pPr/>
            <w:r>
              <w:t xml:space="preserve">3</w:t>
            </w:r>
          </w:p>
        </w:tc>
        <w:tc>
          <w:tcPr>
            <w:tcW w:w="1226" w:type="dxa"/>
          </w:tcPr>
          <w:p>
            <w:pPr/>
            <w:r>
              <w:t xml:space="preserve">6 a 10</w:t>
            </w:r>
          </w:p>
        </w:tc>
        <w:tc>
          <w:tcPr>
            <w:tcW w:w="4499" w:type="dxa"/>
          </w:tcPr>
          <w:p>
            <w:pPr/>
            <w:r>
              <w:t xml:space="preserve">Evidencia de criterios de aceptación y prueba de reversión</w:t>
            </w:r>
          </w:p>
        </w:tc>
      </w:tr>
      <w:tr>
        <w:tc>
          <w:tcPr>
            <w:tcW w:w="2282" w:type="dxa"/>
          </w:tcPr>
          <w:p>
            <w:pPr/>
            <w:r>
              <w:t xml:space="preserve">6. Documentación y transferencia</w:t>
            </w:r>
          </w:p>
        </w:tc>
        <w:tc>
          <w:tcPr>
            <w:tcW w:w="1352" w:type="dxa"/>
          </w:tcPr>
          <w:p>
            <w:pPr/>
            <w:r>
              <w:t xml:space="preserve">3</w:t>
            </w:r>
          </w:p>
        </w:tc>
        <w:tc>
          <w:tcPr>
            <w:tcW w:w="1226" w:type="dxa"/>
          </w:tcPr>
          <w:p>
            <w:pPr/>
            <w:r>
              <w:t xml:space="preserve">6 a 8</w:t>
            </w:r>
          </w:p>
        </w:tc>
        <w:tc>
          <w:tcPr>
            <w:tcW w:w="4499" w:type="dxa"/>
          </w:tcPr>
          <w:p>
            <w:pPr/>
            <w:r>
              <w:t xml:space="preserve">Documento técnico, procedimiento por oleadas, sesión de 1 h</w:t>
            </w:r>
          </w:p>
        </w:tc>
      </w:tr>
      <w:tr>
        <w:tc>
          <w:tcPr>
            <w:tcW w:w="2282" w:type="dxa"/>
          </w:tcPr>
          <w:p>
            <w:pPr/>
            <w:r>
              <w:rPr>
                <w:b/>
              </w:rPr>
              <w:t xml:space="preserve">Total piloto</w:t>
            </w:r>
          </w:p>
        </w:tc>
        <w:tc>
          <w:tcPr>
            <w:tcW w:w="1352" w:type="dxa"/>
          </w:tcPr>
          <w:p>
            <w:pPr/>
            <w:r>
              <w:rPr>
                <w:b/>
              </w:rPr>
              <w:t xml:space="preserve">3 semanas</w:t>
            </w:r>
          </w:p>
        </w:tc>
        <w:tc>
          <w:tcPr>
            <w:tcW w:w="1226" w:type="dxa"/>
          </w:tcPr>
          <w:p>
            <w:pPr/>
            <w:r>
              <w:rPr>
                <w:b/>
              </w:rPr>
              <w:t xml:space="preserve">40 a 56</w:t>
            </w:r>
          </w:p>
        </w:tc>
        <w:tc>
          <w:tcPr>
            <w:tcW w:w="4499" w:type="dxa"/>
          </w:tcPr>
          <w:p>
            <w:pPr/>
            <w:r>
              <w:t xml:space="preserve">Acta de aceptación</w:t>
            </w:r>
          </w:p>
        </w:tc>
      </w:tr>
    </w:tbl>
    <w:p>
      <w:pPr/>
      <w:r>
        <w:rPr>
          <w:b/>
        </w:rPr>
        <w:t xml:space="preserve">Fase 2, producción (opcional, se cotiza aparte):</w:t>
      </w:r>
      <w:r>
        <w:t xml:space="preserve"> despliegue por oleadas de 10 a 25 equipos, ampliando la OU objetivo en cada oleada. Como referencia, de 4 a 6 horas por oleada más el tiempo de carga a OneDrive, que depende del volumen y del ancho de banda.</w:t>
      </w:r>
    </w:p>
    <w:p>
      <w:pPr>
        <w:pStyle w:val="Heading2"/>
      </w:pPr>
      <w:r>
        <w:t xml:space="preserve">Licenciamiento Microsoft 365</w:t>
      </w:r>
    </w:p>
    <w:p>
      <w:pPr/>
      <w:r>
        <w:t xml:space="preserve">El proyecto no requiere licencias nuevas: la unión híbrida está incluida en Microsoft Entra ID Free, y la protección de carpetas funciona con cualquier plan que incluya OneDrive para el trabajo. Basta confirmar que cada usuario tenga asignado el servicio de OneDrive.</w:t>
      </w:r>
    </w:p>
    <w:tbl>
      <w:tblPr>
        <w:tblStyle w:val="TableGrid"/>
        <w:tblW w:w="0" w:type="auto"/>
        <w:tblLayout w:type="fixed"/>
        <w:tblLook w:val="04A0" w:firstRow="1" w:lastRow="0" w:firstColumn="0" w:lastColumn="0" w:noHBand="0" w:noVBand="1"/>
      </w:tblPr>
      <w:tblGrid>
        <w:gridCol w:w="2604"/>
        <w:gridCol w:w="1818"/>
        <w:gridCol w:w="2643"/>
        <w:gridCol w:w="1424"/>
        <w:gridCol w:w="870"/>
      </w:tblGrid>
      <w:tr>
        <w:trPr>
          <w:tblHeader/>
        </w:trPr>
        <w:tc>
          <w:tcPr>
            <w:tcW w:w="2604" w:type="dxa"/>
            <w:shd w:val="clear" w:color="auto" w:fill="F2F2F2"/>
          </w:tcPr>
          <w:p>
            <w:pPr/>
            <w:r>
              <w:t xml:space="preserve">Plan</w:t>
            </w:r>
          </w:p>
        </w:tc>
        <w:tc>
          <w:tcPr>
            <w:tcW w:w="1818" w:type="dxa"/>
            <w:shd w:val="clear" w:color="auto" w:fill="F2F2F2"/>
          </w:tcPr>
          <w:p>
            <w:pPr/>
            <w:r>
              <w:t xml:space="preserve">Precio de lista (USD usuario/mes, desde 1 jul 2026)</w:t>
            </w:r>
          </w:p>
        </w:tc>
        <w:tc>
          <w:tcPr>
            <w:tcW w:w="2643" w:type="dxa"/>
            <w:shd w:val="clear" w:color="auto" w:fill="F2F2F2"/>
          </w:tcPr>
          <w:p>
            <w:pPr/>
            <w:r>
              <w:t xml:space="preserve">OneDrive y protección de carpetas</w:t>
            </w:r>
          </w:p>
        </w:tc>
        <w:tc>
          <w:tcPr>
            <w:tcW w:w="1424" w:type="dxa"/>
            <w:shd w:val="clear" w:color="auto" w:fill="F2F2F2"/>
          </w:tcPr>
          <w:p>
            <w:pPr/>
            <w:r>
              <w:t xml:space="preserve">Entra ID P1 / acceso condicional</w:t>
            </w:r>
          </w:p>
        </w:tc>
        <w:tc>
          <w:tcPr>
            <w:tcW w:w="870" w:type="dxa"/>
            <w:shd w:val="clear" w:color="auto" w:fill="F2F2F2"/>
          </w:tcPr>
          <w:p>
            <w:pPr/>
            <w:r>
              <w:t xml:space="preserve">Intune</w:t>
            </w:r>
          </w:p>
        </w:tc>
      </w:tr>
      <w:tr>
        <w:tc>
          <w:tcPr>
            <w:tcW w:w="2604" w:type="dxa"/>
          </w:tcPr>
          <w:p>
            <w:pPr/>
            <w:r>
              <w:t xml:space="preserve">Microsoft 365 Business Basic</w:t>
            </w:r>
          </w:p>
        </w:tc>
        <w:tc>
          <w:tcPr>
            <w:tcW w:w="1818" w:type="dxa"/>
          </w:tcPr>
          <w:p>
            <w:pPr/>
            <w:r>
              <w:t xml:space="preserve">7.00</w:t>
            </w:r>
          </w:p>
        </w:tc>
        <w:tc>
          <w:tcPr>
            <w:tcW w:w="2643" w:type="dxa"/>
          </w:tcPr>
          <w:p>
            <w:pPr/>
            <w:r>
              <w:t xml:space="preserve">Sí, 1 TB</w:t>
            </w:r>
          </w:p>
        </w:tc>
        <w:tc>
          <w:tcPr>
            <w:tcW w:w="1424" w:type="dxa"/>
          </w:tcPr>
          <w:p>
            <w:pPr/>
            <w:r>
              <w:t xml:space="preserve">No</w:t>
            </w:r>
          </w:p>
        </w:tc>
        <w:tc>
          <w:tcPr>
            <w:tcW w:w="870" w:type="dxa"/>
          </w:tcPr>
          <w:p>
            <w:pPr/>
            <w:r>
              <w:t xml:space="preserve">No</w:t>
            </w:r>
          </w:p>
        </w:tc>
      </w:tr>
      <w:tr>
        <w:tc>
          <w:tcPr>
            <w:tcW w:w="2604" w:type="dxa"/>
          </w:tcPr>
          <w:p>
            <w:pPr/>
            <w:r>
              <w:t xml:space="preserve">Microsoft 365 Business Standard</w:t>
            </w:r>
          </w:p>
        </w:tc>
        <w:tc>
          <w:tcPr>
            <w:tcW w:w="1818" w:type="dxa"/>
          </w:tcPr>
          <w:p>
            <w:pPr/>
            <w:r>
              <w:t xml:space="preserve">14.00</w:t>
            </w:r>
          </w:p>
        </w:tc>
        <w:tc>
          <w:tcPr>
            <w:tcW w:w="2643" w:type="dxa"/>
          </w:tcPr>
          <w:p>
            <w:pPr/>
            <w:r>
              <w:t xml:space="preserve">Sí, 1 TB + apps de escritorio</w:t>
            </w:r>
          </w:p>
        </w:tc>
        <w:tc>
          <w:tcPr>
            <w:tcW w:w="1424" w:type="dxa"/>
          </w:tcPr>
          <w:p>
            <w:pPr/>
            <w:r>
              <w:t xml:space="preserve">No</w:t>
            </w:r>
          </w:p>
        </w:tc>
        <w:tc>
          <w:tcPr>
            <w:tcW w:w="870" w:type="dxa"/>
          </w:tcPr>
          <w:p>
            <w:pPr/>
            <w:r>
              <w:t xml:space="preserve">No</w:t>
            </w:r>
          </w:p>
        </w:tc>
      </w:tr>
      <w:tr>
        <w:tc>
          <w:tcPr>
            <w:tcW w:w="2604" w:type="dxa"/>
          </w:tcPr>
          <w:p>
            <w:pPr/>
            <w:r>
              <w:t xml:space="preserve">Microsoft 365 Business Premium</w:t>
            </w:r>
          </w:p>
        </w:tc>
        <w:tc>
          <w:tcPr>
            <w:tcW w:w="1818" w:type="dxa"/>
          </w:tcPr>
          <w:p>
            <w:pPr/>
            <w:r>
              <w:t xml:space="preserve">22.00</w:t>
            </w:r>
          </w:p>
        </w:tc>
        <w:tc>
          <w:tcPr>
            <w:tcW w:w="2643" w:type="dxa"/>
          </w:tcPr>
          <w:p>
            <w:pPr/>
            <w:r>
              <w:t xml:space="preserve">Sí, 1 TB + apps de escritorio</w:t>
            </w:r>
          </w:p>
        </w:tc>
        <w:tc>
          <w:tcPr>
            <w:tcW w:w="1424" w:type="dxa"/>
          </w:tcPr>
          <w:p>
            <w:pPr/>
            <w:r>
              <w:t xml:space="preserve">Sí</w:t>
            </w:r>
          </w:p>
        </w:tc>
        <w:tc>
          <w:tcPr>
            <w:tcW w:w="870" w:type="dxa"/>
          </w:tcPr>
          <w:p>
            <w:pPr/>
            <w:r>
              <w:t xml:space="preserve">Sí</w:t>
            </w:r>
          </w:p>
        </w:tc>
      </w:tr>
    </w:tbl>
    <w:p>
      <w:pPr/>
      <w:r>
        <w:t xml:space="preserve">Precios de </w:t>
      </w:r>
      <w:hyperlink r:id="rId6" w:history="1">
        <w:r>
          <w:rPr>
            <w:rStyle w:val="Hyperlink"/>
          </w:rPr>
          <w:t xml:space="preserve">UC Today</w:t>
        </w:r>
      </w:hyperlink>
      <w:r>
        <w:t xml:space="preserve"> y </w:t>
      </w:r>
      <w:hyperlink r:id="rId7" w:history="1">
        <w:r>
          <w:rPr>
            <w:rStyle w:val="Hyperlink"/>
          </w:rPr>
          <w:t xml:space="preserve">Nerdio</w:t>
        </w:r>
      </w:hyperlink>
      <w:r>
        <w:t xml:space="preserve">; Microsoft subió Basic y Standard el 1 de julio de 2026 y mantuvo Premium. Para clientes en México el precio final depende del distribuidor CSP y del tipo de cambio.</w:t>
      </w:r>
    </w:p>
    <w:p>
      <w:pPr/>
      <w:r>
        <w:t xml:space="preserve">Recomendación: mantener el plan actual para este proyecto. Business Premium solo se justifica si el cliente quiere después acceso condicional, Intune o Defender; la diferencia frente a Standard es de 8 USD por usuario al mes. Los planes Business admiten hasta 300 usuarios; por encima se evalúan E3/E5.</w:t>
      </w:r>
    </w:p>
    <w:p>
      <w:pPr>
        <w:pStyle w:val="Heading2"/>
      </w:pPr>
      <w:r>
        <w:t xml:space="preserve">Sistema de respaldo (backup)</w:t>
      </w:r>
    </w:p>
    <w:p>
      <w:pPr/>
      <w:r>
        <w:t xml:space="preserve">OneDrive sincroniza y versiona, pero no es un respaldo: un borrado, un cifrado por ransomware o un error masivo se replica a la nube. Recomendamos agregar un respaldo independiente una vez que las carpetas estén en OneDrive.</w:t>
      </w:r>
    </w:p>
    <w:tbl>
      <w:tblPr>
        <w:tblStyle w:val="TableGrid"/>
        <w:tblW w:w="0" w:type="auto"/>
        <w:tblLayout w:type="fixed"/>
        <w:tblLook w:val="04A0" w:firstRow="1" w:lastRow="0" w:firstColumn="0" w:lastColumn="0" w:noHBand="0" w:noVBand="1"/>
      </w:tblPr>
      <w:tblGrid>
        <w:gridCol w:w="1713"/>
        <w:gridCol w:w="1668"/>
        <w:gridCol w:w="1462"/>
        <w:gridCol w:w="2126"/>
        <w:gridCol w:w="2390"/>
      </w:tblGrid>
      <w:tr>
        <w:trPr>
          <w:tblHeader/>
        </w:trPr>
        <w:tc>
          <w:tcPr>
            <w:tcW w:w="1713" w:type="dxa"/>
            <w:shd w:val="clear" w:color="auto" w:fill="F2F2F2"/>
          </w:tcPr>
          <w:p>
            <w:pPr/>
            <w:r>
              <w:t xml:space="preserve">Opción</w:t>
            </w:r>
          </w:p>
        </w:tc>
        <w:tc>
          <w:tcPr>
            <w:tcW w:w="1668" w:type="dxa"/>
            <w:shd w:val="clear" w:color="auto" w:fill="F2F2F2"/>
          </w:tcPr>
          <w:p>
            <w:pPr/>
            <w:r>
              <w:t xml:space="preserve">Modelo de costo</w:t>
            </w:r>
          </w:p>
        </w:tc>
        <w:tc>
          <w:tcPr>
            <w:tcW w:w="1462" w:type="dxa"/>
            <w:shd w:val="clear" w:color="auto" w:fill="F2F2F2"/>
          </w:tcPr>
          <w:p>
            <w:pPr/>
            <w:r>
              <w:t xml:space="preserve">Cubre</w:t>
            </w:r>
          </w:p>
        </w:tc>
        <w:tc>
          <w:tcPr>
            <w:tcW w:w="2126" w:type="dxa"/>
            <w:shd w:val="clear" w:color="auto" w:fill="F2F2F2"/>
          </w:tcPr>
          <w:p>
            <w:pPr/>
            <w:r>
              <w:t xml:space="preserve">Ventaja</w:t>
            </w:r>
          </w:p>
        </w:tc>
        <w:tc>
          <w:tcPr>
            <w:tcW w:w="2390" w:type="dxa"/>
            <w:shd w:val="clear" w:color="auto" w:fill="F2F2F2"/>
          </w:tcPr>
          <w:p>
            <w:pPr/>
            <w:r>
              <w:t xml:space="preserve">Consideración</w:t>
            </w:r>
          </w:p>
        </w:tc>
      </w:tr>
      <w:tr>
        <w:tc>
          <w:tcPr>
            <w:tcW w:w="1713" w:type="dxa"/>
          </w:tcPr>
          <w:p>
            <w:pPr/>
            <w:r>
              <w:t xml:space="preserve">Microsoft 365 Backup (nativo)</w:t>
            </w:r>
          </w:p>
        </w:tc>
        <w:tc>
          <w:tcPr>
            <w:tcW w:w="1668" w:type="dxa"/>
          </w:tcPr>
          <w:p>
            <w:pPr/>
            <w:r>
              <w:t xml:space="preserve">0.15 USD por GB al mes de contenido protegido</w:t>
            </w:r>
          </w:p>
        </w:tc>
        <w:tc>
          <w:tcPr>
            <w:tcW w:w="1462" w:type="dxa"/>
          </w:tcPr>
          <w:p>
            <w:pPr/>
            <w:r>
              <w:t xml:space="preserve">OneDrive, SharePoint, Exchange</w:t>
            </w:r>
          </w:p>
        </w:tc>
        <w:tc>
          <w:tcPr>
            <w:tcW w:w="2126" w:type="dxa"/>
          </w:tcPr>
          <w:p>
            <w:pPr/>
            <w:r>
              <w:t xml:space="preserve">Restauración rápida dentro de Microsoft 365; sin licencia adicional</w:t>
            </w:r>
          </w:p>
        </w:tc>
        <w:tc>
          <w:tcPr>
            <w:tcW w:w="2390" w:type="dxa"/>
          </w:tcPr>
          <w:p>
            <w:pPr/>
            <w:r>
              <w:t xml:space="preserve">Requiere suscripción de Azure para facturación; el costo crece con el volumen</w:t>
            </w:r>
          </w:p>
        </w:tc>
      </w:tr>
      <w:tr>
        <w:tc>
          <w:tcPr>
            <w:tcW w:w="1713" w:type="dxa"/>
          </w:tcPr>
          <w:p>
            <w:pPr/>
            <w:r>
              <w:t xml:space="preserve">Solución de terceros (Veeam, AvePoint, Acronis, Keepit u otra)</w:t>
            </w:r>
          </w:p>
        </w:tc>
        <w:tc>
          <w:tcPr>
            <w:tcW w:w="1668" w:type="dxa"/>
          </w:tcPr>
          <w:p>
            <w:pPr/>
            <w:r>
              <w:t xml:space="preserve">Por usuario al mes, normalmente</w:t>
            </w:r>
          </w:p>
        </w:tc>
        <w:tc>
          <w:tcPr>
            <w:tcW w:w="1462" w:type="dxa"/>
          </w:tcPr>
          <w:p>
            <w:pPr/>
            <w:r>
              <w:t xml:space="preserve">OneDrive, SharePoint, Exchange, Teams</w:t>
            </w:r>
          </w:p>
        </w:tc>
        <w:tc>
          <w:tcPr>
            <w:tcW w:w="2126" w:type="dxa"/>
          </w:tcPr>
          <w:p>
            <w:pPr/>
            <w:r>
              <w:t xml:space="preserve">Costo predecible; copia fuera de Microsoft si se elige</w:t>
            </w:r>
          </w:p>
        </w:tc>
        <w:tc>
          <w:tcPr>
            <w:tcW w:w="2390" w:type="dxa"/>
          </w:tcPr>
          <w:p>
            <w:pPr/>
            <w:r>
              <w:t xml:space="preserve">Licencia y, en algunos casos, almacenamiento propio</w:t>
            </w:r>
          </w:p>
        </w:tc>
      </w:tr>
    </w:tbl>
    <w:p>
      <w:pPr/>
      <w:r>
        <w:t xml:space="preserve">Ejemplo con el servicio nativo: 50 usuarios con 20 GB promedio en OneDrive suman 1,000 GB, unos 150 USD al mes. El cobro incluye la papelera de segundo nivel y los archivos en línea de buzones protegidos (</w:t>
      </w:r>
      <w:hyperlink r:id="rId8" w:history="1">
        <w:r>
          <w:rPr>
            <w:rStyle w:val="Hyperlink"/>
          </w:rPr>
          <w:t xml:space="preserve">Microsoft Learn</w:t>
        </w:r>
      </w:hyperlink>
      <w:r>
        <w:t xml:space="preserve">, </w:t>
      </w:r>
      <w:hyperlink r:id="rId9" w:history="1">
        <w:r>
          <w:rPr>
            <w:rStyle w:val="Hyperlink"/>
          </w:rPr>
          <w:t xml:space="preserve">Microsoft</w:t>
        </w:r>
      </w:hyperlink>
      <w:r>
        <w:t xml:space="preserve">).</w:t>
      </w:r>
    </w:p>
    <w:p>
      <w:pPr/>
      <w:r>
        <w:t xml:space="preserve">Componente opcional del proveedor: activación de Microsoft 365 Backup, directiva para las cuentas de OneDrive del piloto y prueba de restauración, de 6 a 8 horas. El volumen real se obtiene del reporte de uso de OneDrive en el centro de administración.</w:t>
      </w:r>
    </w:p>
    <w:p>
      <w:pPr>
        <w:pStyle w:val="Heading2"/>
      </w:pPr>
      <w:r>
        <w:t xml:space="preserve">Azure, de requerirse</w:t>
      </w:r>
    </w:p>
    <w:p>
      <w:pPr/>
      <w:r>
        <w:t xml:space="preserve">La unión híbrida y las GPO de OneDrive no requieren recursos de Azure ni máquinas virtuales. Azure solo entra si se elige Microsoft 365 Backup, porque su facturación se cobra a una suscripción.</w:t>
      </w:r>
    </w:p>
    <w:p>
      <w:pPr>
        <w:pStyle w:val="ListParagraph"/>
        <w:numPr>
          <w:ilvl w:val="0"/>
          <w:numId w:val="9"/>
        </w:numPr>
      </w:pPr>
      <w:r>
        <w:t xml:space="preserve">Suscripción de Azure de pago por uso asociada al mismo inquilino.</w:t>
      </w:r>
    </w:p>
    <w:p>
      <w:pPr>
        <w:pStyle w:val="ListParagraph"/>
        <w:numPr>
          <w:ilvl w:val="0"/>
          <w:numId w:val="9"/>
        </w:numPr>
      </w:pPr>
      <w:r>
        <w:t xml:space="preserve">Un grupo de recursos para la facturación de Microsoft 365 Backup.</w:t>
      </w:r>
    </w:p>
    <w:p>
      <w:pPr>
        <w:pStyle w:val="ListParagraph"/>
        <w:numPr>
          <w:ilvl w:val="0"/>
          <w:numId w:val="9"/>
        </w:numPr>
      </w:pPr>
      <w:r>
        <w:t xml:space="preserve">Permisos de Propietario o Colaborador sobre la suscripción y el grupo de recursos, más un rol administrativo de Microsoft 365.</w:t>
      </w:r>
    </w:p>
    <w:p>
      <w:pPr>
        <w:pStyle w:val="ListParagraph"/>
        <w:numPr>
          <w:ilvl w:val="0"/>
          <w:numId w:val="9"/>
        </w:numPr>
      </w:pPr>
      <w:r>
        <w:t xml:space="preserve">Presupuesto y alerta de costo en Azure para controlar el gasto mensual del respaldo.</w:t>
      </w:r>
    </w:p>
    <w:p>
      <w:pPr/>
      <w:r>
        <w:t xml:space="preserve">No se proponen servicios de Azure adicionales (servidores, Azure Files, VPN) porque el resultado esperado no los necesita.</w:t>
      </w:r>
    </w:p>
    <w:p>
      <w:pPr>
        <w:pStyle w:val="Heading2"/>
      </w:pPr>
      <w:r>
        <w:t xml:space="preserve">Riesgos, reversión y criterios de aceptación</w:t>
      </w:r>
    </w:p>
    <w:p>
      <w:pPr/>
      <w:r>
        <w:t xml:space="preserve">Cada cambio se limita a la OU piloto y tiene un paso de reversión probado antes de la aceptación.</w:t>
      </w:r>
    </w:p>
    <w:tbl>
      <w:tblPr>
        <w:tblStyle w:val="TableGrid"/>
        <w:tblW w:w="0" w:type="auto"/>
        <w:tblLayout w:type="fixed"/>
        <w:tblLook w:val="04A0" w:firstRow="1" w:lastRow="0" w:firstColumn="0" w:lastColumn="0" w:noHBand="0" w:noVBand="1"/>
      </w:tblPr>
      <w:tblGrid>
        <w:gridCol w:w="2258"/>
        <w:gridCol w:w="4011"/>
        <w:gridCol w:w="3091"/>
      </w:tblGrid>
      <w:tr>
        <w:trPr>
          <w:tblHeader/>
        </w:trPr>
        <w:tc>
          <w:tcPr>
            <w:tcW w:w="2258" w:type="dxa"/>
            <w:shd w:val="clear" w:color="auto" w:fill="F2F2F2"/>
          </w:tcPr>
          <w:p>
            <w:pPr/>
            <w:r>
              <w:t xml:space="preserve">Riesgo</w:t>
            </w:r>
          </w:p>
        </w:tc>
        <w:tc>
          <w:tcPr>
            <w:tcW w:w="4011" w:type="dxa"/>
            <w:shd w:val="clear" w:color="auto" w:fill="F2F2F2"/>
          </w:tcPr>
          <w:p>
            <w:pPr/>
            <w:r>
              <w:t xml:space="preserve">Control</w:t>
            </w:r>
          </w:p>
        </w:tc>
        <w:tc>
          <w:tcPr>
            <w:tcW w:w="3091" w:type="dxa"/>
            <w:shd w:val="clear" w:color="auto" w:fill="F2F2F2"/>
          </w:tcPr>
          <w:p>
            <w:pPr/>
            <w:r>
              <w:t xml:space="preserve">Reversión</w:t>
            </w:r>
          </w:p>
        </w:tc>
      </w:tr>
      <w:tr>
        <w:tc>
          <w:tcPr>
            <w:tcW w:w="2258" w:type="dxa"/>
          </w:tcPr>
          <w:p>
            <w:pPr/>
            <w:r>
              <w:t xml:space="preserve">Registro incompleto (equipo pendiente en Entra)</w:t>
            </w:r>
          </w:p>
        </w:tc>
        <w:tc>
          <w:tcPr>
            <w:tcW w:w="4011" w:type="dxa"/>
          </w:tcPr>
          <w:p>
            <w:pPr/>
            <w:r>
              <w:t xml:space="preserve">Validar OU sincronizada, atributo userCertificate y conectividad; revisar registros de User Device Registration</w:t>
            </w:r>
          </w:p>
        </w:tc>
        <w:tc>
          <w:tcPr>
            <w:tcW w:w="3091" w:type="dxa"/>
          </w:tcPr>
          <w:p>
            <w:pPr/>
            <w:r>
              <w:t xml:space="preserve">Desvincular GPO de registro; dsregcmd /leave en el equipo</w:t>
            </w:r>
          </w:p>
        </w:tc>
      </w:tr>
      <w:tr>
        <w:tc>
          <w:tcPr>
            <w:tcW w:w="2258" w:type="dxa"/>
          </w:tcPr>
          <w:p>
            <w:pPr/>
            <w:r>
              <w:t xml:space="preserve">OneDrive pide credenciales o no hay PRT</w:t>
            </w:r>
          </w:p>
        </w:tc>
        <w:tc>
          <w:tcPr>
            <w:tcW w:w="4011" w:type="dxa"/>
          </w:tcPr>
          <w:p>
            <w:pPr/>
            <w:r>
              <w:t xml:space="preserve">Revisar UPN, licencia, MFA y acceso condicional en la sesión del usuario</w:t>
            </w:r>
          </w:p>
        </w:tc>
        <w:tc>
          <w:tcPr>
            <w:tcW w:w="3091" w:type="dxa"/>
          </w:tcPr>
          <w:p>
            <w:pPr/>
            <w:r>
              <w:t xml:space="preserve">Documentar la interacción requerida; no se relajan controles</w:t>
            </w:r>
          </w:p>
        </w:tc>
      </w:tr>
      <w:tr>
        <w:tc>
          <w:tcPr>
            <w:tcW w:w="2258" w:type="dxa"/>
          </w:tcPr>
          <w:p>
            <w:pPr/>
            <w:r>
              <w:t xml:space="preserve">Registro de más equipos de los previstos</w:t>
            </w:r>
          </w:p>
        </w:tc>
        <w:tc>
          <w:tcPr>
            <w:tcW w:w="4011" w:type="dxa"/>
          </w:tcPr>
          <w:p>
            <w:pPr/>
            <w:r>
              <w:t xml:space="preserve">Despliegue dirigido por GPO, sin SCP en el bosque; GPO de OneDrive filtrada a la OU piloto</w:t>
            </w:r>
          </w:p>
        </w:tc>
        <w:tc>
          <w:tcPr>
            <w:tcW w:w="3091" w:type="dxa"/>
          </w:tcPr>
          <w:p>
            <w:pPr/>
            <w:r>
              <w:t xml:space="preserve">Retirar la GPO; eliminar dispositivos sobrantes en Entra</w:t>
            </w:r>
          </w:p>
        </w:tc>
      </w:tr>
      <w:tr>
        <w:tc>
          <w:tcPr>
            <w:tcW w:w="2258" w:type="dxa"/>
          </w:tcPr>
          <w:p>
            <w:pPr/>
            <w:r>
              <w:t xml:space="preserve">Falla en la actualización de Entra Connect</w:t>
            </w:r>
          </w:p>
        </w:tc>
        <w:tc>
          <w:tcPr>
            <w:tcW w:w="4011" w:type="dxa"/>
          </w:tcPr>
          <w:p>
            <w:pPr/>
            <w:r>
              <w:t xml:space="preserve">Exportar configuración, instantánea del servidor, ventana aprobada</w:t>
            </w:r>
          </w:p>
        </w:tc>
        <w:tc>
          <w:tcPr>
            <w:tcW w:w="3091" w:type="dxa"/>
          </w:tcPr>
          <w:p>
            <w:pPr/>
            <w:r>
              <w:t xml:space="preserve">Restaurar instantánea o reinstalar con la configuración exportada</w:t>
            </w:r>
          </w:p>
        </w:tc>
      </w:tr>
      <w:tr>
        <w:tc>
          <w:tcPr>
            <w:tcW w:w="2258" w:type="dxa"/>
          </w:tcPr>
          <w:p>
            <w:pPr/>
            <w:r>
              <w:t xml:space="preserve">Conflictos de carpetas o carga elevada</w:t>
            </w:r>
          </w:p>
        </w:tc>
        <w:tc>
          <w:tcPr>
            <w:tcW w:w="4011" w:type="dxa"/>
          </w:tcPr>
          <w:p>
            <w:pPr/>
            <w:r>
              <w:t xml:space="preserve">Revisar redirección, volumen y cuota; programar la carga</w:t>
            </w:r>
          </w:p>
        </w:tc>
        <w:tc>
          <w:tcPr>
            <w:tcW w:w="3091" w:type="dxa"/>
          </w:tcPr>
          <w:p>
            <w:pPr/>
            <w:r>
              <w:t xml:space="preserve">Deshabilitar el bloqueo y revertir carpetas desde OneDrive</w:t>
            </w:r>
          </w:p>
        </w:tc>
      </w:tr>
    </w:tbl>
    <w:p>
      <w:pPr/>
      <w:r>
        <w:rPr>
          <w:b/>
        </w:rPr>
        <w:t xml:space="preserve">Criterios de aceptación</w:t>
      </w:r>
    </w:p>
    <w:p>
      <w:pPr>
        <w:pStyle w:val="ListParagraph"/>
        <w:numPr>
          <w:ilvl w:val="0"/>
          <w:numId w:val="10"/>
        </w:numPr>
      </w:pPr>
      <w:r>
        <w:t xml:space="preserve">☐ dsregcmd /status muestra DomainJoined YES y AzureAdJoined YES, con el dispositivo en el inquilino correcto.</w:t>
      </w:r>
    </w:p>
    <w:p>
      <w:pPr>
        <w:pStyle w:val="ListParagraph"/>
        <w:numPr>
          <w:ilvl w:val="0"/>
          <w:numId w:val="10"/>
        </w:numPr>
      </w:pPr>
      <w:r>
        <w:t xml:space="preserve">☐ AzureAdPrt YES en la sesión del usuario y OneDrive configurado sin pedir credenciales.</w:t>
      </w:r>
    </w:p>
    <w:p>
      <w:pPr>
        <w:pStyle w:val="ListParagraph"/>
        <w:numPr>
          <w:ilvl w:val="0"/>
          <w:numId w:val="10"/>
        </w:numPr>
      </w:pPr>
      <w:r>
        <w:t xml:space="preserve">☐ gpresult confirma las GPO previstas; Escritorio, Documentos e Imágenes aparecen protegidas.</w:t>
      </w:r>
    </w:p>
    <w:p>
      <w:pPr>
        <w:pStyle w:val="ListParagraph"/>
        <w:numPr>
          <w:ilvl w:val="0"/>
          <w:numId w:val="10"/>
        </w:numPr>
      </w:pPr>
      <w:r>
        <w:t xml:space="preserve">☐ Un archivo de prueba en cada carpeta aparece en OneDrive web sin errores de sincronización.</w:t>
      </w:r>
    </w:p>
    <w:p>
      <w:pPr>
        <w:pStyle w:val="ListParagraph"/>
        <w:numPr>
          <w:ilvl w:val="0"/>
          <w:numId w:val="10"/>
        </w:numPr>
      </w:pPr>
      <w:r>
        <w:t xml:space="preserve">☐ El usuario no puede detener la protección desde OneDrive, y se mantiene tras reiniciar.</w:t>
      </w:r>
    </w:p>
    <w:p>
      <w:pPr>
        <w:pStyle w:val="ListParagraph"/>
        <w:numPr>
          <w:ilvl w:val="0"/>
          <w:numId w:val="10"/>
        </w:numPr>
      </w:pPr>
      <w:r>
        <w:t xml:space="preserve">☐ Perfil, aplicaciones, unidades de red y recursos internos funcionan igual; la sincronización de usuarios sigue sin errores.</w:t>
      </w:r>
    </w:p>
    <w:p>
      <w:pPr>
        <w:pStyle w:val="Heading2"/>
      </w:pPr>
      <w:r>
        <w:t xml:space="preserve">Referencias</w:t>
      </w:r>
    </w:p>
    <w:p>
      <w:pPr>
        <w:pStyle w:val="ListParagraph"/>
        <w:numPr>
          <w:ilvl w:val="0"/>
          <w:numId w:val="11"/>
        </w:numPr>
      </w:pPr>
      <w:hyperlink r:id="rId10" w:history="1">
        <w:r>
          <w:rPr>
            <w:rStyle w:val="Hyperlink"/>
          </w:rPr>
          <w:t xml:space="preserve">Configuración de unión híbrida</w:t>
        </w:r>
      </w:hyperlink>
    </w:p>
    <w:p>
      <w:pPr>
        <w:pStyle w:val="ListParagraph"/>
        <w:numPr>
          <w:ilvl w:val="0"/>
          <w:numId w:val="11"/>
        </w:numPr>
      </w:pPr>
      <w:hyperlink r:id="rId11" w:history="1">
        <w:r>
          <w:rPr>
            <w:rStyle w:val="Hyperlink"/>
          </w:rPr>
          <w:t xml:space="preserve">Despliegue dirigido de unión híbrida</w:t>
        </w:r>
      </w:hyperlink>
    </w:p>
    <w:p>
      <w:pPr>
        <w:pStyle w:val="ListParagraph"/>
        <w:numPr>
          <w:ilvl w:val="0"/>
          <w:numId w:val="11"/>
        </w:numPr>
      </w:pPr>
      <w:hyperlink r:id="rId12" w:history="1">
        <w:r>
          <w:rPr>
            <w:rStyle w:val="Hyperlink"/>
          </w:rPr>
          <w:t xml:space="preserve">Inicio de sesión silencioso de OneDrive</w:t>
        </w:r>
      </w:hyperlink>
    </w:p>
    <w:p>
      <w:pPr>
        <w:pStyle w:val="ListParagraph"/>
        <w:numPr>
          <w:ilvl w:val="0"/>
          <w:numId w:val="11"/>
        </w:numPr>
      </w:pPr>
      <w:hyperlink r:id="rId13" w:history="1">
        <w:r>
          <w:rPr>
            <w:rStyle w:val="Hyperlink"/>
          </w:rPr>
          <w:t xml:space="preserve">Directivas de OneDrive</w:t>
        </w:r>
      </w:hyperlink>
    </w:p>
    <w:p>
      <w:pPr>
        <w:pStyle w:val="ListParagraph"/>
        <w:numPr>
          <w:ilvl w:val="0"/>
          <w:numId w:val="11"/>
        </w:numPr>
      </w:pPr>
      <w:hyperlink r:id="rId4" w:history="1">
        <w:r>
          <w:rPr>
            <w:rStyle w:val="Hyperlink"/>
          </w:rPr>
          <w:t xml:space="preserve">Historial de versiones de Entra Connect</w:t>
        </w:r>
      </w:hyperlink>
    </w:p>
    <w:p>
      <w:pPr>
        <w:pStyle w:val="ListParagraph"/>
        <w:numPr>
          <w:ilvl w:val="0"/>
          <w:numId w:val="11"/>
        </w:numPr>
      </w:pPr>
      <w:hyperlink r:id="rId8" w:history="1">
        <w:r>
          <w:rPr>
            <w:rStyle w:val="Hyperlink"/>
          </w:rPr>
          <w:t xml:space="preserve">Precio de Microsoft 365 Backup</w:t>
        </w:r>
      </w:hyperlink>
    </w:p>
    <w:p>
      <w:pPr>
        <w:pStyle w:val="ListParagraph"/>
        <w:numPr>
          <w:ilvl w:val="0"/>
          <w:numId w:val="11"/>
        </w:numPr>
      </w:pPr>
      <w:hyperlink r:id="rId14" w:history="1">
        <w:r>
          <w:rPr>
            <w:rStyle w:val="Hyperlink"/>
          </w:rPr>
          <w:t xml:space="preserve">Licencias de Microsoft Entra</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it-connect.fr/sspr-et-entra-connect-sync-microsoft-modifie-le-calendrier-les-nouvelles-dates-a-retenir/" TargetMode="External"/><Relationship Id="rId4" Type="http://schemas.openxmlformats.org/officeDocument/2006/relationships/hyperlink" Target="https://learn.microsoft.com/en-us/entra/identity/hybrid/connect/reference-connect-version-history" TargetMode="External"/><Relationship Id="rId5" Type="http://schemas.openxmlformats.org/officeDocument/2006/relationships/image" Target="media/image1.png"/><Relationship Id="rId6" Type="http://schemas.openxmlformats.org/officeDocument/2006/relationships/hyperlink" Target="https://www.uctoday.com/unified-communications/microsoft-365-prices-rise-on-1-july-what-it-teams-need-to-do-before-the-deadline/" TargetMode="External"/><Relationship Id="rId7" Type="http://schemas.openxmlformats.org/officeDocument/2006/relationships/hyperlink" Target="https://getnerdio.com/blog/your-m365-bill-is-going-up-in-july-heres-what-to-tell-your-clients-and-how-to-come-out-ahead/" TargetMode="External"/><Relationship Id="rId8" Type="http://schemas.openxmlformats.org/officeDocument/2006/relationships/hyperlink" Target="https://learn.microsoft.com/microsoft-365/backup/backup-pricing" TargetMode="External"/><Relationship Id="rId9" Type="http://schemas.openxmlformats.org/officeDocument/2006/relationships/hyperlink" Target="https://www.microsoft.com/en-gb/microsoft-365/microsoft-365-backup" TargetMode="External"/><Relationship Id="rId10" Type="http://schemas.openxmlformats.org/officeDocument/2006/relationships/hyperlink" Target="https://learn.microsoft.com/en-us/entra/identity/devices/how-to-hybrid-join" TargetMode="External"/><Relationship Id="rId11" Type="http://schemas.openxmlformats.org/officeDocument/2006/relationships/hyperlink" Target="https://learn.microsoft.com/en-us/entra/identity/devices/hybrid-join-control" TargetMode="External"/><Relationship Id="rId12" Type="http://schemas.openxmlformats.org/officeDocument/2006/relationships/hyperlink" Target="https://learn.microsoft.com/en-us/sharepoint/use-silent-account-configuration" TargetMode="External"/><Relationship Id="rId13" Type="http://schemas.openxmlformats.org/officeDocument/2006/relationships/hyperlink" Target="https://learn.microsoft.com/en-us/sharepoint/use-group-policy" TargetMode="External"/><Relationship Id="rId14" Type="http://schemas.openxmlformats.org/officeDocument/2006/relationships/hyperlink" Target="https://learn.microsoft.com/en-us/entra/fundamentals/licens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Propuesta Unión híbrida Entra ID y protección de carpetas OneDrive</dc:title>
  <dc:description>Claude Docs node/49d066a0-2e3f@15 docx-w7</dc:description>
  <cp:revision>15</cp:revision>
</cp:coreProperties>
</file>