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440"/>
        <w:jc w:val="center"/>
      </w:pPr>
      <w:r>
        <w:rPr>
          <w:rFonts w:ascii="Arial" w:cs="Arial" w:eastAsia="Arial" w:hAnsi="Arial"/>
          <w:b/>
          <w:bCs/>
          <w:color w:val="0078D4"/>
          <w:sz w:val="56"/>
          <w:szCs w:val="56"/>
        </w:rPr>
        <w:t xml:space="preserve">DOCUMENTO DE PROYECTO</w:t>
      </w:r>
    </w:p>
    <w:p>
      <w:pPr>
        <w:spacing w:after="80" w:before="0"/>
        <w:jc w:val="center"/>
      </w:pPr>
      <w:r>
        <w:rPr>
          <w:rFonts w:ascii="Arial" w:cs="Arial" w:eastAsia="Arial" w:hAnsi="Arial"/>
          <w:color w:val="1F3864"/>
          <w:sz w:val="32"/>
          <w:szCs w:val="32"/>
        </w:rPr>
        <w:t xml:space="preserve">Plan de Implementacion — Azure Advisor</w:t>
      </w:r>
    </w:p>
    <w:p>
      <w:pPr>
        <w:spacing w:after="60" w:before="0"/>
        <w:jc w:val="center"/>
      </w:pPr>
      <w:r>
        <w:rPr>
          <w:rFonts w:ascii="Arial" w:cs="Arial" w:eastAsia="Arial" w:hAnsi="Arial"/>
          <w:color w:val="595959"/>
          <w:sz w:val="22"/>
          <w:szCs w:val="22"/>
        </w:rPr>
        <w:t xml:space="preserve">Requerimientos Tecnicos y Humanos | Alcance | Fuera de Alcance | Supuestos | Fases del Proyecto</w:t>
      </w:r>
    </w:p>
    <w:p>
      <w:pPr>
        <w:spacing w:after="60" w:before="0"/>
        <w:jc w:val="center"/>
      </w:pPr>
      <w:r>
        <w:rPr>
          <w:rFonts w:ascii="Arial" w:cs="Arial" w:eastAsia="Arial" w:hAnsi="Arial"/>
          <w:color w:val="595959"/>
          <w:sz w:val="20"/>
          <w:szCs w:val="20"/>
        </w:rPr>
        <w:t xml:space="preserve">Suscripcion: Azure subscription 1  (9d81a980-2eb4-4d5b-907f-dc099e648f25)</w:t>
      </w:r>
    </w:p>
    <w:p>
      <w:pPr>
        <w:spacing w:after="60" w:before="0"/>
        <w:jc w:val="center"/>
      </w:pPr>
      <w:r>
        <w:rPr>
          <w:rFonts w:ascii="Arial" w:cs="Arial" w:eastAsia="Arial" w:hAnsi="Arial"/>
          <w:color w:val="595959"/>
          <w:sz w:val="20"/>
          <w:szCs w:val="20"/>
        </w:rPr>
        <w:t xml:space="preserve">Junio 2026  |  Version 1.0  |  Equipo Mixto (Interno + Partner Externo)</w:t>
      </w:r>
    </w:p>
    <w:p>
      <w:pPr>
        <w:pBdr>
          <w:top w:val="single" w:color="0078D4" w:sz="12"/>
        </w:pBdr>
        <w:spacing w:after="0" w:before="80"/>
        <w:jc w:val="center"/>
      </w:pPr>
      <w:r>
        <w:t xml:space="preserve"/>
      </w:r>
    </w:p>
    <w:p>
      <w:r>
        <w:br w:type="page"/>
      </w:r>
    </w:p>
    <w:p>
      <w:pPr>
        <w:pStyle w:val="Heading1"/>
        <w:pBdr>
          <w:bottom w:val="single" w:color="0078D4" w:sz="10" w:space="4"/>
        </w:pBdr>
        <w:spacing w:after="140" w:before="400"/>
      </w:pPr>
      <w:r>
        <w:rPr>
          <w:rFonts w:ascii="Arial" w:cs="Arial" w:eastAsia="Arial" w:hAnsi="Arial"/>
          <w:b/>
          <w:bCs/>
          <w:color w:val="1F3864"/>
          <w:sz w:val="34"/>
          <w:szCs w:val="34"/>
        </w:rPr>
        <w:t xml:space="preserve">1. Requerimientos Tecnicos y Humanos</w:t>
      </w:r>
    </w:p>
    <w:p>
      <w:pPr>
        <w:spacing w:after="60" w:before="60"/>
        <w:jc w:val="left"/>
      </w:pPr>
      <w:r>
        <w:rPr>
          <w:rFonts w:ascii="Arial" w:cs="Arial" w:eastAsia="Arial" w:hAnsi="Arial"/>
          <w:b w:val="false"/>
          <w:bCs w:val="false"/>
          <w:color w:val="000000"/>
          <w:sz w:val="20"/>
          <w:szCs w:val="20"/>
        </w:rPr>
        <w:t xml:space="preserve">Esta seccion define los recursos tecnicos (accesos, infraestructura, herramientas y licencias) y los recursos humanos (roles, perfiles y dedicacion) necesarios para ejecutar correctamente el Plan de Implementacion de Azure Advisor en la suscripcion Azure subscription 1.</w:t>
      </w:r>
    </w:p>
    <w:p>
      <w:pPr>
        <w:spacing w:after="40" w:before="40"/>
      </w:pPr>
      <w:r>
        <w:t xml:space="preserve"/>
      </w:r>
    </w:p>
    <w:p>
      <w:pPr>
        <w:pStyle w:val="Heading2"/>
        <w:spacing w:after="100" w:before="280"/>
      </w:pPr>
      <w:r>
        <w:rPr>
          <w:rFonts w:ascii="Arial" w:cs="Arial" w:eastAsia="Arial" w:hAnsi="Arial"/>
          <w:b/>
          <w:bCs/>
          <w:color w:val="2E75B6"/>
          <w:sz w:val="26"/>
          <w:szCs w:val="26"/>
        </w:rPr>
        <w:t xml:space="preserve">1.1 Requerimientos Tecnicos</w:t>
      </w:r>
    </w:p>
    <w:p>
      <w:pPr>
        <w:spacing w:after="120" w:before="40"/>
        <w:jc w:val="left"/>
      </w:pPr>
      <w:r>
        <w:rPr>
          <w:rFonts w:ascii="Arial" w:cs="Arial" w:eastAsia="Arial" w:hAnsi="Arial"/>
          <w:b w:val="false"/>
          <w:bCs w:val="false"/>
          <w:color w:val="595959"/>
          <w:sz w:val="20"/>
          <w:szCs w:val="20"/>
        </w:rPr>
        <w:t xml:space="preserve">La siguiente tabla lista todos los requerimientos tecnicos identificados, clasificados por prioridad (Critico, Importante, Deseable) y categoria. Los requerimientos de prioridad Critica son prerequisito para el inicio de la Fase 1 y deben estar resueltos antes del kickoff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00"/>
        <w:gridCol w:w="1560"/>
        <w:gridCol w:w="180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w:t>
            </w:r>
          </w:p>
        </w:tc>
        <w:tc>
          <w:tcPr>
            <w:tcW w:type="dxa" w:w="2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Requerimiento</w:t>
            </w:r>
          </w:p>
        </w:tc>
        <w:tc>
          <w:tcPr>
            <w:tcW w:type="dxa" w:w="30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 / Detalle</w:t>
            </w:r>
          </w:p>
        </w:tc>
        <w:tc>
          <w:tcPr>
            <w:tcW w:type="dxa" w:w="15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Prioridad</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Categoria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Rol Contributor sobre la suscripcion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Requerido para crear, modificar y eliminar recursos de Azure en la suscripcion 9d81a980-2eb4-4d5b-907f-dc099e648f25. Debe asignarse al equipo externo y al lider de TI interno.</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Acceso / IAM</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R-02</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Rol Key Vault Crypto Officer</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Necesario para crear y administrar claves de cifrado en Azure Key Vault para el proceso de habilitacion de Azure Disk Encryption (ADE) y EncryptionAtHost en las 14 VMs afectadas.</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Acceso / IAM</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Rol Security Admin en Defender for Cloud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Requerido para habilitar planes de Microsoft Defender (CSPM, Defender for Storage, Defender for Resource Manager) y configurar politicas de seguridad a nivel de suscripcion.</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Acceso / IAM</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R-04</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Acceso de lectura a Azure Cost Management</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Necesario para el analisis de consumo historico (90 dias) previo a la adquisicion del Savings Plan y Reserved Instances. Puede ser rol Cost Management Reader.</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Importante</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Acceso / IAM</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Azure Key Vault en region West US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Debe existir o crearse un Key Vault con purge protection habilitado en la misma region que las VMs (westus). Es prerrequisito para ADE y cifrado en host.</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Infraestructura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R-06</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Log Analytics Workspace activo</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Workspace de Log Analytics en region West US para centralizar logs de VM Insights, Defender for Cloud y Azure Monitor. Si no existe, debe crearse antes de la Fase 2.</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Infraestructura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SKUs de VM compatibles con EncryptionAtHost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Verificar que las VMs (glm-comer, glm-huam, glm-intel, glm-lara, glm-prov, bi-glm, glm-supercep, fgt) usan SKUs compatibles. Los SKUs Av1, B1ls y algunos basicos no son compatibles.</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Infraestructura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R-08</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IP Publica Standard en VPN Gateway</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La IP publica asociada a redvirtualgateway debe ser de SKU Standard (no Basic) para permitir la migracion al SKU zonal VpnGwXAZ. Si es Basic, debe reemplazarse.</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Infraestructura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R-09</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Storage Accounts con habilitacion de diagnostico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Las cuentas azurebackuprgwestus1d115 y morenafs deben tener habilitado el Storage Analytics Logging para identificar clientes que usan TLS 1.0/1.1 antes del cambio.</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Importante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Infraestructura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R-10</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Conectividad de red a endpoints de Azure Monitor</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Las VMs deben tener conectividad saliente hacia los endpoints de Azure Monitor (o configurar Azure Monitor Private Link si estan en red completamente privada).</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Importante</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Red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Azure CLI v2.50 o superior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Herramienta de linea de comandos de Azure para ejecutar comandos de habilitacion de cifrado, actualizacion de gateways y configuracion de politicas. Instalar en las workstations del equipo externo.</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Importante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Herramientas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R-12</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Azure PowerShell Az module (opcional)</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Modulo de PowerShell para automatizacion de tareas repetitivas (habilitacion de VM Insights en lote, configuracion de alertas). Recomendado para el equipo interno.</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Deseable</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Herramientas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Acceso a Azure Portal con MFA habilitado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Todo el personal con acceso a la suscripcion debe tener MFA configurado en Entra ID. Es un requisito de seguridad previo al inicio del proyecto.</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R-14</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Snapshots de discos previos a cambios</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Capacidad de almacenamiento suficiente para crear snapshots de los discos OS y de datos de las VMs afectadas antes de cada operacion de cifrado o migracion de disco.</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Respaldo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Registro del proveedor Microsoft.Compute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Ejecutar az provider register --namespace Microsoft.Compute para habilitar la caracteristica de EncryptionAtHost en la suscripcion antes de iniciar la Fase 1.</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Plataforma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R-16</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Licencia de Microsoft Defender for Servers (Plan 1 o 2)</w:t>
            </w:r>
          </w:p>
        </w:tc>
        <w:tc>
          <w:tcPr>
            <w:tcW w:type="dxa" w:w="3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Requerida para habilitar el acceso Just-In-Time (JIT) en los puertos de administracion de las VMs. Sin esta licencia, JIT no esta disponible.</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Critico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Licencias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R-17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Plan de Defender for Storage activo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Necesario para el analisis de malware y deteccion de amenazas en las cuentas de almacenamiento azurebackuprgwestus1d115 y morenafs.</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Importante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Licencias</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Leyenda de Prioridades</w:t>
      </w:r>
    </w:p>
    <w:p>
      <w:pPr>
        <w:pStyle w:val="ListParagraph"/>
        <w:numPr>
          <w:ilvl w:val="0"/>
          <w:numId w:val="2"/>
        </w:numPr>
        <w:spacing w:after="36" w:before="36"/>
      </w:pPr>
      <w:r>
        <w:rPr>
          <w:rFonts w:ascii="Arial" w:cs="Arial" w:eastAsia="Arial" w:hAnsi="Arial"/>
          <w:sz w:val="20"/>
          <w:szCs w:val="20"/>
        </w:rPr>
        <w:t xml:space="preserve">Critico: El requerimiento es bloqueante. El proyecto no puede iniciar o la actividad no puede ejecutarse sin el.</w:t>
      </w:r>
    </w:p>
    <w:p>
      <w:pPr>
        <w:pStyle w:val="ListParagraph"/>
        <w:numPr>
          <w:ilvl w:val="0"/>
          <w:numId w:val="2"/>
        </w:numPr>
        <w:spacing w:after="36" w:before="36"/>
      </w:pPr>
      <w:r>
        <w:rPr>
          <w:rFonts w:ascii="Arial" w:cs="Arial" w:eastAsia="Arial" w:hAnsi="Arial"/>
          <w:sz w:val="20"/>
          <w:szCs w:val="20"/>
        </w:rPr>
        <w:t xml:space="preserve">Importante: El requerimiento impacta significativamente la calidad o seguridad del resultado. Su ausencia genera riesgo.</w:t>
      </w:r>
    </w:p>
    <w:p>
      <w:pPr>
        <w:pStyle w:val="ListParagraph"/>
        <w:numPr>
          <w:ilvl w:val="0"/>
          <w:numId w:val="2"/>
        </w:numPr>
        <w:spacing w:after="36" w:before="36"/>
      </w:pPr>
      <w:r>
        <w:rPr>
          <w:rFonts w:ascii="Arial" w:cs="Arial" w:eastAsia="Arial" w:hAnsi="Arial"/>
          <w:sz w:val="20"/>
          <w:szCs w:val="20"/>
        </w:rPr>
        <w:t xml:space="preserve">Deseable: Mejora la eficiencia del equipo pero no bloquea la ejecucion del proyecto.</w:t>
      </w:r>
    </w:p>
    <w:p>
      <w:pPr>
        <w:spacing w:after="40" w:before="40"/>
      </w:pPr>
      <w:r>
        <w:t xml:space="preserve"/>
      </w:r>
    </w:p>
    <w:p>
      <w:pPr>
        <w:spacing w:after="40" w:before="40"/>
      </w:pPr>
      <w:r>
        <w:t xml:space="preserve"/>
      </w:r>
    </w:p>
    <w:p>
      <w:r>
        <w:br w:type="page"/>
      </w:r>
    </w:p>
    <w:p>
      <w:pPr>
        <w:pStyle w:val="Heading2"/>
        <w:spacing w:after="100" w:before="280"/>
      </w:pPr>
      <w:r>
        <w:rPr>
          <w:rFonts w:ascii="Arial" w:cs="Arial" w:eastAsia="Arial" w:hAnsi="Arial"/>
          <w:b/>
          <w:bCs/>
          <w:color w:val="2E75B6"/>
          <w:sz w:val="26"/>
          <w:szCs w:val="26"/>
        </w:rPr>
        <w:t xml:space="preserve">1.2 Requerimientos Humanos</w:t>
      </w:r>
    </w:p>
    <w:p>
      <w:pPr>
        <w:spacing w:after="120" w:before="40"/>
        <w:jc w:val="left"/>
      </w:pPr>
      <w:r>
        <w:rPr>
          <w:rFonts w:ascii="Arial" w:cs="Arial" w:eastAsia="Arial" w:hAnsi="Arial"/>
          <w:b w:val="false"/>
          <w:bCs w:val="false"/>
          <w:color w:val="595959"/>
          <w:sz w:val="20"/>
          <w:szCs w:val="20"/>
        </w:rPr>
        <w:t xml:space="preserve">El proyecto requiere un equipo mixto compuesto por personal del partner externo y personal interno del tenant. La siguiente tabla define cada rol, sus responsabilidades, el perfil tecnico requerido y la dedicacion estimada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1360"/>
        <w:gridCol w:w="140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Rol</w:t>
            </w:r>
          </w:p>
        </w:tc>
        <w:tc>
          <w:tcPr>
            <w:tcW w:type="dxa" w:w="2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Responsabilidades Principales</w:t>
            </w:r>
          </w:p>
        </w:tc>
        <w:tc>
          <w:tcPr>
            <w:tcW w:type="dxa" w:w="22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Perfil / Habilidades Requeridas</w:t>
            </w:r>
          </w:p>
        </w:tc>
        <w:tc>
          <w:tcPr>
            <w:tcW w:type="dxa" w:w="13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Tipo</w:t>
            </w:r>
          </w:p>
        </w:tc>
        <w:tc>
          <w:tcPr>
            <w:tcW w:type="dxa" w:w="1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Dedicacion est.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Lider Tecnico Azure
(Externo)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Liderar la ejecucion tecnica de las actividades de mayor complejidad: cifrado de disco, migracion de VPN Gateway, alineacion de discos con AZ, configuracion de Defender.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Certificacion AZ-104 o AZ-500. Experiencia minima 3 años en Azure IaaS y Seguridad. Conocimiento de Azure CLI, ARM templates o Bicep.</w:t>
            </w:r>
          </w:p>
        </w:tc>
        <w:tc>
          <w:tcPr>
            <w:tcW w:type="dxa" w:w="136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60-80% durante Fase 1 y 2; 40% en Fase 3-4</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Cloud Architect
(Externo)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Validar que los cambios cumplen el Azure Well-Architected Framework. Aprobar disenos de alta disponibilidad (VMSS, Always On AG, VPN activo/activo) y revisar fichas tecnicas.</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Certificacion AZ-305 o AZ-700. Experiencia en arquitectura de soluciones multi-zona en Azure. Conocimiento de redes hibridas y SQL HA.</w:t>
            </w:r>
          </w:p>
        </w:tc>
        <w:tc>
          <w:tcPr>
            <w:tcW w:type="dxa" w:w="136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20-30% durante todo el proyecto; pico en Fase 3</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Ingeniero de Seguridad
(Externo)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Configurar Microsoft Defender CSPM, Defender for Storage, politicas de JIT, NSGs y preparar la hoja de ruta hacia Sentinel (Fase 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Certificacion SC-200 o AZ-500. Experiencia en Defender for Cloud, CSPM, analisis de postura de seguridad y respuesta a incidentes.</w:t>
            </w:r>
          </w:p>
        </w:tc>
        <w:tc>
          <w:tcPr>
            <w:tcW w:type="dxa" w:w="136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30-40% durante Fase 1; 10% en Fase 2-4</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Administrador de Infraestructura
(Interno)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Coordinar ventanas de mantenimiento, notificar a usuarios, ejecutar cambios de configuracion de bajo riesgo (TLS, alertas, Service Health, NSG), validar servicios post-cambio.</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Experiencia con Azure Portal y Azure CLI basico. Conocimiento del entorno de produccion y propietarios de cada aplicacion.</w:t>
            </w:r>
          </w:p>
        </w:tc>
        <w:tc>
          <w:tcPr>
            <w:tcW w:type="dxa" w:w="13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50-70% durante Fase 1 y 2; 30% en Fase 3-4</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Responsable de Redes
(Interno)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Coordinar la migracion del VPN Gateway con el equipo de red on-premises. Validar conectividad hibrida post-migracion y actualizar documentacion de red.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Conocimiento de VPN site-to-site, BGP y enrutamiento. Experiencia con el dispositivo VPN on-premises del tenant.</w:t>
            </w:r>
          </w:p>
        </w:tc>
        <w:tc>
          <w:tcPr>
            <w:tcW w:type="dxa" w:w="13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10% general; pico de 100% el dia de la migracion del VPN Gateway</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Responsable Financiero / Directivo
(Interno)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Aprobar la adquisicion del Savings Plan y Reserved Instances. Revisar el reporte mensual de ahorro y el KPI de costo.</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Acceso a Azure Cost Management. Autoridad para compromisos de gasto en Microsoft Azure.</w:t>
            </w:r>
          </w:p>
        </w:tc>
        <w:tc>
          <w:tcPr>
            <w:tcW w:type="dxa" w:w="13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5% general; reunion puntual para aprobacion de compra (Fase 2)</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Propietarios de Aplicacion
(Interno)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Aprobar las ventanas de mantenimiento para sus respectivas VMs. Validar que los servicios funcionan correctamente despues de cada cambio que requiera reinicio.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Conocimiento funcional de cada aplicacion hospedada en las VMs. Disponibilidad para pruebas post-cambio en horario de ventana.</w:t>
            </w:r>
          </w:p>
        </w:tc>
        <w:tc>
          <w:tcPr>
            <w:tcW w:type="dxa" w:w="13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Disponibilidad puntual por ventana de mantenimiento (~2h por VM)</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1F3864"/>
                <w:sz w:val="20"/>
                <w:szCs w:val="20"/>
              </w:rPr>
              <w:t xml:space="preserve">Coordinador del Proyecto
(Interno)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Dar seguimiento al plan, organizar reuniones semanales de avance, distribuir reportes de KPIs, gestionar la comunicacion entre el equipo interno y el partner externo.</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Habilidades de gestion de proyectos. Conocimiento basico del entorno Azure. Acceso a las herramientas de seguimiento del equipo.</w:t>
            </w:r>
          </w:p>
        </w:tc>
        <w:tc>
          <w:tcPr>
            <w:tcW w:type="dxa" w:w="13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20-30% durante todo el proyecto</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Consideraciones del Equipo</w:t>
      </w:r>
    </w:p>
    <w:p>
      <w:pPr>
        <w:pStyle w:val="ListParagraph"/>
        <w:numPr>
          <w:ilvl w:val="0"/>
          <w:numId w:val="2"/>
        </w:numPr>
        <w:spacing w:after="36" w:before="36"/>
      </w:pPr>
      <w:r>
        <w:rPr>
          <w:rFonts w:ascii="Arial" w:cs="Arial" w:eastAsia="Arial" w:hAnsi="Arial"/>
          <w:sz w:val="20"/>
          <w:szCs w:val="20"/>
        </w:rPr>
        <w:t xml:space="preserve">El Lider Tecnico Externo es el punto de contacto unico del partner para la ejecucion tecnica. Debe tener autoridad para tomar decisiones tecnicas en campo durante las ventanas de mantenimiento.</w:t>
      </w:r>
    </w:p>
    <w:p>
      <w:pPr>
        <w:pStyle w:val="ListParagraph"/>
        <w:numPr>
          <w:ilvl w:val="0"/>
          <w:numId w:val="2"/>
        </w:numPr>
        <w:spacing w:after="36" w:before="36"/>
      </w:pPr>
      <w:r>
        <w:rPr>
          <w:rFonts w:ascii="Arial" w:cs="Arial" w:eastAsia="Arial" w:hAnsi="Arial"/>
          <w:sz w:val="20"/>
          <w:szCs w:val="20"/>
        </w:rPr>
        <w:t xml:space="preserve">El Administrador de Infraestructura Interno es el punto de contacto del tenant. Es responsable de coordinar las ventanas de mantenimiento con los propietarios de cada aplicacion.</w:t>
      </w:r>
    </w:p>
    <w:p>
      <w:pPr>
        <w:pStyle w:val="ListParagraph"/>
        <w:numPr>
          <w:ilvl w:val="0"/>
          <w:numId w:val="2"/>
        </w:numPr>
        <w:spacing w:after="36" w:before="36"/>
      </w:pPr>
      <w:r>
        <w:rPr>
          <w:rFonts w:ascii="Arial" w:cs="Arial" w:eastAsia="Arial" w:hAnsi="Arial"/>
          <w:sz w:val="20"/>
          <w:szCs w:val="20"/>
        </w:rPr>
        <w:t xml:space="preserve">El Coordinador del Proyecto es responsable del seguimiento semanal del plan, la gestion de blockers y la comunicacion entre ambos equipos.</w:t>
      </w:r>
    </w:p>
    <w:p>
      <w:pPr>
        <w:pStyle w:val="ListParagraph"/>
        <w:numPr>
          <w:ilvl w:val="0"/>
          <w:numId w:val="2"/>
        </w:numPr>
        <w:spacing w:after="36" w:before="36"/>
      </w:pPr>
      <w:r>
        <w:rPr>
          <w:rFonts w:ascii="Arial" w:cs="Arial" w:eastAsia="Arial" w:hAnsi="Arial"/>
          <w:sz w:val="20"/>
          <w:szCs w:val="20"/>
        </w:rPr>
        <w:t xml:space="preserve">Los Propietarios de Aplicacion no forman parte del equipo de proyecto pero deben estar disponibles para aprobar ventanas de mantenimiento y validar sus servicios post-cambio.</w:t>
      </w:r>
    </w:p>
    <w:p>
      <w:pPr>
        <w:spacing w:after="40" w:before="40"/>
      </w:pPr>
      <w:r>
        <w:t xml:space="preserve"/>
      </w:r>
    </w:p>
    <w:p>
      <w:r>
        <w:br w:type="page"/>
      </w:r>
    </w:p>
    <w:p>
      <w:pPr>
        <w:pStyle w:val="Heading1"/>
        <w:pBdr>
          <w:bottom w:val="single" w:color="0078D4" w:sz="10" w:space="4"/>
        </w:pBdr>
        <w:spacing w:after="140" w:before="400"/>
      </w:pPr>
      <w:r>
        <w:rPr>
          <w:rFonts w:ascii="Arial" w:cs="Arial" w:eastAsia="Arial" w:hAnsi="Arial"/>
          <w:b/>
          <w:bCs/>
          <w:color w:val="1F3864"/>
          <w:sz w:val="34"/>
          <w:szCs w:val="34"/>
        </w:rPr>
        <w:t xml:space="preserve">2. Alcance del Proyecto</w:t>
      </w:r>
    </w:p>
    <w:p>
      <w:pPr>
        <w:spacing w:after="60" w:before="60"/>
        <w:jc w:val="left"/>
      </w:pPr>
      <w:r>
        <w:rPr>
          <w:rFonts w:ascii="Arial" w:cs="Arial" w:eastAsia="Arial" w:hAnsi="Arial"/>
          <w:b w:val="false"/>
          <w:bCs w:val="false"/>
          <w:color w:val="000000"/>
          <w:sz w:val="20"/>
          <w:szCs w:val="20"/>
        </w:rPr>
        <w:t xml:space="preserve">El alcance define el conjunto de actividades, entregables y recursos que estan formalmente incluidos en el Plan de Implementacion de Azure Advisor. Todo lo que no este listado en esta seccion se considera fuera de alcance (ver Seccion 3).</w:t>
      </w:r>
    </w:p>
    <w:p>
      <w:pPr>
        <w:spacing w:after="40" w:before="40"/>
      </w:pPr>
      <w:r>
        <w:t xml:space="preserve"/>
      </w:r>
    </w:p>
    <w:p>
      <w:pPr>
        <w:pStyle w:val="Heading2"/>
        <w:spacing w:after="100" w:before="280"/>
      </w:pPr>
      <w:r>
        <w:rPr>
          <w:rFonts w:ascii="Arial" w:cs="Arial" w:eastAsia="Arial" w:hAnsi="Arial"/>
          <w:b/>
          <w:bCs/>
          <w:color w:val="2E75B6"/>
          <w:sz w:val="26"/>
          <w:szCs w:val="26"/>
        </w:rPr>
        <w:t xml:space="preserve">2.1 Descripcion General del Alcance</w:t>
      </w:r>
    </w:p>
    <w:p>
      <w:pPr>
        <w:spacing w:after="60" w:before="60"/>
        <w:jc w:val="left"/>
      </w:pPr>
      <w:r>
        <w:rPr>
          <w:rFonts w:ascii="Arial" w:cs="Arial" w:eastAsia="Arial" w:hAnsi="Arial"/>
          <w:b w:val="false"/>
          <w:bCs w:val="false"/>
          <w:color w:val="000000"/>
          <w:sz w:val="20"/>
          <w:szCs w:val="20"/>
        </w:rPr>
        <w:t xml:space="preserve">El proyecto abarca la remediacion de las 150 recomendaciones activas de Azure Advisor en la suscripcion Azure subscription 1, organizadas en cuatro categorias: Seguridad (66), Confiabilidad (57), Excelencia Operativa (17) y Costo (10). El alcance incluye exclusivamente los recursos de esta suscripcion y cubre desde la configuracion de controles de seguridad hasta la adquisicion de compromisos de costo y la mejora de la resiliencia de la infraestructura.</w:t>
      </w:r>
    </w:p>
    <w:p>
      <w:pPr>
        <w:spacing w:after="40" w:before="40"/>
      </w:pPr>
      <w:r>
        <w:t xml:space="preserve"/>
      </w:r>
    </w:p>
    <w:p>
      <w:pPr>
        <w:pStyle w:val="Heading2"/>
        <w:spacing w:after="100" w:before="280"/>
      </w:pPr>
      <w:r>
        <w:rPr>
          <w:rFonts w:ascii="Arial" w:cs="Arial" w:eastAsia="Arial" w:hAnsi="Arial"/>
          <w:b/>
          <w:bCs/>
          <w:color w:val="2E75B6"/>
          <w:sz w:val="26"/>
          <w:szCs w:val="26"/>
        </w:rPr>
        <w:t xml:space="preserve">2.2 Recursos Dentro del Alcance</w:t>
      </w:r>
    </w:p>
    <w:p>
      <w:pPr>
        <w:pStyle w:val="Heading3"/>
        <w:spacing w:after="80" w:before="200"/>
      </w:pPr>
      <w:r>
        <w:rPr>
          <w:rFonts w:ascii="Arial" w:cs="Arial" w:eastAsia="Arial" w:hAnsi="Arial"/>
          <w:b/>
          <w:bCs/>
          <w:color w:val="1F6B75"/>
          <w:sz w:val="22"/>
          <w:szCs w:val="22"/>
        </w:rPr>
        <w:t xml:space="preserve">Maquinas Virtuales (VMs)</w:t>
      </w:r>
    </w:p>
    <w:p>
      <w:pPr>
        <w:pStyle w:val="ListParagraph"/>
        <w:numPr>
          <w:ilvl w:val="0"/>
          <w:numId w:val="2"/>
        </w:numPr>
        <w:spacing w:after="36" w:before="36"/>
      </w:pPr>
      <w:r>
        <w:rPr>
          <w:rFonts w:ascii="Arial" w:cs="Arial" w:eastAsia="Arial" w:hAnsi="Arial"/>
          <w:sz w:val="20"/>
          <w:szCs w:val="20"/>
        </w:rPr>
        <w:t xml:space="preserve">glm-comer, glm-huam, glm-intel, glm-lara, glm-prov — VMs de produccion en westus</w:t>
      </w:r>
    </w:p>
    <w:p>
      <w:pPr>
        <w:pStyle w:val="ListParagraph"/>
        <w:numPr>
          <w:ilvl w:val="0"/>
          <w:numId w:val="2"/>
        </w:numPr>
        <w:spacing w:after="36" w:before="36"/>
      </w:pPr>
      <w:r>
        <w:rPr>
          <w:rFonts w:ascii="Arial" w:cs="Arial" w:eastAsia="Arial" w:hAnsi="Arial"/>
          <w:sz w:val="20"/>
          <w:szCs w:val="20"/>
        </w:rPr>
        <w:t xml:space="preserve">bi-glm, glm-supercep — VMs con SQL Server (SQL Virtual Machine)</w:t>
      </w:r>
    </w:p>
    <w:p>
      <w:pPr>
        <w:pStyle w:val="ListParagraph"/>
        <w:numPr>
          <w:ilvl w:val="0"/>
          <w:numId w:val="2"/>
        </w:numPr>
        <w:spacing w:after="36" w:before="36"/>
      </w:pPr>
      <w:r>
        <w:rPr>
          <w:rFonts w:ascii="Arial" w:cs="Arial" w:eastAsia="Arial" w:hAnsi="Arial"/>
          <w:sz w:val="20"/>
          <w:szCs w:val="20"/>
        </w:rPr>
        <w:t xml:space="preserve">fgt — VM infrautilizada candidata a right-sizing</w:t>
      </w:r>
    </w:p>
    <w:p>
      <w:pPr>
        <w:pStyle w:val="ListParagraph"/>
        <w:numPr>
          <w:ilvl w:val="0"/>
          <w:numId w:val="2"/>
        </w:numPr>
        <w:spacing w:after="36" w:before="36"/>
      </w:pPr>
      <w:r>
        <w:rPr>
          <w:rFonts w:ascii="Arial" w:cs="Arial" w:eastAsia="Arial" w:hAnsi="Arial"/>
          <w:sz w:val="20"/>
          <w:szCs w:val="20"/>
        </w:rPr>
        <w:t xml:space="preserve">asp — VM con NIC sin salida explicita</w:t>
      </w:r>
    </w:p>
    <w:p>
      <w:pPr>
        <w:pStyle w:val="Heading3"/>
        <w:spacing w:after="80" w:before="200"/>
      </w:pPr>
      <w:r>
        <w:rPr>
          <w:rFonts w:ascii="Arial" w:cs="Arial" w:eastAsia="Arial" w:hAnsi="Arial"/>
          <w:b/>
          <w:bCs/>
          <w:color w:val="1F6B75"/>
          <w:sz w:val="22"/>
          <w:szCs w:val="22"/>
        </w:rPr>
        <w:t xml:space="preserve">Almacenamiento</w:t>
      </w:r>
    </w:p>
    <w:p>
      <w:pPr>
        <w:pStyle w:val="ListParagraph"/>
        <w:numPr>
          <w:ilvl w:val="0"/>
          <w:numId w:val="2"/>
        </w:numPr>
        <w:spacing w:after="36" w:before="36"/>
      </w:pPr>
      <w:r>
        <w:rPr>
          <w:rFonts w:ascii="Arial" w:cs="Arial" w:eastAsia="Arial" w:hAnsi="Arial"/>
          <w:sz w:val="20"/>
          <w:szCs w:val="20"/>
        </w:rPr>
        <w:t xml:space="preserve">Cuentas de almacenamiento: azurebackuprgwestus1d115, morenafs</w:t>
      </w:r>
    </w:p>
    <w:p>
      <w:pPr>
        <w:pStyle w:val="ListParagraph"/>
        <w:numPr>
          <w:ilvl w:val="0"/>
          <w:numId w:val="2"/>
        </w:numPr>
        <w:spacing w:after="36" w:before="36"/>
      </w:pPr>
      <w:r>
        <w:rPr>
          <w:rFonts w:ascii="Arial" w:cs="Arial" w:eastAsia="Arial" w:hAnsi="Arial"/>
          <w:sz w:val="20"/>
          <w:szCs w:val="20"/>
        </w:rPr>
        <w:t xml:space="preserve">Discos huerfanos: glm-bi-sql-west_datadisk 0, 1, 2 y glm-supercep-sql-west_datadisk 0, 1, 2</w:t>
      </w:r>
    </w:p>
    <w:p>
      <w:pPr>
        <w:pStyle w:val="Heading3"/>
        <w:spacing w:after="80" w:before="200"/>
      </w:pPr>
      <w:r>
        <w:rPr>
          <w:rFonts w:ascii="Arial" w:cs="Arial" w:eastAsia="Arial" w:hAnsi="Arial"/>
          <w:b/>
          <w:bCs/>
          <w:color w:val="1F6B75"/>
          <w:sz w:val="22"/>
          <w:szCs w:val="22"/>
        </w:rPr>
        <w:t xml:space="preserve">Redes</w:t>
      </w:r>
    </w:p>
    <w:p>
      <w:pPr>
        <w:pStyle w:val="ListParagraph"/>
        <w:numPr>
          <w:ilvl w:val="0"/>
          <w:numId w:val="2"/>
        </w:numPr>
        <w:spacing w:after="36" w:before="36"/>
      </w:pPr>
      <w:r>
        <w:rPr>
          <w:rFonts w:ascii="Arial" w:cs="Arial" w:eastAsia="Arial" w:hAnsi="Arial"/>
          <w:sz w:val="20"/>
          <w:szCs w:val="20"/>
        </w:rPr>
        <w:t xml:space="preserve">VPN Gateway: redvirtualgateway (lamorena-virtualnetwork)</w:t>
      </w:r>
    </w:p>
    <w:p>
      <w:pPr>
        <w:pStyle w:val="ListParagraph"/>
        <w:numPr>
          <w:ilvl w:val="0"/>
          <w:numId w:val="2"/>
        </w:numPr>
        <w:spacing w:after="36" w:before="36"/>
      </w:pPr>
      <w:r>
        <w:rPr>
          <w:rFonts w:ascii="Arial" w:cs="Arial" w:eastAsia="Arial" w:hAnsi="Arial"/>
          <w:sz w:val="20"/>
          <w:szCs w:val="20"/>
        </w:rPr>
        <w:t xml:space="preserve">VNets: redvirtualazure, glm-bi-sql-vnet, azurebackuprg_westus_1-vnet</w:t>
      </w:r>
    </w:p>
    <w:p>
      <w:pPr>
        <w:pStyle w:val="ListParagraph"/>
        <w:numPr>
          <w:ilvl w:val="0"/>
          <w:numId w:val="2"/>
        </w:numPr>
        <w:spacing w:after="36" w:before="36"/>
      </w:pPr>
      <w:r>
        <w:rPr>
          <w:rFonts w:ascii="Arial" w:cs="Arial" w:eastAsia="Arial" w:hAnsi="Arial"/>
          <w:sz w:val="20"/>
          <w:szCs w:val="20"/>
        </w:rPr>
        <w:t xml:space="preserve">NICs: asp18, glm-comer932, glm-huam48, glm-intelisis441, glm-lara666, glm-prov457</w:t>
      </w:r>
    </w:p>
    <w:p>
      <w:pPr>
        <w:pStyle w:val="Heading3"/>
        <w:spacing w:after="80" w:before="200"/>
      </w:pPr>
      <w:r>
        <w:rPr>
          <w:rFonts w:ascii="Arial" w:cs="Arial" w:eastAsia="Arial" w:hAnsi="Arial"/>
          <w:b/>
          <w:bCs/>
          <w:color w:val="1F6B75"/>
          <w:sz w:val="22"/>
          <w:szCs w:val="22"/>
        </w:rPr>
        <w:t xml:space="preserve">Seguridad y Operaciones</w:t>
      </w:r>
    </w:p>
    <w:p>
      <w:pPr>
        <w:pStyle w:val="ListParagraph"/>
        <w:numPr>
          <w:ilvl w:val="0"/>
          <w:numId w:val="2"/>
        </w:numPr>
        <w:spacing w:after="36" w:before="36"/>
      </w:pPr>
      <w:r>
        <w:rPr>
          <w:rFonts w:ascii="Arial" w:cs="Arial" w:eastAsia="Arial" w:hAnsi="Arial"/>
          <w:sz w:val="20"/>
          <w:szCs w:val="20"/>
        </w:rPr>
        <w:t xml:space="preserve">Almacen de Recovery Services: respaldosmaquinasvirtuales</w:t>
      </w:r>
    </w:p>
    <w:p>
      <w:pPr>
        <w:pStyle w:val="ListParagraph"/>
        <w:numPr>
          <w:ilvl w:val="0"/>
          <w:numId w:val="2"/>
        </w:numPr>
        <w:spacing w:after="36" w:before="36"/>
      </w:pPr>
      <w:r>
        <w:rPr>
          <w:rFonts w:ascii="Arial" w:cs="Arial" w:eastAsia="Arial" w:hAnsi="Arial"/>
          <w:sz w:val="20"/>
          <w:szCs w:val="20"/>
        </w:rPr>
        <w:t xml:space="preserve">Suscripcion completa: configuracion de Defender, Advisor Score, Service Health, politicas</w:t>
      </w:r>
    </w:p>
    <w:p>
      <w:pPr>
        <w:spacing w:after="40" w:before="40"/>
      </w:pPr>
      <w:r>
        <w:t xml:space="preserve"/>
      </w:r>
    </w:p>
    <w:p>
      <w:pPr>
        <w:pStyle w:val="Heading2"/>
        <w:spacing w:after="100" w:before="280"/>
      </w:pPr>
      <w:r>
        <w:rPr>
          <w:rFonts w:ascii="Arial" w:cs="Arial" w:eastAsia="Arial" w:hAnsi="Arial"/>
          <w:b/>
          <w:bCs/>
          <w:color w:val="2E75B6"/>
          <w:sz w:val="26"/>
          <w:szCs w:val="26"/>
        </w:rPr>
        <w:t xml:space="preserve">2.3 Tabla de Actividades y Entregables</w:t>
      </w:r>
    </w:p>
    <w:p>
      <w:pPr>
        <w:spacing w:after="120" w:before="40"/>
        <w:jc w:val="left"/>
      </w:pPr>
      <w:r>
        <w:rPr>
          <w:rFonts w:ascii="Arial" w:cs="Arial" w:eastAsia="Arial" w:hAnsi="Arial"/>
          <w:b w:val="false"/>
          <w:bCs w:val="false"/>
          <w:color w:val="595959"/>
          <w:sz w:val="20"/>
          <w:szCs w:val="20"/>
        </w:rPr>
        <w:t xml:space="preserve">La siguiente tabla lista cada actividad incluida en el alcance del proyecto, su estado (Incluido o Condicional) y la categoria de Azure Advisor a la que corresponde.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1560"/>
        <w:gridCol w:w="180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Actividad / Entregable</w:t>
            </w:r>
          </w:p>
        </w:tc>
        <w:tc>
          <w:tcPr>
            <w:tcW w:type="dxa" w:w="3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15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Estado</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Categoria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cifrado de disco en 14 VMs (ADE / EncryptionAtHost)</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Cifrado completo de discos OS y de datos en reposo en todas las VMs listadas: glm-comer, glm-huam, glm-intel, glm-lara, glm-prov, bi-glm, glm-supercep, fgt y otras. Incluye creacion o validacion del Azure Key Vault.</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A-02</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acceso Just-In-Time (JIT) en puertos RDP y SSH</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Habilitacion de JIT en todas las VMs con puertos 3389 y 22 expuestos. Incluye configuracion de politicas de tiempo maximo de acceso e IPs de origen autorizadas.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Revision y endurecimiento de reglas en Network Security Groups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Auditoria y actualizacion de reglas de NSG para aplicar principio de minimo privilegio. Eliminacion de reglas con rangos de IP excesivamente amplios.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A-04</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de TLS 1.0/1.1 a TLS 1.2 en Storage Accounts</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Actualizacion de la version minima de TLS en azurebackuprgwestus1d115 y morenafs. Incluye validacion de clientes conectados antes del cambio.</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Microsoft Defender CSPM, Defender for Storage y Defender for Resource Manager</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Activacion de los planes de Defender a nivel de suscripcion. Incluye configuracion de notificaciones de correo y revision del Secure Score inicial.</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A-06</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alertas de Azure Service Health</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Creacion de alertas de Service Health a nivel de suscripcion para interrupciones, mantenimientos programados y cambios de servicio.</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A-07</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VM Insights en 9 VMs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Instalacion del agente Azure Monitor y configuracion de reglas de recopilacion de datos (DCR) en bi-glm, asp, glm-comer, glm-huam, glm-intel, glm-lara, glm-prov, fgt y glm-supercep.</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Excelencia Operativa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A-08</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Azure Update Manager</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Definicion de politicas de evaluacion periodica y ventanas de aplicacion de parches en todas las VMs afectadas.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A-09</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Adquisicion del Azure Savings Plan de 1 año</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Compra del Savings Plan con el monto de compromiso recomendado por Azure, previa validacion del consumo historico de 90 dias.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Costo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A-10</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Contratacion de Reserved Instances para VMs SQL y de produccion</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Adquisicion de RI de 1 año para las VMs bi-glm, glm-intelisis y glm-supercep con uso continuo 24/7.</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Costo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Alineacion de discos con zonas de disponibilidad de cada VM</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Migracion de discos OS y de datos de las 8 VMs afectadas a la zona de disponibilidad de su VM. Incluye toma de snapshots previos y validacion post-migracion.</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A-12</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Revision y gestion de discos huerfanos</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Validacion con propietarios y eliminacion (o archivado como snapshot) de los 6 discos sin VM asociada: glm-bi-sql-west_datadisk 0-2 y glm-supercep-sql-west_datadisk 0-2.</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Costo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NAT Gateway y metodo de salida explicito en NICs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Despliegue de NAT Gateway en las VNets afectadas y asociacion a las 6 NICs sin salida explicita.</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Excelencia Operativa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A-14</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Deshabilitacion de IP forwarding y acceso publico en Storage</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Desactivacion de IP forwarding en NICs donde no sea requerido. Deshabilitacion de acceso publico y claves compartidas en Storage Accounts.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de alertas de Backup a Azure Monitor</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Actualizacion del almacen de Recovery Services para usar Azure Monitor en lugar del sistema de alertas clasico.</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Excelencia Operativa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A-16</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del VPN Gateway al SKU con zonas de disponibilidad</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Actualizacion del gateway redvirtualgateway de SKU VpnGw1-5 a VpnGw1AZ o superior. Incluye validacion de IP publica y notificacion al equipo de red on-premises.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A-17</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Distribucion de VMs SQL en zonas de disponibilidad</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Implementacion de Always On Availability Groups entre zonas para las VMs bi-glm, glm-intelisis y glm-supercep.</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A-18</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redundancia ZRS en Storage Accounts criticos</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Cambio de replicacion LRS a ZRS en azurebackuprgwestus1d115 y morenafs.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A-19</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Ejecucion del SQL Best Practices Assessment en glm-supercep</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Instalacion y ejecucion de la extension de evaluacion de mejores practicas de SQL Server. Revision y documentacion de resultados.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Excelencia Operativa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A-20</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Evaluacion de migracion a VMSS Flex (Fase 4)</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Analisis de candidatos para migracion a Virtual Machine Scale Sets Flex. Ejecucion condicional segun aprobacion del equipo tecnico y propietarios de aplicacion.</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Condicional</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Confiabilidad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A-21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Implementacion de Azure Policy (CIS / NIST)</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Despliegue de iniciativas de cumplimiento continuo para garantizar que los nuevos recursos cumplan los estandares de seguridad definidos.</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Seguridad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A-22</w:t>
            </w:r>
          </w:p>
        </w:tc>
        <w:tc>
          <w:tcPr>
            <w:tcW w:type="dxa" w:w="22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Documentacion tecnica de cada cambio ejecutado</w:t>
            </w:r>
          </w:p>
        </w:tc>
        <w:tc>
          <w:tcPr>
            <w:tcW w:type="dxa" w:w="3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Registro de configuracion previa, acciones ejecutadas, evidencias de validacion y estado post-cambio para cada actividad del plan.</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Gobernanza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A-23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Reportes periodicos de avance y KPIs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Generacion de reporte semanal de avance del plan y reporte mensual de Advisor Score, Secure Score y ahorro acumulado.</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Incluido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Gobernanza</w:t>
            </w:r>
          </w:p>
        </w:tc>
      </w:tr>
    </w:tbl>
    <w:p>
      <w:pPr>
        <w:spacing w:after="40" w:before="40"/>
      </w:pPr>
      <w:r>
        <w:t xml:space="preserve"/>
      </w:r>
    </w:p>
    <w:p>
      <w:pPr>
        <w:spacing w:after="60" w:before="60"/>
        <w:jc w:val="left"/>
      </w:pPr>
      <w:r>
        <w:rPr>
          <w:rFonts w:ascii="Arial" w:cs="Arial" w:eastAsia="Arial" w:hAnsi="Arial"/>
          <w:b w:val="false"/>
          <w:bCs w:val="false"/>
          <w:color w:val="595959"/>
          <w:sz w:val="20"/>
          <w:szCs w:val="20"/>
        </w:rPr>
        <w:t xml:space="preserve">(*) Actividades marcadas como Condicional estan sujetas a aprobacion del equipo tecnico y propietarios de aplicacion al momento de su ejecucion.</w:t>
      </w:r>
    </w:p>
    <w:p>
      <w:pPr>
        <w:spacing w:after="40" w:before="40"/>
      </w:pPr>
      <w:r>
        <w:t xml:space="preserve"/>
      </w:r>
    </w:p>
    <w:p>
      <w:r>
        <w:br w:type="page"/>
      </w:r>
    </w:p>
    <w:p>
      <w:pPr>
        <w:pStyle w:val="Heading1"/>
        <w:pBdr>
          <w:bottom w:val="single" w:color="0078D4" w:sz="10" w:space="4"/>
        </w:pBdr>
        <w:spacing w:after="140" w:before="400"/>
      </w:pPr>
      <w:r>
        <w:rPr>
          <w:rFonts w:ascii="Arial" w:cs="Arial" w:eastAsia="Arial" w:hAnsi="Arial"/>
          <w:b/>
          <w:bCs/>
          <w:color w:val="1F3864"/>
          <w:sz w:val="34"/>
          <w:szCs w:val="34"/>
        </w:rPr>
        <w:t xml:space="preserve">3. Fuera de Alcance</w:t>
      </w:r>
    </w:p>
    <w:p>
      <w:pPr>
        <w:spacing w:after="60" w:before="60"/>
        <w:jc w:val="left"/>
      </w:pPr>
      <w:r>
        <w:rPr>
          <w:rFonts w:ascii="Arial" w:cs="Arial" w:eastAsia="Arial" w:hAnsi="Arial"/>
          <w:b w:val="false"/>
          <w:bCs w:val="false"/>
          <w:color w:val="000000"/>
          <w:sz w:val="20"/>
          <w:szCs w:val="20"/>
        </w:rPr>
        <w:t xml:space="preserve">La siguiente seccion define explicitamente los elementos que NO forman parte del Plan de Implementacion de Azure Advisor. Su inclusion en el documento tiene como objetivo evitar expectativas incorrectas y delimitar claramente las responsabilidades del equipo del proyecto.</w:t>
      </w:r>
    </w:p>
    <w:p>
      <w:pPr>
        <w:spacing w:after="120" w:before="40"/>
        <w:jc w:val="left"/>
      </w:pPr>
      <w:r>
        <w:rPr>
          <w:rFonts w:ascii="Arial" w:cs="Arial" w:eastAsia="Arial" w:hAnsi="Arial"/>
          <w:b w:val="false"/>
          <w:bCs w:val="false"/>
          <w:color w:val="595959"/>
          <w:sz w:val="20"/>
          <w:szCs w:val="20"/>
        </w:rPr>
        <w:t xml:space="preserve">Cualquier actividad no listada en la Seccion 2 (Alcance) ni en esta seccion debe tratarse como fuera de alcance por defecto y debe gestionarse formalmente como una solicitud de cambio (change request) si se desea incorporar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0"/>
        <w:gridCol w:w="2560"/>
      </w:tblGrid>
      <w:tr>
        <w:tc>
          <w:tcPr>
            <w:tcW w:type="dxa" w:w="4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Elemento Fuera de Alcance</w:t>
            </w:r>
          </w:p>
        </w:tc>
        <w:tc>
          <w:tcPr>
            <w:tcW w:type="dxa" w:w="40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Justificacion</w:t>
            </w:r>
          </w:p>
        </w:tc>
        <w:tc>
          <w:tcPr>
            <w:tcW w:type="dxa" w:w="256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Alternativa / Recomendacion</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o rediseno de aplicaciones (refactoring)</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proyecto se limita a optimizar la infraestructura existente conforme a las recomendaciones de Azure Advisor. No contempla cambios en el codigo fuente ni arquitectura de aplicaciones.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Puede considerarse en un proyecto separado de modernizacion de aplicaciones (App Service, containers, PaaS).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F-02</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Implementacion de Microsoft Sentinel (SIEM/SOAR)</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Sentinel requiere diseno de casos de uso de deteccion, reglas de analitica y playbooks de respuesta, lo que escapa al alcance de las recomendaciones de Advisor.</w:t>
            </w:r>
          </w:p>
        </w:tc>
        <w:tc>
          <w:tcPr>
            <w:tcW w:type="dxa" w:w="25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incluye como actividad de Fase 4 (evaluacion). Su implementacion formal es un proyecto independiente con alcance propio.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Azure DevOps o pipelines de CI/CD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Infrastructure as Code (Bicep/Terraform) y pipelines de despliegue continuo corresponden a un proyecto de madurez DevOps, no a la remediacion de Advisor.</w:t>
            </w:r>
          </w:p>
        </w:tc>
        <w:tc>
          <w:tcPr>
            <w:tcW w:type="dxa" w:w="2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Documentado en Fase 4 como actividad deseable. Requiere definicion de un proyecto propio con alcance de IaC.</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F-04</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Gestion de recursos en otras suscripciones o tenants</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plan se limita exclusivamente a la suscripcion Azure subscription 1 (9d81a980-...). Otras suscripciones del tenant, si existen, requieren un analisis independiente.</w:t>
            </w:r>
          </w:p>
        </w:tc>
        <w:tc>
          <w:tcPr>
            <w:tcW w:type="dxa" w:w="25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Ejecutar Azure Advisor en cada suscripcion adicional y generar un plan de implementacion equivalente.</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Soporte o administracion de servicios on-premises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Las actividades del plan son exclusivamente para recursos alojados en Azure. La infraestructura fisica o virtual on-premises no esta dentro del alcance.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equipo de red on-premises debe colaborar unicamente durante la migracion del VPN Gateway para validar la conectividad.</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F-06</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Desarrollo de scripts de automatizacion personalizados a medida</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plan utiliza herramientas nativas de Azure (Azure CLI, Portal, Azure Automation con runbooks estandar). No contempla desarrollo de software o scripts complejos a medida.</w:t>
            </w:r>
          </w:p>
        </w:tc>
        <w:tc>
          <w:tcPr>
            <w:tcW w:type="dxa" w:w="25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En Fase 4 se puede evaluar la creacion de runbooks especificos; este esfuerzo debe estimarse por separado.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Implementacion de Azure Virtual Desktop (AVD) o DaaS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No forma parte de las recomendaciones del Advisor ni del perimetro del proyecto actual.</w:t>
            </w:r>
          </w:p>
        </w:tc>
        <w:tc>
          <w:tcPr>
            <w:tcW w:type="dxa" w:w="2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Si existe necesidad de escritorios virtuales, debe abordarse como un proyecto independiente.</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F-08</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Recuperacion ante desastres con Azure Site Recovery (ASR)</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ASR requiere diseno de topologia de failover, pruebas de conmutacion y definicion de RTO/RPO formales, lo que excede las recomendaciones de Advisor.</w:t>
            </w:r>
          </w:p>
        </w:tc>
        <w:tc>
          <w:tcPr>
            <w:tcW w:type="dxa" w:w="25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recomienda incluir ASR en la hoja de ruta de confiabilidad como proyecto de largo plazo, posterior a la alineacion zonal.</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F-09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Administracion de licencias de Microsoft 365 o Entra ID Premium</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proyecto se circunscribe a recursos de Azure IaaS y PaaS. La gestion de licencias de M365 o Entra ID P1/P2 es responsabilidad del administrador del tenant de Entra ID.</w:t>
            </w:r>
          </w:p>
        </w:tc>
        <w:tc>
          <w:tcPr>
            <w:tcW w:type="dxa" w:w="2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Verificar que MFA y Conditional Access esten activos en Entra ID como prerequisito de seguridad del proyecto.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F-10</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Atencion a incidentes de produccion no relacionados con el plan</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equipo del proyecto no tendra responsabilidad operativa sobre incidentes de produccion existentes que no esten vinculados directamente a las actividades del plan.</w:t>
            </w:r>
          </w:p>
        </w:tc>
        <w:tc>
          <w:tcPr>
            <w:tcW w:type="dxa" w:w="25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Los incidentes se escalan al equipo de TI interno segun los procesos operativos establecidos del tenant.</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Proceso de Gestion de Cambios</w:t>
      </w:r>
    </w:p>
    <w:p>
      <w:pPr>
        <w:spacing w:after="80" w:before="40"/>
        <w:jc w:val="left"/>
      </w:pPr>
      <w:r>
        <w:rPr>
          <w:rFonts w:ascii="Arial" w:cs="Arial" w:eastAsia="Arial" w:hAnsi="Arial"/>
          <w:b w:val="false"/>
          <w:bCs w:val="false"/>
          <w:color w:val="000000"/>
          <w:sz w:val="20"/>
          <w:szCs w:val="20"/>
        </w:rPr>
        <w:t xml:space="preserve">Si durante la ejecucion del proyecto se identifica la necesidad de incluir un elemento actualmente fuera de alcance, el proceso a seguir es:</w:t>
      </w:r>
    </w:p>
    <w:p>
      <w:pPr>
        <w:pStyle w:val="ListParagraph"/>
        <w:numPr>
          <w:ilvl w:val="0"/>
          <w:numId w:val="3"/>
        </w:numPr>
        <w:spacing w:after="36" w:before="36"/>
      </w:pPr>
      <w:r>
        <w:rPr>
          <w:rFonts w:ascii="Arial" w:cs="Arial" w:eastAsia="Arial" w:hAnsi="Arial"/>
          <w:sz w:val="20"/>
          <w:szCs w:val="20"/>
        </w:rPr>
        <w:t xml:space="preserve">El solicitante (interno o externo) documenta la solicitud de cambio indicando: descripcion, justificacion, impacto en tiempo y costo estimados.</w:t>
      </w:r>
    </w:p>
    <w:p>
      <w:pPr>
        <w:pStyle w:val="ListParagraph"/>
        <w:numPr>
          <w:ilvl w:val="0"/>
          <w:numId w:val="3"/>
        </w:numPr>
        <w:spacing w:after="36" w:before="36"/>
      </w:pPr>
      <w:r>
        <w:rPr>
          <w:rFonts w:ascii="Arial" w:cs="Arial" w:eastAsia="Arial" w:hAnsi="Arial"/>
          <w:sz w:val="20"/>
          <w:szCs w:val="20"/>
        </w:rPr>
        <w:t xml:space="preserve">El Coordinador del Proyecto evalua el impacto en el cronograma y presupuesto con el Lider Tecnico Externo.</w:t>
      </w:r>
    </w:p>
    <w:p>
      <w:pPr>
        <w:pStyle w:val="ListParagraph"/>
        <w:numPr>
          <w:ilvl w:val="0"/>
          <w:numId w:val="3"/>
        </w:numPr>
        <w:spacing w:after="36" w:before="36"/>
      </w:pPr>
      <w:r>
        <w:rPr>
          <w:rFonts w:ascii="Arial" w:cs="Arial" w:eastAsia="Arial" w:hAnsi="Arial"/>
          <w:sz w:val="20"/>
          <w:szCs w:val="20"/>
        </w:rPr>
        <w:t xml:space="preserve">El Administrador de Infraestructura Interno presenta la solicitud a la direccion para aprobacion.</w:t>
      </w:r>
    </w:p>
    <w:p>
      <w:pPr>
        <w:pStyle w:val="ListParagraph"/>
        <w:numPr>
          <w:ilvl w:val="0"/>
          <w:numId w:val="3"/>
        </w:numPr>
        <w:spacing w:after="36" w:before="36"/>
      </w:pPr>
      <w:r>
        <w:rPr>
          <w:rFonts w:ascii="Arial" w:cs="Arial" w:eastAsia="Arial" w:hAnsi="Arial"/>
          <w:sz w:val="20"/>
          <w:szCs w:val="20"/>
        </w:rPr>
        <w:t xml:space="preserve">Si se aprueba, se actualiza el alcance del proyecto, el cronograma y los documentos afectados.</w:t>
      </w:r>
    </w:p>
    <w:p>
      <w:pPr>
        <w:spacing w:after="40" w:before="40"/>
      </w:pPr>
      <w:r>
        <w:t xml:space="preserve"/>
      </w:r>
    </w:p>
    <w:p>
      <w:r>
        <w:br w:type="page"/>
      </w:r>
    </w:p>
    <w:p>
      <w:pPr>
        <w:pStyle w:val="Heading1"/>
        <w:pBdr>
          <w:bottom w:val="single" w:color="0078D4" w:sz="10" w:space="4"/>
        </w:pBdr>
        <w:spacing w:after="140" w:before="400"/>
      </w:pPr>
      <w:r>
        <w:rPr>
          <w:rFonts w:ascii="Arial" w:cs="Arial" w:eastAsia="Arial" w:hAnsi="Arial"/>
          <w:b/>
          <w:bCs/>
          <w:color w:val="1F3864"/>
          <w:sz w:val="34"/>
          <w:szCs w:val="34"/>
        </w:rPr>
        <w:t xml:space="preserve">4. Supuestos del Proyecto</w:t>
      </w:r>
    </w:p>
    <w:p>
      <w:pPr>
        <w:spacing w:after="60" w:before="60"/>
        <w:jc w:val="left"/>
      </w:pPr>
      <w:r>
        <w:rPr>
          <w:rFonts w:ascii="Arial" w:cs="Arial" w:eastAsia="Arial" w:hAnsi="Arial"/>
          <w:b w:val="false"/>
          <w:bCs w:val="false"/>
          <w:color w:val="000000"/>
          <w:sz w:val="20"/>
          <w:szCs w:val="20"/>
        </w:rPr>
        <w:t xml:space="preserve">Los supuestos son condiciones que se asumen como verdaderas para efectos de la planificacion del proyecto. Si alguno de estos supuestos resulta incorrecto, el plan puede requerir ajustes en alcance, cronograma o presupuesto. Cada supuesto incluye el impacto esperado si no se cumple.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500"/>
        <w:gridCol w:w="286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w:t>
            </w:r>
          </w:p>
        </w:tc>
        <w:tc>
          <w:tcPr>
            <w:tcW w:type="dxa" w:w="2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Supuesto</w:t>
            </w:r>
          </w:p>
        </w:tc>
        <w:tc>
          <w:tcPr>
            <w:tcW w:type="dxa" w:w="35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28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Impacto si no se cumple</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Los recursos listados en Advisor son representativos del estado actual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analisis se basa en el reporte de Azure Advisor del 5 de junio de 2026. Se asume que la infraestructura no ha tenido cambios significativos desde esa fecha.</w:t>
            </w:r>
          </w:p>
        </w:tc>
        <w:tc>
          <w:tcPr>
            <w:tcW w:type="dxa" w:w="28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se han creado o eliminado recursos desde esa fecha, el plan puede requerir ajustes en el inventario de VMs, discos y Storage Accounts afectados.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S-02</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El equipo externo recibe accesos requeridos antes del inicio de la Fase 1</w:t>
            </w:r>
          </w:p>
        </w:tc>
        <w:tc>
          <w:tcPr>
            <w:tcW w:type="dxa" w:w="3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Los roles Contributor, Key Vault Crypto Officer y Security Admin seran asignados al equipo externo al menos 5 dias habiles antes del kickoff.</w:t>
            </w:r>
          </w:p>
        </w:tc>
        <w:tc>
          <w:tcPr>
            <w:tcW w:type="dxa" w:w="2860"/>
            <w:tcBorders>
              <w:top w:val="single" w:color="BFBFBF" w:sz="4"/>
              <w:left w:val="single" w:color="BFBFBF" w:sz="4"/>
              <w:bottom w:val="single" w:color="BFBFBF" w:sz="4"/>
              <w:right w:val="single" w:color="BFBFBF" w:sz="4"/>
            </w:tcBorders>
            <w:shd w:fill="FFF0F0"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Retraso en el inicio de la Fase 1. Actividades de cifrado, JIT y Defender no podran ejecutarse sin los permisos correctos.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Las ventanas de mantenimiento son aprobadas con 72 horas de anticipacion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Los propietarios de aplicacion aprueban formalmente cada ventana de mantenimiento con al menos 72 horas de anticipacion al cambio.</w:t>
            </w:r>
          </w:p>
        </w:tc>
        <w:tc>
          <w:tcPr>
            <w:tcW w:type="dxa" w:w="28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Postergacion de las actividades que requieren reinicio de VM. Riesgo de ejecutar cambios sin validacion del impacto en aplicaciones criticas.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S-04</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Las VMs utilizan SKUs de Azure compatibles con EncryptionAtHost</w:t>
            </w:r>
          </w:p>
        </w:tc>
        <w:tc>
          <w:tcPr>
            <w:tcW w:type="dxa" w:w="3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que ninguna de las VMs identificadas utiliza un SKU excluido de la caracteristica EncryptionAtHost (Av1, B1ls, serie basica).</w:t>
            </w:r>
          </w:p>
        </w:tc>
        <w:tc>
          <w:tcPr>
            <w:tcW w:type="dxa" w:w="2860"/>
            <w:tcBorders>
              <w:top w:val="single" w:color="BFBFBF" w:sz="4"/>
              <w:left w:val="single" w:color="BFBFBF" w:sz="4"/>
              <w:bottom w:val="single" w:color="BFBFBF" w:sz="4"/>
              <w:right w:val="single" w:color="BFBFBF" w:sz="4"/>
            </w:tcBorders>
            <w:shd w:fill="FFF0F0"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alguna VM usa SKU incompatible, debera migrarse a un SKU compatible (redimensionamiento) o usar Azure Disk Encryption (ADE) como alternativa, lo que puede incrementar el esfuerzo.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Los clientes conectados a los Storage Accounts soportan TLS 1.2</w:t>
            </w:r>
          </w:p>
        </w:tc>
        <w:tc>
          <w:tcPr>
            <w:tcW w:type="dxa" w:w="3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que todas las aplicaciones, servicios y scripts que acceden a azurebackuprgwestus1d115 y morenafs son compatibles con TLS 1.2.</w:t>
            </w:r>
          </w:p>
        </w:tc>
        <w:tc>
          <w:tcPr>
            <w:tcW w:type="dxa" w:w="28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algun cliente usa TLS 1.0/1.1 y no puede actualizarse, el cambio debera postergarse hasta resolver la compatibilidad del cliente, generando un riesgo de cumplimiento por el retiro programado de TLS por Microsoft.</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S-06</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La IP publica del VPN Gateway es de SKU Standard</w:t>
            </w:r>
          </w:p>
        </w:tc>
        <w:tc>
          <w:tcPr>
            <w:tcW w:type="dxa" w:w="3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que la IP publica asociada a redvirtualgateway es de SKU Standard, lo que es requerido para la migracion al SKU zonal VpnGwXAZ.</w:t>
            </w:r>
          </w:p>
        </w:tc>
        <w:tc>
          <w:tcPr>
            <w:tcW w:type="dxa" w:w="2860"/>
            <w:tcBorders>
              <w:top w:val="single" w:color="BFBFBF" w:sz="4"/>
              <w:left w:val="single" w:color="BFBFBF" w:sz="4"/>
              <w:bottom w:val="single" w:color="BFBFBF" w:sz="4"/>
              <w:right w:val="single" w:color="BFBFBF" w:sz="4"/>
            </w:tcBorders>
            <w:shd w:fill="FFF0F0"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la IP es Basic, debera reemplazarse por una IP Standard y se debera actualizar la configuracion del dispositivo VPN on-premises, incrementando el tiempo de la ventana de mantenimiento y el riesgo de la operacion.</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El Log Analytics Workspace esta activo o puede crearse sin restricciones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disponibilidad para crear un Log Analytics Workspace en la region West US sin restricciones de politica de Azure.</w:t>
            </w:r>
          </w:p>
        </w:tc>
        <w:tc>
          <w:tcPr>
            <w:tcW w:type="dxa" w:w="28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existe una politica de Azure que restringe la creacion de Log Analytics Workspaces, debera gestionarse una excepcion antes del inicio de la Fase 2.</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S-08</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La aprobacion financiera del Savings Plan y Reserved Instances esta disponible en el mes 1</w:t>
            </w:r>
          </w:p>
        </w:tc>
        <w:tc>
          <w:tcPr>
            <w:tcW w:type="dxa" w:w="3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El area de finanzas o la direccion puede aprobar el compromiso de gasto en Azure dentro del primer mes del proyecto, durante la Fase 2.</w:t>
            </w:r>
          </w:p>
        </w:tc>
        <w:tc>
          <w:tcPr>
            <w:tcW w:type="dxa" w:w="2860"/>
            <w:tcBorders>
              <w:top w:val="single" w:color="BFBFBF" w:sz="4"/>
              <w:left w:val="single" w:color="BFBFBF" w:sz="4"/>
              <w:bottom w:val="single" w:color="BFBFBF" w:sz="4"/>
              <w:right w:val="single" w:color="BFBFBF" w:sz="4"/>
            </w:tcBorders>
            <w:shd w:fill="FFF0F0"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El ahorro de $15,208 USD/año se retrasa proporcionalmente por cada mes de postergacion. Los compromisos son retroactivos al dia de compra, no al inicio del proyecto.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S-09</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Los propietarios de aplicacion estan disponibles para validaciones post-cambio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Cada propietario de aplicacion tiene disponibilidad de al menos 2 horas dentro de las 4 horas siguientes a cada ventana de mantenimiento para validar que los servicios operan correctamente.</w:t>
            </w:r>
          </w:p>
        </w:tc>
        <w:tc>
          <w:tcPr>
            <w:tcW w:type="dxa" w:w="28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no hay disponibilidad para validar, el equipo de TI interno debera ejecutar pruebas funcionales basicas, con el riesgo de no detectar errores especificos de aplicacion.</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S-10</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No existen politicas de Azure (Azure Policy) que bloqueen los cambios planificados</w:t>
            </w:r>
          </w:p>
        </w:tc>
        <w:tc>
          <w:tcPr>
            <w:tcW w:type="dxa" w:w="3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que no hay iniciativas de Azure Policy que denieguen la creacion de recursos necesarios (Key Vault, Log Analytics, NAT Gateway, etc.) o la modificacion de configuraciones (TLS version, disk encryption, etc.).</w:t>
            </w:r>
          </w:p>
        </w:tc>
        <w:tc>
          <w:tcPr>
            <w:tcW w:type="dxa" w:w="2860"/>
            <w:tcBorders>
              <w:top w:val="single" w:color="BFBFBF" w:sz="4"/>
              <w:left w:val="single" w:color="BFBFBF" w:sz="4"/>
              <w:bottom w:val="single" w:color="BFBFBF" w:sz="4"/>
              <w:right w:val="single" w:color="BFBFBF" w:sz="4"/>
            </w:tcBorders>
            <w:shd w:fill="FFF0F0"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existen politicas restrictivas, deben identificarse y gestionarse excepciones puntuales antes del inicio de cada fase, lo que puede agregar 1-5 dias habiles de gestion adicional por politica.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S-11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El tenant de Azure cuenta con cuota suficiente para los nuevos recursos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disponibilidad de cuota en la suscripcion para crear NAT Gateways, IPs Publicas adicionales, Log Analytics Workspace y snapshots de discos sin alcanzar limites de suscripcion.</w:t>
            </w:r>
          </w:p>
        </w:tc>
        <w:tc>
          <w:tcPr>
            <w:tcW w:type="dxa" w:w="28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Si se alcanza algun limite de cuota, debera solicitarse un incremento a Microsoft soporte, lo que puede tomar entre 1 y 5 dias habiles.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S-12</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Los datos en los discos huerfanos han sido validados antes de su eliminacion</w:t>
            </w:r>
          </w:p>
        </w:tc>
        <w:tc>
          <w:tcPr>
            <w:tcW w:type="dxa" w:w="3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 asume que el equipo interno validara con los propietarios de datos si los 6 discos sin VM asociada contienen informacion activa o archivable antes de su eliminacion.</w:t>
            </w:r>
          </w:p>
        </w:tc>
        <w:tc>
          <w:tcPr>
            <w:tcW w:type="dxa" w:w="2860"/>
            <w:tcBorders>
              <w:top w:val="single" w:color="BFBFBF" w:sz="4"/>
              <w:left w:val="single" w:color="BFBFBF" w:sz="4"/>
              <w:bottom w:val="single" w:color="BFBFBF" w:sz="4"/>
              <w:right w:val="single" w:color="BFBFBF" w:sz="4"/>
            </w:tcBorders>
            <w:shd w:fill="FFF0F0" w:val="clear"/>
            <w:tcMar>
              <w:top w:type="dxa" w:w="80"/>
              <w:left w:type="dxa" w:w="130"/>
              <w:bottom w:type="dxa" w:w="80"/>
              <w:right w:type="dxa" w:w="130"/>
            </w:tcMar>
          </w:tcPr>
          <w:p>
            <w:pPr>
              <w:spacing w:after="60" w:before="60"/>
              <w:jc w:val="left"/>
            </w:pPr>
            <w:r>
              <w:rPr>
                <w:rFonts w:ascii="Arial" w:cs="Arial" w:eastAsia="Arial" w:hAnsi="Arial"/>
                <w:b w:val="false"/>
                <w:bCs w:val="false"/>
                <w:color w:val="C00000"/>
                <w:sz w:val="20"/>
                <w:szCs w:val="20"/>
              </w:rPr>
              <w:t xml:space="preserve">La eliminacion de discos con datos activos sin validacion previa puede generar perdida de informacion critica. Este supuesto es de responsabilidad exclusiva del equipo interno.</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Gestion de Supuestos Incumplidos</w:t>
      </w:r>
    </w:p>
    <w:p>
      <w:pPr>
        <w:spacing w:after="80" w:before="40"/>
        <w:jc w:val="left"/>
      </w:pPr>
      <w:r>
        <w:rPr>
          <w:rFonts w:ascii="Arial" w:cs="Arial" w:eastAsia="Arial" w:hAnsi="Arial"/>
          <w:b w:val="false"/>
          <w:bCs w:val="false"/>
          <w:color w:val="000000"/>
          <w:sz w:val="20"/>
          <w:szCs w:val="20"/>
        </w:rPr>
        <w:t xml:space="preserve">Si durante la ejecucion se detecta que un supuesto no se cumple, el Lider Tecnico o el Administrador Interno debe:</w:t>
      </w:r>
    </w:p>
    <w:p>
      <w:pPr>
        <w:pStyle w:val="ListParagraph"/>
        <w:numPr>
          <w:ilvl w:val="0"/>
          <w:numId w:val="3"/>
        </w:numPr>
        <w:spacing w:after="36" w:before="36"/>
      </w:pPr>
      <w:r>
        <w:rPr>
          <w:rFonts w:ascii="Arial" w:cs="Arial" w:eastAsia="Arial" w:hAnsi="Arial"/>
          <w:sz w:val="20"/>
          <w:szCs w:val="20"/>
        </w:rPr>
        <w:t xml:space="preserve">Notificar inmediatamente al Coordinador del Proyecto con una descripcion del supuesto incumplido y su impacto.</w:t>
      </w:r>
    </w:p>
    <w:p>
      <w:pPr>
        <w:pStyle w:val="ListParagraph"/>
        <w:numPr>
          <w:ilvl w:val="0"/>
          <w:numId w:val="3"/>
        </w:numPr>
        <w:spacing w:after="36" w:before="36"/>
      </w:pPr>
      <w:r>
        <w:rPr>
          <w:rFonts w:ascii="Arial" w:cs="Arial" w:eastAsia="Arial" w:hAnsi="Arial"/>
          <w:sz w:val="20"/>
          <w:szCs w:val="20"/>
        </w:rPr>
        <w:t xml:space="preserve">Proponer una alternativa tecnica o un plan de contingencia dentro de las 24 horas siguientes.</w:t>
      </w:r>
    </w:p>
    <w:p>
      <w:pPr>
        <w:pStyle w:val="ListParagraph"/>
        <w:numPr>
          <w:ilvl w:val="0"/>
          <w:numId w:val="3"/>
        </w:numPr>
        <w:spacing w:after="36" w:before="36"/>
      </w:pPr>
      <w:r>
        <w:rPr>
          <w:rFonts w:ascii="Arial" w:cs="Arial" w:eastAsia="Arial" w:hAnsi="Arial"/>
          <w:sz w:val="20"/>
          <w:szCs w:val="20"/>
        </w:rPr>
        <w:t xml:space="preserve">Documentar el ajuste en el registro de cambios del proyecto y actualizar los documentos afectados.</w:t>
      </w:r>
    </w:p>
    <w:p>
      <w:pPr>
        <w:spacing w:after="40" w:before="40"/>
      </w:pPr>
      <w:r>
        <w:t xml:space="preserve"/>
      </w:r>
    </w:p>
    <w:p>
      <w:r>
        <w:br w:type="page"/>
      </w:r>
    </w:p>
    <w:p>
      <w:pPr>
        <w:pStyle w:val="Heading1"/>
        <w:pBdr>
          <w:bottom w:val="single" w:color="0078D4" w:sz="10" w:space="4"/>
        </w:pBdr>
        <w:spacing w:after="140" w:before="400"/>
      </w:pPr>
      <w:r>
        <w:rPr>
          <w:rFonts w:ascii="Arial" w:cs="Arial" w:eastAsia="Arial" w:hAnsi="Arial"/>
          <w:b/>
          <w:bCs/>
          <w:color w:val="1F3864"/>
          <w:sz w:val="34"/>
          <w:szCs w:val="34"/>
        </w:rPr>
        <w:t xml:space="preserve">5. Fases del Proyecto</w:t>
      </w:r>
    </w:p>
    <w:p>
      <w:pPr>
        <w:spacing w:after="60" w:before="60"/>
        <w:jc w:val="left"/>
      </w:pPr>
      <w:r>
        <w:rPr>
          <w:rFonts w:ascii="Arial" w:cs="Arial" w:eastAsia="Arial" w:hAnsi="Arial"/>
          <w:b w:val="false"/>
          <w:bCs w:val="false"/>
          <w:color w:val="000000"/>
          <w:sz w:val="20"/>
          <w:szCs w:val="20"/>
        </w:rPr>
        <w:t xml:space="preserve">El proyecto se divide en cuatro fases cronologicas, organizadas por urgencia, nivel de riesgo e impacto. Cada fase tiene objetivos especificos, actividades definidas, responsables asignados y entregables concretos.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000"/>
        <w:gridCol w:w="1160"/>
        <w:gridCol w:w="1900"/>
      </w:tblGrid>
      <w:tr>
        <w:tc>
          <w:tcPr>
            <w:tcW w:type="dxa" w:w="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Fase</w:t>
            </w:r>
          </w:p>
        </w:tc>
        <w:tc>
          <w:tcPr>
            <w:tcW w:type="dxa" w:w="15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Periodo</w:t>
            </w:r>
          </w:p>
        </w:tc>
        <w:tc>
          <w:tcPr>
            <w:tcW w:type="dxa" w:w="40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Objetivo Principal</w:t>
            </w:r>
          </w:p>
        </w:tc>
        <w:tc>
          <w:tcPr>
            <w:tcW w:type="dxa" w:w="11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No. Actividades</w:t>
            </w:r>
          </w:p>
        </w:tc>
        <w:tc>
          <w:tcPr>
            <w:tcW w:type="dxa" w:w="19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Impacto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Fase 1</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Semana 1-2</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Eliminar las vulnerabilidades criticas de seguridad y los dos items con retiro programado por Microsoft (TLS, VPN SKU)</w:t>
            </w:r>
          </w:p>
        </w:tc>
        <w:tc>
          <w:tcPr>
            <w:tcW w:type="dxa" w:w="1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9</w:t>
            </w:r>
          </w:p>
        </w:tc>
        <w:tc>
          <w:tcPr>
            <w:tcW w:type="dxa" w:w="19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Reduccion inmediata de superficie de ataque</w:t>
            </w:r>
          </w:p>
        </w:tc>
      </w:tr>
      <w:tr>
        <w:tc>
          <w:tcPr>
            <w:tcW w:type="dxa" w:w="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Fase 2</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Semana 3-6</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Establecer visibilidad operativa, optimizar costos y resolver confiabilidad de infraestructura (discos, NICs, backups)</w:t>
            </w:r>
          </w:p>
        </w:tc>
        <w:tc>
          <w:tcPr>
            <w:tcW w:type="dxa" w:w="11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10</w:t>
            </w:r>
          </w:p>
        </w:tc>
        <w:tc>
          <w:tcPr>
            <w:tcW w:type="dxa" w:w="19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Ahorro de $15,208 USD/año activado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Fase 3</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Mes 2-3</w:t>
            </w:r>
          </w:p>
        </w:tc>
        <w:tc>
          <w:tcPr>
            <w:tcW w:type="dxa" w:w="4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Implementar alta disponibilidad zonal en recursos criticos de red, SQL y almacenamiento</w:t>
            </w:r>
          </w:p>
        </w:tc>
        <w:tc>
          <w:tcPr>
            <w:tcW w:type="dxa" w:w="1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7</w:t>
            </w:r>
          </w:p>
        </w:tc>
        <w:tc>
          <w:tcPr>
            <w:tcW w:type="dxa" w:w="19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Resiliencia zonal y eliminacion de SPOFs</w:t>
            </w:r>
          </w:p>
        </w:tc>
      </w:tr>
      <w:tr>
        <w:tc>
          <w:tcPr>
            <w:tcW w:type="dxa" w:w="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Fase 4</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Mes 4+</w:t>
            </w:r>
          </w:p>
        </w:tc>
        <w:tc>
          <w:tcPr>
            <w:tcW w:type="dxa" w:w="40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Establecer gobernanza, cumplimiento continuo y madurez cloud operativa a largo plazo</w:t>
            </w:r>
          </w:p>
        </w:tc>
        <w:tc>
          <w:tcPr>
            <w:tcW w:type="dxa" w:w="11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8</w:t>
            </w:r>
          </w:p>
        </w:tc>
        <w:tc>
          <w:tcPr>
            <w:tcW w:type="dxa" w:w="19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Postura cloud-native sostenible</w:t>
            </w:r>
          </w:p>
        </w:tc>
      </w:tr>
    </w:tbl>
    <w:p>
      <w:pPr>
        <w:spacing w:after="40" w:before="40"/>
      </w:pPr>
      <w:r>
        <w:t xml:space="preserve"/>
      </w:r>
    </w:p>
    <w:p>
      <w:pPr>
        <w:spacing w:after="40" w:before="40"/>
      </w:pPr>
      <w:r>
        <w:t xml:space="preserve"/>
      </w:r>
    </w:p>
    <w:p>
      <w:pPr>
        <w:pStyle w:val="Heading2"/>
        <w:spacing w:after="100" w:before="280"/>
      </w:pPr>
      <w:r>
        <w:rPr>
          <w:rFonts w:ascii="Arial" w:cs="Arial" w:eastAsia="Arial" w:hAnsi="Arial"/>
          <w:b/>
          <w:bCs/>
          <w:color w:val="C00000"/>
          <w:sz w:val="26"/>
          <w:szCs w:val="26"/>
        </w:rPr>
        <w:t xml:space="preserve">Fase 1 — Acciones Inmediatas (Semana 1-2)</w:t>
      </w:r>
    </w:p>
    <w:p>
      <w:pPr>
        <w:spacing w:after="80" w:before="40"/>
        <w:jc w:val="left"/>
      </w:pPr>
      <w:r>
        <w:rPr>
          <w:rFonts w:ascii="Arial" w:cs="Arial" w:eastAsia="Arial" w:hAnsi="Arial"/>
          <w:b w:val="false"/>
          <w:bCs w:val="false"/>
          <w:color w:val="595959"/>
          <w:sz w:val="20"/>
          <w:szCs w:val="20"/>
        </w:rPr>
        <w:t xml:space="preserve">Esta fase concentra las actividades de mayor criticidad y menor riesgo de implementacion. Incluye el cifrado de disco en 14 VMs, la configuracion de JIT, el endurecimiento de NSGs y la correccion urgente de los dos items con retiro programado por Microsoft (TLS 1.0/1.1 y VPN Gateway SKU no-AZ inicia en Fase 3, pero TLS es Fase 1). Al finalizar esta fase, el Advisor Score de Seguridad debe haber mejorado sustancialmente.</w:t>
      </w:r>
    </w:p>
    <w:p>
      <w:pPr>
        <w:pStyle w:val="Heading3"/>
        <w:spacing w:after="80" w:before="200"/>
      </w:pPr>
      <w:r>
        <w:rPr>
          <w:rFonts w:ascii="Arial" w:cs="Arial" w:eastAsia="Arial" w:hAnsi="Arial"/>
          <w:b/>
          <w:bCs/>
          <w:color w:val="1F6B75"/>
          <w:sz w:val="22"/>
          <w:szCs w:val="22"/>
        </w:rPr>
        <w:t xml:space="preserve">Objetivo de la Fase</w:t>
      </w:r>
    </w:p>
    <w:p>
      <w:pPr>
        <w:pStyle w:val="ListParagraph"/>
        <w:numPr>
          <w:ilvl w:val="0"/>
          <w:numId w:val="2"/>
        </w:numPr>
        <w:spacing w:after="36" w:before="36"/>
      </w:pPr>
      <w:r>
        <w:rPr>
          <w:rFonts w:ascii="Arial" w:cs="Arial" w:eastAsia="Arial" w:hAnsi="Arial"/>
          <w:sz w:val="20"/>
          <w:szCs w:val="20"/>
        </w:rPr>
        <w:t xml:space="preserve">Habilitar cifrado en reposo en el 100% de las VMs afectadas.</w:t>
      </w:r>
    </w:p>
    <w:p>
      <w:pPr>
        <w:pStyle w:val="ListParagraph"/>
        <w:numPr>
          <w:ilvl w:val="0"/>
          <w:numId w:val="2"/>
        </w:numPr>
        <w:spacing w:after="36" w:before="36"/>
      </w:pPr>
      <w:r>
        <w:rPr>
          <w:rFonts w:ascii="Arial" w:cs="Arial" w:eastAsia="Arial" w:hAnsi="Arial"/>
          <w:sz w:val="20"/>
          <w:szCs w:val="20"/>
        </w:rPr>
        <w:t xml:space="preserve">Eliminar la exposicion permanente de puertos de administracion (RDP/SSH) a Internet.</w:t>
      </w:r>
    </w:p>
    <w:p>
      <w:pPr>
        <w:pStyle w:val="ListParagraph"/>
        <w:numPr>
          <w:ilvl w:val="0"/>
          <w:numId w:val="2"/>
        </w:numPr>
        <w:spacing w:after="36" w:before="36"/>
      </w:pPr>
      <w:r>
        <w:rPr>
          <w:rFonts w:ascii="Arial" w:cs="Arial" w:eastAsia="Arial" w:hAnsi="Arial"/>
          <w:sz w:val="20"/>
          <w:szCs w:val="20"/>
        </w:rPr>
        <w:t xml:space="preserve">Resolver los dos items de retiro programado (TLS 1.2) que aplican en esta fase.</w:t>
      </w:r>
    </w:p>
    <w:p>
      <w:pPr>
        <w:pStyle w:val="ListParagraph"/>
        <w:numPr>
          <w:ilvl w:val="0"/>
          <w:numId w:val="2"/>
        </w:numPr>
        <w:spacing w:after="36" w:before="36"/>
      </w:pPr>
      <w:r>
        <w:rPr>
          <w:rFonts w:ascii="Arial" w:cs="Arial" w:eastAsia="Arial" w:hAnsi="Arial"/>
          <w:sz w:val="20"/>
          <w:szCs w:val="20"/>
        </w:rPr>
        <w:t xml:space="preserve">Activar la plataforma de deteccion de amenazas de Microsoft Defender.</w:t>
      </w:r>
    </w:p>
    <w:p>
      <w:pPr>
        <w:pStyle w:val="ListParagraph"/>
        <w:numPr>
          <w:ilvl w:val="0"/>
          <w:numId w:val="2"/>
        </w:numPr>
        <w:spacing w:after="36" w:before="36"/>
      </w:pPr>
      <w:r>
        <w:rPr>
          <w:rFonts w:ascii="Arial" w:cs="Arial" w:eastAsia="Arial" w:hAnsi="Arial"/>
          <w:sz w:val="20"/>
          <w:szCs w:val="20"/>
        </w:rPr>
        <w:t xml:space="preserve">Establecer visibilidad de eventos de plataforma mediante Azure Service Health.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600"/>
        <w:gridCol w:w="1200"/>
        <w:gridCol w:w="1100"/>
        <w:gridCol w:w="1960"/>
      </w:tblGrid>
      <w:tr>
        <w:tc>
          <w:tcPr>
            <w:tcW w:type="dxa" w:w="4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w:t>
            </w:r>
          </w:p>
        </w:tc>
        <w:tc>
          <w:tcPr>
            <w:tcW w:type="dxa" w:w="21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Actividad</w:t>
            </w:r>
          </w:p>
        </w:tc>
        <w:tc>
          <w:tcPr>
            <w:tcW w:type="dxa" w:w="26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12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Responsable</w:t>
            </w:r>
          </w:p>
        </w:tc>
        <w:tc>
          <w:tcPr>
            <w:tcW w:type="dxa" w:w="11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Duracion</w:t>
            </w:r>
          </w:p>
        </w:tc>
        <w:tc>
          <w:tcPr>
            <w:tcW w:type="dxa" w:w="196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Entregable</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1.1</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Registro del proveedor y creacion de Azure Key Vault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Ejecutar registro de Microsoft.Compute y crear/validar el Key Vault en westus con purge protection. Asignar permisos al equipo tecnico.</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Key Vault activo con permisos correctos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1.2</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Snapshots de seguridad de todos los discos OS afectados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Crear snapshots de los discos OS de las 14 VMs antes de iniciar el cifrado. Son el respaldo de rollback de toda la Fase 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 horas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Snapshots creados y validados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1.3</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EncryptionAtHost o ADE en 14 VMs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Habilitar cifrado por lotes de 2-3 VMs por noche, iniciando por VMs de menor criticidad. Validar arranque y servicios tras cada VM.</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2-3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100% VMs con cifrado activo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1.4</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JIT en puertos RDP y SSH</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Habilitar JIT en Defender for Cloud. Configurar politicas por VM: tiempo maximo 3h, IPs de origen autorizadas. Capacitar al equipo.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JIT activo, acceso directo bloqueado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1.5</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Endurecimiento de reglas NSG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Auditar y actualizar reglas de NSG. Eliminar rangos de IP excesivos. Aplicar principio de minimo privilegio. Documentar reglas finales.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NSGs auditados y documentados</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1.6</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TLS 1.2 en Storage Accounts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Verificar clientes conectados. Actualizar version minima de TLS en azurebackuprgwestus1d115 y morenafs. Validar Azure Backup y file share.</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2-4 horas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TLS 1.2 activo en ambas cuentas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1.7</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Microsoft Defender CSPM y planes de Defender</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Activar Defender CSPM, Defender for Storage y Defender for Resource Manager. Configurar notificaciones de correo. Registrar Secure Score inicial.</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4-6 horas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Defender activo, Secure Score documentado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1.8</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Alerta de Azure Service Health y contacto de seguridad</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Crear alerta de Service Health a nivel de suscripcion (email + webhook). Configurar contacto de seguridad en Defender for Cloud.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horas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Alertas activas y verificadas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1.9</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Deshabilitacion de IP forwarding y acceso publico en Storage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Deshabilitar IP forwarding en NICs donde no se requiera. Deshabilitar acceso publico y claves compartidas en Storage Accounts.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2-4 horas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Configuracion endurecida documentada</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Criterios de Exito de la Fase 1</w:t>
      </w:r>
    </w:p>
    <w:p>
      <w:pPr>
        <w:pStyle w:val="ListParagraph"/>
        <w:numPr>
          <w:ilvl w:val="0"/>
          <w:numId w:val="2"/>
        </w:numPr>
        <w:spacing w:after="36" w:before="36"/>
      </w:pPr>
      <w:r>
        <w:rPr>
          <w:rFonts w:ascii="Arial" w:cs="Arial" w:eastAsia="Arial" w:hAnsi="Arial"/>
          <w:sz w:val="20"/>
          <w:szCs w:val="20"/>
        </w:rPr>
        <w:t xml:space="preserve">100% de las 14 VMs con cifrado de disco activo y validado.</w:t>
      </w:r>
    </w:p>
    <w:p>
      <w:pPr>
        <w:pStyle w:val="ListParagraph"/>
        <w:numPr>
          <w:ilvl w:val="0"/>
          <w:numId w:val="2"/>
        </w:numPr>
        <w:spacing w:after="36" w:before="36"/>
      </w:pPr>
      <w:r>
        <w:rPr>
          <w:rFonts w:ascii="Arial" w:cs="Arial" w:eastAsia="Arial" w:hAnsi="Arial"/>
          <w:sz w:val="20"/>
          <w:szCs w:val="20"/>
        </w:rPr>
        <w:t xml:space="preserve">Acceso directo por RDP/SSH bloqueado; JIT funcional y probado.</w:t>
      </w:r>
    </w:p>
    <w:p>
      <w:pPr>
        <w:pStyle w:val="ListParagraph"/>
        <w:numPr>
          <w:ilvl w:val="0"/>
          <w:numId w:val="2"/>
        </w:numPr>
        <w:spacing w:after="36" w:before="36"/>
      </w:pPr>
      <w:r>
        <w:rPr>
          <w:rFonts w:ascii="Arial" w:cs="Arial" w:eastAsia="Arial" w:hAnsi="Arial"/>
          <w:sz w:val="20"/>
          <w:szCs w:val="20"/>
        </w:rPr>
        <w:t xml:space="preserve">TLS 1.2 activo en las dos cuentas de almacenamiento; Azure Backup funcional.</w:t>
      </w:r>
    </w:p>
    <w:p>
      <w:pPr>
        <w:pStyle w:val="ListParagraph"/>
        <w:numPr>
          <w:ilvl w:val="0"/>
          <w:numId w:val="2"/>
        </w:numPr>
        <w:spacing w:after="36" w:before="36"/>
      </w:pPr>
      <w:r>
        <w:rPr>
          <w:rFonts w:ascii="Arial" w:cs="Arial" w:eastAsia="Arial" w:hAnsi="Arial"/>
          <w:sz w:val="20"/>
          <w:szCs w:val="20"/>
        </w:rPr>
        <w:t xml:space="preserve">Microsoft Defender CSPM activo; Secure Score inicial documentado como linea base.</w:t>
      </w:r>
    </w:p>
    <w:p>
      <w:pPr>
        <w:pStyle w:val="ListParagraph"/>
        <w:numPr>
          <w:ilvl w:val="0"/>
          <w:numId w:val="2"/>
        </w:numPr>
        <w:spacing w:after="36" w:before="36"/>
      </w:pPr>
      <w:r>
        <w:rPr>
          <w:rFonts w:ascii="Arial" w:cs="Arial" w:eastAsia="Arial" w:hAnsi="Arial"/>
          <w:sz w:val="20"/>
          <w:szCs w:val="20"/>
        </w:rPr>
        <w:t xml:space="preserve">Alerta de Service Health activa y verificada con notificacion de prueba.</w:t>
      </w:r>
    </w:p>
    <w:p>
      <w:pPr>
        <w:spacing w:after="40" w:before="40"/>
      </w:pPr>
      <w:r>
        <w:t xml:space="preserve"/>
      </w:r>
    </w:p>
    <w:p>
      <w:pPr>
        <w:spacing w:after="40" w:before="40"/>
      </w:pPr>
      <w:r>
        <w:t xml:space="preserve"/>
      </w:r>
    </w:p>
    <w:p>
      <w:r>
        <w:br w:type="page"/>
      </w:r>
    </w:p>
    <w:p>
      <w:pPr>
        <w:pStyle w:val="Heading2"/>
        <w:spacing w:after="100" w:before="280"/>
      </w:pPr>
      <w:r>
        <w:rPr>
          <w:rFonts w:ascii="Arial" w:cs="Arial" w:eastAsia="Arial" w:hAnsi="Arial"/>
          <w:b/>
          <w:bCs/>
          <w:color w:val="C55A11"/>
          <w:sz w:val="26"/>
          <w:szCs w:val="26"/>
        </w:rPr>
        <w:t xml:space="preserve">Fase 2 — Corto Plazo (Semanas 3-6)</w:t>
      </w:r>
    </w:p>
    <w:p>
      <w:pPr>
        <w:spacing w:after="80" w:before="40"/>
        <w:jc w:val="left"/>
      </w:pPr>
      <w:r>
        <w:rPr>
          <w:rFonts w:ascii="Arial" w:cs="Arial" w:eastAsia="Arial" w:hAnsi="Arial"/>
          <w:b w:val="false"/>
          <w:bCs w:val="false"/>
          <w:color w:val="595959"/>
          <w:sz w:val="20"/>
          <w:szCs w:val="20"/>
        </w:rPr>
        <w:t xml:space="preserve">En esta fase se establece la visibilidad operativa de las VMs mediante VM Insights, se optimizan los costos con la adquisicion de compromisos de uso y se mejora la confiabilidad de la infraestructura alineando los discos con las zonas de disponibilidad correctas.</w:t>
      </w:r>
    </w:p>
    <w:p>
      <w:pPr>
        <w:pStyle w:val="Heading3"/>
        <w:spacing w:after="80" w:before="200"/>
      </w:pPr>
      <w:r>
        <w:rPr>
          <w:rFonts w:ascii="Arial" w:cs="Arial" w:eastAsia="Arial" w:hAnsi="Arial"/>
          <w:b/>
          <w:bCs/>
          <w:color w:val="1F6B75"/>
          <w:sz w:val="22"/>
          <w:szCs w:val="22"/>
        </w:rPr>
        <w:t xml:space="preserve">Objetivo de la Fase</w:t>
      </w:r>
    </w:p>
    <w:p>
      <w:pPr>
        <w:pStyle w:val="ListParagraph"/>
        <w:numPr>
          <w:ilvl w:val="0"/>
          <w:numId w:val="2"/>
        </w:numPr>
        <w:spacing w:after="36" w:before="36"/>
      </w:pPr>
      <w:r>
        <w:rPr>
          <w:rFonts w:ascii="Arial" w:cs="Arial" w:eastAsia="Arial" w:hAnsi="Arial"/>
          <w:sz w:val="20"/>
          <w:szCs w:val="20"/>
        </w:rPr>
        <w:t xml:space="preserve">Obtener visibilidad de rendimiento y dependencias en las 9 VMs afectadas.</w:t>
      </w:r>
    </w:p>
    <w:p>
      <w:pPr>
        <w:pStyle w:val="ListParagraph"/>
        <w:numPr>
          <w:ilvl w:val="0"/>
          <w:numId w:val="2"/>
        </w:numPr>
        <w:spacing w:after="36" w:before="36"/>
      </w:pPr>
      <w:r>
        <w:rPr>
          <w:rFonts w:ascii="Arial" w:cs="Arial" w:eastAsia="Arial" w:hAnsi="Arial"/>
          <w:sz w:val="20"/>
          <w:szCs w:val="20"/>
        </w:rPr>
        <w:t xml:space="preserve">Activar el ahorro de $15,208 USD/año mediante Savings Plan y Reserved Instances.</w:t>
      </w:r>
    </w:p>
    <w:p>
      <w:pPr>
        <w:pStyle w:val="ListParagraph"/>
        <w:numPr>
          <w:ilvl w:val="0"/>
          <w:numId w:val="2"/>
        </w:numPr>
        <w:spacing w:after="36" w:before="36"/>
      </w:pPr>
      <w:r>
        <w:rPr>
          <w:rFonts w:ascii="Arial" w:cs="Arial" w:eastAsia="Arial" w:hAnsi="Arial"/>
          <w:sz w:val="20"/>
          <w:szCs w:val="20"/>
        </w:rPr>
        <w:t xml:space="preserve">Alinear todos los discos de datos y OS con la zona de disponibilidad de su VM.</w:t>
      </w:r>
    </w:p>
    <w:p>
      <w:pPr>
        <w:pStyle w:val="ListParagraph"/>
        <w:numPr>
          <w:ilvl w:val="0"/>
          <w:numId w:val="2"/>
        </w:numPr>
        <w:spacing w:after="36" w:before="36"/>
      </w:pPr>
      <w:r>
        <w:rPr>
          <w:rFonts w:ascii="Arial" w:cs="Arial" w:eastAsia="Arial" w:hAnsi="Arial"/>
          <w:sz w:val="20"/>
          <w:szCs w:val="20"/>
        </w:rPr>
        <w:t xml:space="preserve">Resolver los discos huerfanos y la salida de red explicita en las 6 NICs afectadas.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600"/>
        <w:gridCol w:w="1200"/>
        <w:gridCol w:w="1100"/>
        <w:gridCol w:w="1960"/>
      </w:tblGrid>
      <w:tr>
        <w:tc>
          <w:tcPr>
            <w:tcW w:type="dxa" w:w="400"/>
            <w:tcBorders>
              <w:top w:val="single" w:color="BFBFBF" w:sz="4"/>
              <w:left w:val="single" w:color="BFBFBF" w:sz="4"/>
              <w:bottom w:val="single" w:color="BFBFBF" w:sz="4"/>
              <w:right w:val="single" w:color="BFBFBF" w:sz="4"/>
            </w:tcBorders>
            <w:shd w:fill="C55A11"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w:t>
            </w:r>
          </w:p>
        </w:tc>
        <w:tc>
          <w:tcPr>
            <w:tcW w:type="dxa" w:w="2100"/>
            <w:tcBorders>
              <w:top w:val="single" w:color="BFBFBF" w:sz="4"/>
              <w:left w:val="single" w:color="BFBFBF" w:sz="4"/>
              <w:bottom w:val="single" w:color="BFBFBF" w:sz="4"/>
              <w:right w:val="single" w:color="BFBFBF" w:sz="4"/>
            </w:tcBorders>
            <w:shd w:fill="C55A11"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Actividad</w:t>
            </w:r>
          </w:p>
        </w:tc>
        <w:tc>
          <w:tcPr>
            <w:tcW w:type="dxa" w:w="2600"/>
            <w:tcBorders>
              <w:top w:val="single" w:color="BFBFBF" w:sz="4"/>
              <w:left w:val="single" w:color="BFBFBF" w:sz="4"/>
              <w:bottom w:val="single" w:color="BFBFBF" w:sz="4"/>
              <w:right w:val="single" w:color="BFBFBF" w:sz="4"/>
            </w:tcBorders>
            <w:shd w:fill="C55A11"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1200"/>
            <w:tcBorders>
              <w:top w:val="single" w:color="BFBFBF" w:sz="4"/>
              <w:left w:val="single" w:color="BFBFBF" w:sz="4"/>
              <w:bottom w:val="single" w:color="BFBFBF" w:sz="4"/>
              <w:right w:val="single" w:color="BFBFBF" w:sz="4"/>
            </w:tcBorders>
            <w:shd w:fill="C55A11"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Responsable</w:t>
            </w:r>
          </w:p>
        </w:tc>
        <w:tc>
          <w:tcPr>
            <w:tcW w:type="dxa" w:w="1100"/>
            <w:tcBorders>
              <w:top w:val="single" w:color="BFBFBF" w:sz="4"/>
              <w:left w:val="single" w:color="BFBFBF" w:sz="4"/>
              <w:bottom w:val="single" w:color="BFBFBF" w:sz="4"/>
              <w:right w:val="single" w:color="BFBFBF" w:sz="4"/>
            </w:tcBorders>
            <w:shd w:fill="C55A11"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Duracion</w:t>
            </w:r>
          </w:p>
        </w:tc>
        <w:tc>
          <w:tcPr>
            <w:tcW w:type="dxa" w:w="1960"/>
            <w:tcBorders>
              <w:top w:val="single" w:color="BFBFBF" w:sz="4"/>
              <w:left w:val="single" w:color="BFBFBF" w:sz="4"/>
              <w:bottom w:val="single" w:color="BFBFBF" w:sz="4"/>
              <w:right w:val="single" w:color="BFBFBF" w:sz="4"/>
            </w:tcBorders>
            <w:shd w:fill="C55A11"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Entregable</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2.1</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Creacion o validacion de Log Analytics Workspace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Crear o validar el workspace en westus. Configurar retencion de 90 dias. Vincular a la suscripcion.</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2-4 horas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Workspace activo y configurado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2.2</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VM Insights en 9 VMs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Instalar agente Azure Monitor y configurar DCR en las 9 VMs. Validar flujo de metricas en Azure Monitor Insights.</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9 VMs supervisadas en Azure Monitor</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2.3</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Azure Update Manager</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Definir politicas de evaluacion periodica y ventanas de mantenimiento para parches de seguridad en todas las VMs.</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Politica de actualizacion activa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2.4</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Analisis de consumo y adquisicion del Savings Plan</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Analizar 90 dias de consumo en Cost Management. Presentar recomendacion a finanzas. Ejecutar la compra del Savings Plan de 1 año.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Savings Plan activo ($7,713 USD/año)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2.5</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Adquisicion de Reserved Instances para VMs SQL</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Identificar VMs SQL con uso 24/7. Calcular RI optimas. Presentar a finanzas. Ejecutar la compra.</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Reserved Instances activas ($7,363 USD/año)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2.6</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Alineacion de discos con zonas de disponibilidad (lote 1)</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VMs de menor criticidad: glm-comer, glm-huam, glm-intel, glm-lara, glm-prov. Snapshot &gt; migrar disco &gt; validar &gt; documentar.</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Discos de 5 VMs alineados con su AZ</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2.7</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Alineacion de discos con zonas de disponibilidad (lote 2)</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VMs criticas: bi-glm, fgt, glm-supercep. Snapshot &gt; migrar disco &gt; validar &gt; documentar.</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Discos de 3 VMs criticas alineados con su AZ</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2.8</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Revision y gestion de discos huerfanos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Validar con propietarios los 6 discos sin VM. Crear snapshot de los que sean necesarios. Eliminar los confirmados como obsoletos.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Discos huerfanos resueltos, ahorro activo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2.9</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NAT Gateway y salida explicita en NICs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Desplegar NAT Gateway en VNets afectadas. Asociar a las 6 NICs sin salida explicita configurada.</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NAT Gateway activo, NICs con salida definida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2.10</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de alertas de Backup a Azure Monitor</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Actualizar el almacen respaldosmaquinasvirtuales para usar Azure Monitor. Configurar grupo de accion.</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 horas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Alertas de backup en Azure Monitor</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Criterios de Exito de la Fase 2</w:t>
      </w:r>
    </w:p>
    <w:p>
      <w:pPr>
        <w:pStyle w:val="ListParagraph"/>
        <w:numPr>
          <w:ilvl w:val="0"/>
          <w:numId w:val="2"/>
        </w:numPr>
        <w:spacing w:after="36" w:before="36"/>
      </w:pPr>
      <w:r>
        <w:rPr>
          <w:rFonts w:ascii="Arial" w:cs="Arial" w:eastAsia="Arial" w:hAnsi="Arial"/>
          <w:sz w:val="20"/>
          <w:szCs w:val="20"/>
        </w:rPr>
        <w:t xml:space="preserve">9 VMs visibles en Azure Monitor Insights con metricas fluyendo correctamente.</w:t>
      </w:r>
    </w:p>
    <w:p>
      <w:pPr>
        <w:pStyle w:val="ListParagraph"/>
        <w:numPr>
          <w:ilvl w:val="0"/>
          <w:numId w:val="2"/>
        </w:numPr>
        <w:spacing w:after="36" w:before="36"/>
      </w:pPr>
      <w:r>
        <w:rPr>
          <w:rFonts w:ascii="Arial" w:cs="Arial" w:eastAsia="Arial" w:hAnsi="Arial"/>
          <w:sz w:val="20"/>
          <w:szCs w:val="20"/>
        </w:rPr>
        <w:t xml:space="preserve">Savings Plan y Reserved Instances activos; primer reporte de utilizacion revisado.</w:t>
      </w:r>
    </w:p>
    <w:p>
      <w:pPr>
        <w:pStyle w:val="ListParagraph"/>
        <w:numPr>
          <w:ilvl w:val="0"/>
          <w:numId w:val="2"/>
        </w:numPr>
        <w:spacing w:after="36" w:before="36"/>
      </w:pPr>
      <w:r>
        <w:rPr>
          <w:rFonts w:ascii="Arial" w:cs="Arial" w:eastAsia="Arial" w:hAnsi="Arial"/>
          <w:sz w:val="20"/>
          <w:szCs w:val="20"/>
        </w:rPr>
        <w:t xml:space="preserve">100% de los discos alineados con la zona de disponibilidad de su VM.</w:t>
      </w:r>
    </w:p>
    <w:p>
      <w:pPr>
        <w:pStyle w:val="ListParagraph"/>
        <w:numPr>
          <w:ilvl w:val="0"/>
          <w:numId w:val="2"/>
        </w:numPr>
        <w:spacing w:after="36" w:before="36"/>
      </w:pPr>
      <w:r>
        <w:rPr>
          <w:rFonts w:ascii="Arial" w:cs="Arial" w:eastAsia="Arial" w:hAnsi="Arial"/>
          <w:sz w:val="20"/>
          <w:szCs w:val="20"/>
        </w:rPr>
        <w:t xml:space="preserve">Discos huerfanos resueltos (eliminados o archivados como snapshot).</w:t>
      </w:r>
    </w:p>
    <w:p>
      <w:pPr>
        <w:pStyle w:val="ListParagraph"/>
        <w:numPr>
          <w:ilvl w:val="0"/>
          <w:numId w:val="2"/>
        </w:numPr>
        <w:spacing w:after="36" w:before="36"/>
      </w:pPr>
      <w:r>
        <w:rPr>
          <w:rFonts w:ascii="Arial" w:cs="Arial" w:eastAsia="Arial" w:hAnsi="Arial"/>
          <w:sz w:val="20"/>
          <w:szCs w:val="20"/>
        </w:rPr>
        <w:t xml:space="preserve">6 NICs con metodo de salida explicito configurado (NAT Gateway).</w:t>
      </w:r>
    </w:p>
    <w:p>
      <w:pPr>
        <w:spacing w:after="40" w:before="40"/>
      </w:pPr>
      <w:r>
        <w:t xml:space="preserve"/>
      </w:r>
    </w:p>
    <w:p>
      <w:pPr>
        <w:spacing w:after="40" w:before="40"/>
      </w:pPr>
      <w:r>
        <w:t xml:space="preserve"/>
      </w:r>
    </w:p>
    <w:p>
      <w:r>
        <w:br w:type="page"/>
      </w:r>
    </w:p>
    <w:p>
      <w:pPr>
        <w:pStyle w:val="Heading2"/>
        <w:spacing w:after="100" w:before="280"/>
      </w:pPr>
      <w:r>
        <w:rPr>
          <w:rFonts w:ascii="Arial" w:cs="Arial" w:eastAsia="Arial" w:hAnsi="Arial"/>
          <w:b/>
          <w:bCs/>
          <w:color w:val="2E75B6"/>
          <w:sz w:val="26"/>
          <w:szCs w:val="26"/>
        </w:rPr>
        <w:t xml:space="preserve">Fase 3 — Mediano Plazo (Mes 2-3)</w:t>
      </w:r>
    </w:p>
    <w:p>
      <w:pPr>
        <w:spacing w:after="80" w:before="40"/>
        <w:jc w:val="left"/>
      </w:pPr>
      <w:r>
        <w:rPr>
          <w:rFonts w:ascii="Arial" w:cs="Arial" w:eastAsia="Arial" w:hAnsi="Arial"/>
          <w:b w:val="false"/>
          <w:bCs w:val="false"/>
          <w:color w:val="595959"/>
          <w:sz w:val="20"/>
          <w:szCs w:val="20"/>
        </w:rPr>
        <w:t xml:space="preserve">Esta fase aborda las actividades de mayor impacto arquitectonico: la migracion del VPN Gateway (con ventana de interrupcion), la distribucion de SQL VMs en zonas de disponibilidad y la habilitacion de redundancia zonal en almacenamiento. Requiere mayor coordinacion con equipos externos (red on-premises) y ventanas de mantenimiento planificadas con anticipacion.</w:t>
      </w:r>
    </w:p>
    <w:p>
      <w:pPr>
        <w:pStyle w:val="Heading3"/>
        <w:spacing w:after="80" w:before="200"/>
      </w:pPr>
      <w:r>
        <w:rPr>
          <w:rFonts w:ascii="Arial" w:cs="Arial" w:eastAsia="Arial" w:hAnsi="Arial"/>
          <w:b/>
          <w:bCs/>
          <w:color w:val="1F6B75"/>
          <w:sz w:val="22"/>
          <w:szCs w:val="22"/>
        </w:rPr>
        <w:t xml:space="preserve">Objetivo de la Fase</w:t>
      </w:r>
    </w:p>
    <w:p>
      <w:pPr>
        <w:pStyle w:val="ListParagraph"/>
        <w:numPr>
          <w:ilvl w:val="0"/>
          <w:numId w:val="2"/>
        </w:numPr>
        <w:spacing w:after="36" w:before="36"/>
      </w:pPr>
      <w:r>
        <w:rPr>
          <w:rFonts w:ascii="Arial" w:cs="Arial" w:eastAsia="Arial" w:hAnsi="Arial"/>
          <w:sz w:val="20"/>
          <w:szCs w:val="20"/>
        </w:rPr>
        <w:t xml:space="preserve">Eliminar el riesgo de retiro del VPN Gateway migrando al SKU con zonas de disponibilidad.</w:t>
      </w:r>
    </w:p>
    <w:p>
      <w:pPr>
        <w:pStyle w:val="ListParagraph"/>
        <w:numPr>
          <w:ilvl w:val="0"/>
          <w:numId w:val="2"/>
        </w:numPr>
        <w:spacing w:after="36" w:before="36"/>
      </w:pPr>
      <w:r>
        <w:rPr>
          <w:rFonts w:ascii="Arial" w:cs="Arial" w:eastAsia="Arial" w:hAnsi="Arial"/>
          <w:sz w:val="20"/>
          <w:szCs w:val="20"/>
        </w:rPr>
        <w:t xml:space="preserve">Alcanzar alta disponibilidad zonal en SQL Server con Always On Availability Groups.</w:t>
      </w:r>
    </w:p>
    <w:p>
      <w:pPr>
        <w:pStyle w:val="ListParagraph"/>
        <w:numPr>
          <w:ilvl w:val="0"/>
          <w:numId w:val="2"/>
        </w:numPr>
        <w:spacing w:after="36" w:before="36"/>
      </w:pPr>
      <w:r>
        <w:rPr>
          <w:rFonts w:ascii="Arial" w:cs="Arial" w:eastAsia="Arial" w:hAnsi="Arial"/>
          <w:sz w:val="20"/>
          <w:szCs w:val="20"/>
        </w:rPr>
        <w:t xml:space="preserve">Activar redundancia ZRS en Storage Accounts criticos.</w:t>
      </w:r>
    </w:p>
    <w:p>
      <w:pPr>
        <w:pStyle w:val="ListParagraph"/>
        <w:numPr>
          <w:ilvl w:val="0"/>
          <w:numId w:val="2"/>
        </w:numPr>
        <w:spacing w:after="36" w:before="36"/>
      </w:pPr>
      <w:r>
        <w:rPr>
          <w:rFonts w:ascii="Arial" w:cs="Arial" w:eastAsia="Arial" w:hAnsi="Arial"/>
          <w:sz w:val="20"/>
          <w:szCs w:val="20"/>
        </w:rPr>
        <w:t xml:space="preserve">Completar la evaluacion de vulnerabilidades y el SQL Best Practices Assessment.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600"/>
        <w:gridCol w:w="1200"/>
        <w:gridCol w:w="1100"/>
        <w:gridCol w:w="1960"/>
      </w:tblGrid>
      <w:tr>
        <w:tc>
          <w:tcPr>
            <w:tcW w:type="dxa" w:w="4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w:t>
            </w:r>
          </w:p>
        </w:tc>
        <w:tc>
          <w:tcPr>
            <w:tcW w:type="dxa" w:w="21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Actividad</w:t>
            </w:r>
          </w:p>
        </w:tc>
        <w:tc>
          <w:tcPr>
            <w:tcW w:type="dxa" w:w="2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12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Responsable</w:t>
            </w:r>
          </w:p>
        </w:tc>
        <w:tc>
          <w:tcPr>
            <w:tcW w:type="dxa" w:w="11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Duracion</w:t>
            </w:r>
          </w:p>
        </w:tc>
        <w:tc>
          <w:tcPr>
            <w:tcW w:type="dxa" w:w="196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Entregable</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3.1</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Migracion del VPN Gateway a SKU con AZ (ventana critica)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Planificar y ejecutar la actualizacion del gateway redvirtualgateway a VpnGw1AZ o superior. Notificar a equipo on-premises. Validar conectividad post-migracion.</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 (4-8h ventana)</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VPN Gateway zonal y conectividad validada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3.2</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redundancia ZRS en Storage Accounts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Migrar azurebackuprgwestus1d115 y morenafs de LRS a ZRS. Validar disponibilidad de servicios dependientes post-cambio.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ZRS activo en ambas cuentas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3.3</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gateway activo/activo en VPN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Actualizar redvirtualgateway a modo activo/activo. Validar balanceo de trafico y failover sin interrupcion.</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4-8 horas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Gateway A/A activo, SPOF eliminado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3.4</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Implementacion de SQL VMs en zonas de disponibilidad</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Desplegar Always On AG entre zonas para bi-glm, glm-intelisis y glm-supercep. Incluye pruebas de failover.</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SQL HA zonal configurado y probado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3.5</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Defender Vulnerability Management en VMs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Instalar el agente de evaluacion de vulnerabilidades. Revisar primer reporte y priorizar CVEs identificados.</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Evaluacion de vulnerabilidades activa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3.6</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SQL Best Practices Assessment en glm-supercep</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Instalar y ejecutar la extension. Revisar el reporte de mejores practicas. Documentar y priorizar recomendaciones de SQL.</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4-6 horas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Reporte de SQL BPA documentado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2E75B6"/>
                <w:sz w:val="20"/>
                <w:szCs w:val="20"/>
              </w:rPr>
              <w:t xml:space="preserve">3.7</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Habilitacion de Soft Delete en Storage y Recovery Vault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Configurar eliminacion temporal en azurebackuprgwestus1d115, morenafs y el almacen de Recovery Services.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 horas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Soft Delete activo en todos los recursos</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Criterios de Exito de la Fase 3</w:t>
      </w:r>
    </w:p>
    <w:p>
      <w:pPr>
        <w:pStyle w:val="ListParagraph"/>
        <w:numPr>
          <w:ilvl w:val="0"/>
          <w:numId w:val="2"/>
        </w:numPr>
        <w:spacing w:after="36" w:before="36"/>
      </w:pPr>
      <w:r>
        <w:rPr>
          <w:rFonts w:ascii="Arial" w:cs="Arial" w:eastAsia="Arial" w:hAnsi="Arial"/>
          <w:sz w:val="20"/>
          <w:szCs w:val="20"/>
        </w:rPr>
        <w:t xml:space="preserve">VPN Gateway operando en SKU zonal (VpnGwXAZ); conectividad hibrida validada.</w:t>
      </w:r>
    </w:p>
    <w:p>
      <w:pPr>
        <w:pStyle w:val="ListParagraph"/>
        <w:numPr>
          <w:ilvl w:val="0"/>
          <w:numId w:val="2"/>
        </w:numPr>
        <w:spacing w:after="36" w:before="36"/>
      </w:pPr>
      <w:r>
        <w:rPr>
          <w:rFonts w:ascii="Arial" w:cs="Arial" w:eastAsia="Arial" w:hAnsi="Arial"/>
          <w:sz w:val="20"/>
          <w:szCs w:val="20"/>
        </w:rPr>
        <w:t xml:space="preserve">SQL Always On AG configurado y failover probado entre zonas de disponibilidad.</w:t>
      </w:r>
    </w:p>
    <w:p>
      <w:pPr>
        <w:pStyle w:val="ListParagraph"/>
        <w:numPr>
          <w:ilvl w:val="0"/>
          <w:numId w:val="2"/>
        </w:numPr>
        <w:spacing w:after="36" w:before="36"/>
      </w:pPr>
      <w:r>
        <w:rPr>
          <w:rFonts w:ascii="Arial" w:cs="Arial" w:eastAsia="Arial" w:hAnsi="Arial"/>
          <w:sz w:val="20"/>
          <w:szCs w:val="20"/>
        </w:rPr>
        <w:t xml:space="preserve">ZRS activo en las dos cuentas de almacenamiento criticas.</w:t>
      </w:r>
    </w:p>
    <w:p>
      <w:pPr>
        <w:pStyle w:val="ListParagraph"/>
        <w:numPr>
          <w:ilvl w:val="0"/>
          <w:numId w:val="2"/>
        </w:numPr>
        <w:spacing w:after="36" w:before="36"/>
      </w:pPr>
      <w:r>
        <w:rPr>
          <w:rFonts w:ascii="Arial" w:cs="Arial" w:eastAsia="Arial" w:hAnsi="Arial"/>
          <w:sz w:val="20"/>
          <w:szCs w:val="20"/>
        </w:rPr>
        <w:t xml:space="preserve">Reporte de SQL BPA de glm-supercep documentado y prioridades definidas.</w:t>
      </w:r>
    </w:p>
    <w:p>
      <w:pPr>
        <w:pStyle w:val="ListParagraph"/>
        <w:numPr>
          <w:ilvl w:val="0"/>
          <w:numId w:val="2"/>
        </w:numPr>
        <w:spacing w:after="36" w:before="36"/>
      </w:pPr>
      <w:r>
        <w:rPr>
          <w:rFonts w:ascii="Arial" w:cs="Arial" w:eastAsia="Arial" w:hAnsi="Arial"/>
          <w:sz w:val="20"/>
          <w:szCs w:val="20"/>
        </w:rPr>
        <w:t xml:space="preserve">Evaluacion de vulnerabilidades activa en todas las VMs de produccion.</w:t>
      </w:r>
    </w:p>
    <w:p>
      <w:pPr>
        <w:spacing w:after="40" w:before="40"/>
      </w:pPr>
      <w:r>
        <w:t xml:space="preserve"/>
      </w:r>
    </w:p>
    <w:p>
      <w:pPr>
        <w:spacing w:after="40" w:before="40"/>
      </w:pPr>
      <w:r>
        <w:t xml:space="preserve"/>
      </w:r>
    </w:p>
    <w:p>
      <w:r>
        <w:br w:type="page"/>
      </w:r>
    </w:p>
    <w:p>
      <w:pPr>
        <w:pStyle w:val="Heading2"/>
        <w:spacing w:after="100" w:before="280"/>
      </w:pPr>
      <w:r>
        <w:rPr>
          <w:rFonts w:ascii="Arial" w:cs="Arial" w:eastAsia="Arial" w:hAnsi="Arial"/>
          <w:b/>
          <w:bCs/>
          <w:color w:val="375623"/>
          <w:sz w:val="26"/>
          <w:szCs w:val="26"/>
        </w:rPr>
        <w:t xml:space="preserve">Fase 4 — Largo Plazo (Mes 4 en adelante)</w:t>
      </w:r>
    </w:p>
    <w:p>
      <w:pPr>
        <w:spacing w:after="80" w:before="40"/>
        <w:jc w:val="left"/>
      </w:pPr>
      <w:r>
        <w:rPr>
          <w:rFonts w:ascii="Arial" w:cs="Arial" w:eastAsia="Arial" w:hAnsi="Arial"/>
          <w:b w:val="false"/>
          <w:bCs w:val="false"/>
          <w:color w:val="595959"/>
          <w:sz w:val="20"/>
          <w:szCs w:val="20"/>
        </w:rPr>
        <w:t xml:space="preserve">La fase final establece las bases de gobernanza, cumplimiento continuo y madurez cloud que permiten al tenant mantener y mejorar su postura de Azure de forma sostenida. Algunas actividades de esta fase (Sentinel, IaC) pueden requerir proyectos independientes con su propio alcance y presupuesto.</w:t>
      </w:r>
    </w:p>
    <w:p>
      <w:pPr>
        <w:pStyle w:val="Heading3"/>
        <w:spacing w:after="80" w:before="200"/>
      </w:pPr>
      <w:r>
        <w:rPr>
          <w:rFonts w:ascii="Arial" w:cs="Arial" w:eastAsia="Arial" w:hAnsi="Arial"/>
          <w:b/>
          <w:bCs/>
          <w:color w:val="1F6B75"/>
          <w:sz w:val="22"/>
          <w:szCs w:val="22"/>
        </w:rPr>
        <w:t xml:space="preserve">Objetivo de la Fase</w:t>
      </w:r>
    </w:p>
    <w:p>
      <w:pPr>
        <w:pStyle w:val="ListParagraph"/>
        <w:numPr>
          <w:ilvl w:val="0"/>
          <w:numId w:val="2"/>
        </w:numPr>
        <w:spacing w:after="36" w:before="36"/>
      </w:pPr>
      <w:r>
        <w:rPr>
          <w:rFonts w:ascii="Arial" w:cs="Arial" w:eastAsia="Arial" w:hAnsi="Arial"/>
          <w:sz w:val="20"/>
          <w:szCs w:val="20"/>
        </w:rPr>
        <w:t xml:space="preserve">Implementar cumplimiento continuo automatizado con Azure Policy (CIS / NIST).</w:t>
      </w:r>
    </w:p>
    <w:p>
      <w:pPr>
        <w:pStyle w:val="ListParagraph"/>
        <w:numPr>
          <w:ilvl w:val="0"/>
          <w:numId w:val="2"/>
        </w:numPr>
        <w:spacing w:after="36" w:before="36"/>
      </w:pPr>
      <w:r>
        <w:rPr>
          <w:rFonts w:ascii="Arial" w:cs="Arial" w:eastAsia="Arial" w:hAnsi="Arial"/>
          <w:sz w:val="20"/>
          <w:szCs w:val="20"/>
        </w:rPr>
        <w:t xml:space="preserve">Activar Azure Hybrid Benefit y Storage Lifecycle Policies para reduccion adicional de costos.</w:t>
      </w:r>
    </w:p>
    <w:p>
      <w:pPr>
        <w:pStyle w:val="ListParagraph"/>
        <w:numPr>
          <w:ilvl w:val="0"/>
          <w:numId w:val="2"/>
        </w:numPr>
        <w:spacing w:after="36" w:before="36"/>
      </w:pPr>
      <w:r>
        <w:rPr>
          <w:rFonts w:ascii="Arial" w:cs="Arial" w:eastAsia="Arial" w:hAnsi="Arial"/>
          <w:sz w:val="20"/>
          <w:szCs w:val="20"/>
        </w:rPr>
        <w:t xml:space="preserve">Evaluar e iniciar la migracion a VMSS Flex para las VMs candidatas.</w:t>
      </w:r>
    </w:p>
    <w:p>
      <w:pPr>
        <w:pStyle w:val="ListParagraph"/>
        <w:numPr>
          <w:ilvl w:val="0"/>
          <w:numId w:val="2"/>
        </w:numPr>
        <w:spacing w:after="36" w:before="36"/>
      </w:pPr>
      <w:r>
        <w:rPr>
          <w:rFonts w:ascii="Arial" w:cs="Arial" w:eastAsia="Arial" w:hAnsi="Arial"/>
          <w:sz w:val="20"/>
          <w:szCs w:val="20"/>
        </w:rPr>
        <w:t xml:space="preserve">Establecer las bases de IaC y documentar la convencion de nombres segun el Cloud Adoption Framework.</w:t>
      </w:r>
    </w:p>
    <w:p>
      <w:pPr>
        <w:pStyle w:val="ListParagraph"/>
        <w:numPr>
          <w:ilvl w:val="0"/>
          <w:numId w:val="2"/>
        </w:numPr>
        <w:spacing w:after="36" w:before="36"/>
      </w:pPr>
      <w:r>
        <w:rPr>
          <w:rFonts w:ascii="Arial" w:cs="Arial" w:eastAsia="Arial" w:hAnsi="Arial"/>
          <w:sz w:val="20"/>
          <w:szCs w:val="20"/>
        </w:rPr>
        <w:t xml:space="preserve">Cerrar formalmente el proyecto con entrega de documentacion y reporte ejecutivo de resultados.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600"/>
        <w:gridCol w:w="1200"/>
        <w:gridCol w:w="1100"/>
        <w:gridCol w:w="1960"/>
      </w:tblGrid>
      <w:tr>
        <w:tc>
          <w:tcPr>
            <w:tcW w:type="dxa" w:w="400"/>
            <w:tcBorders>
              <w:top w:val="single" w:color="BFBFBF" w:sz="4"/>
              <w:left w:val="single" w:color="BFBFBF" w:sz="4"/>
              <w:bottom w:val="single" w:color="BFBFBF" w:sz="4"/>
              <w:right w:val="single" w:color="BFBFBF" w:sz="4"/>
            </w:tcBorders>
            <w:shd w:fill="375623"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w:t>
            </w:r>
          </w:p>
        </w:tc>
        <w:tc>
          <w:tcPr>
            <w:tcW w:type="dxa" w:w="2100"/>
            <w:tcBorders>
              <w:top w:val="single" w:color="BFBFBF" w:sz="4"/>
              <w:left w:val="single" w:color="BFBFBF" w:sz="4"/>
              <w:bottom w:val="single" w:color="BFBFBF" w:sz="4"/>
              <w:right w:val="single" w:color="BFBFBF" w:sz="4"/>
            </w:tcBorders>
            <w:shd w:fill="375623"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Actividad</w:t>
            </w:r>
          </w:p>
        </w:tc>
        <w:tc>
          <w:tcPr>
            <w:tcW w:type="dxa" w:w="2600"/>
            <w:tcBorders>
              <w:top w:val="single" w:color="BFBFBF" w:sz="4"/>
              <w:left w:val="single" w:color="BFBFBF" w:sz="4"/>
              <w:bottom w:val="single" w:color="BFBFBF" w:sz="4"/>
              <w:right w:val="single" w:color="BFBFBF" w:sz="4"/>
            </w:tcBorders>
            <w:shd w:fill="375623"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1200"/>
            <w:tcBorders>
              <w:top w:val="single" w:color="BFBFBF" w:sz="4"/>
              <w:left w:val="single" w:color="BFBFBF" w:sz="4"/>
              <w:bottom w:val="single" w:color="BFBFBF" w:sz="4"/>
              <w:right w:val="single" w:color="BFBFBF" w:sz="4"/>
            </w:tcBorders>
            <w:shd w:fill="375623"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Responsable</w:t>
            </w:r>
          </w:p>
        </w:tc>
        <w:tc>
          <w:tcPr>
            <w:tcW w:type="dxa" w:w="1100"/>
            <w:tcBorders>
              <w:top w:val="single" w:color="BFBFBF" w:sz="4"/>
              <w:left w:val="single" w:color="BFBFBF" w:sz="4"/>
              <w:bottom w:val="single" w:color="BFBFBF" w:sz="4"/>
              <w:right w:val="single" w:color="BFBFBF" w:sz="4"/>
            </w:tcBorders>
            <w:shd w:fill="375623"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Duracion</w:t>
            </w:r>
          </w:p>
        </w:tc>
        <w:tc>
          <w:tcPr>
            <w:tcW w:type="dxa" w:w="1960"/>
            <w:tcBorders>
              <w:top w:val="single" w:color="BFBFBF" w:sz="4"/>
              <w:left w:val="single" w:color="BFBFBF" w:sz="4"/>
              <w:bottom w:val="single" w:color="BFBFBF" w:sz="4"/>
              <w:right w:val="single" w:color="BFBFBF" w:sz="4"/>
            </w:tcBorders>
            <w:shd w:fill="375623"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Entregable</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4.1</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Implementacion de Azure Policy (CIS Benchmark o NIST)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Desplegar iniciativa de cumplimiento. Revisar recursos no conformes. Definir proceso de remediacion continua.</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Politica de cumplimiento activa y reportada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4.2</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Evaluacion de migracion a VMSS Flex</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Analizar VMs candidatas. Definir plan de migracion por VM. Ejecutar piloto con VM de menor criticidad.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Plan de VMSS documentado y aprobado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4.3</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Implementacion de Azure Hybrid Benefit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Revisar licencias Windows/SQL existentes. Aplicar Hybrid Benefit en VMs elegibles para reducir costos adicionales.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HB activo, ahorro adicional documentado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4.4</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Storage Lifecycle Policies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Definir y aplicar politicas de ciclo de vida para mover datos frios a tiers Cool y Archive en las cuentas de almacenamiento.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Lifecycle Policies activas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4.5</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Evaluacion e implementacion de Microsoft Sentinel</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Diseno de casos de uso. Conexion de fuentes de datos. Configuracion de reglas de analitica y playbooks iniciales.</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5-10 dias (proyecto separado)</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Sentinel activo con reglas base</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4.6</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Configuracion de IaC (Bicep o Terraform) para nuevos recursos</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Definir plantillas estandar para tipos de recursos criticos. Integrar con Azure DevOps o GitHub Actions.</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5-10 dias</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Repositorio IaC operativo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4.7</w:t>
            </w:r>
          </w:p>
        </w:tc>
        <w:tc>
          <w:tcPr>
            <w:tcW w:type="dxa" w:w="2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Estandarizacion de naming y alineacion de resource groups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Definir convencion de nombres segun CAF. Crear plan de renombramiento progresivo para recursos existentes.</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2-3 dias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Guia de nomenclatura documentada</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4.8</w:t>
            </w:r>
          </w:p>
        </w:tc>
        <w:tc>
          <w:tcPr>
            <w:tcW w:type="dxa" w:w="2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Revision final y cierre del proyecto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Revision del Advisor Score final, Secure Score y KPIs. Entrega de documentacion completa. Presentacion ejecutiva de resultados.</w:t>
            </w:r>
          </w:p>
        </w:tc>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2E75B6"/>
                <w:sz w:val="18"/>
                <w:szCs w:val="18"/>
              </w:rPr>
              <w:t xml:space="preserve">Mixto</w:t>
            </w:r>
          </w:p>
        </w:tc>
        <w:tc>
          <w:tcPr>
            <w:tcW w:type="dxa" w:w="1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9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1F6B75"/>
                <w:sz w:val="20"/>
                <w:szCs w:val="20"/>
              </w:rPr>
              <w:t xml:space="preserve">Reporte final de cierre y KPIs</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Criterios de Exito de la Fase 4 y del Proyecto</w:t>
      </w:r>
    </w:p>
    <w:p>
      <w:pPr>
        <w:pStyle w:val="ListParagraph"/>
        <w:numPr>
          <w:ilvl w:val="0"/>
          <w:numId w:val="2"/>
        </w:numPr>
        <w:spacing w:after="36" w:before="36"/>
      </w:pPr>
      <w:r>
        <w:rPr>
          <w:rFonts w:ascii="Arial" w:cs="Arial" w:eastAsia="Arial" w:hAnsi="Arial"/>
          <w:sz w:val="20"/>
          <w:szCs w:val="20"/>
        </w:rPr>
        <w:t xml:space="preserve">Advisor Score de Seguridad &gt;= 80% y de Confiabilidad &gt;= 70% sostenidos al cierre del proyecto.</w:t>
      </w:r>
    </w:p>
    <w:p>
      <w:pPr>
        <w:pStyle w:val="ListParagraph"/>
        <w:numPr>
          <w:ilvl w:val="0"/>
          <w:numId w:val="2"/>
        </w:numPr>
        <w:spacing w:after="36" w:before="36"/>
      </w:pPr>
      <w:r>
        <w:rPr>
          <w:rFonts w:ascii="Arial" w:cs="Arial" w:eastAsia="Arial" w:hAnsi="Arial"/>
          <w:sz w:val="20"/>
          <w:szCs w:val="20"/>
        </w:rPr>
        <w:t xml:space="preserve">0 recomendaciones de impacto Alto pendientes en las categorias de Seguridad y Confiabilidad.</w:t>
      </w:r>
    </w:p>
    <w:p>
      <w:pPr>
        <w:pStyle w:val="ListParagraph"/>
        <w:numPr>
          <w:ilvl w:val="0"/>
          <w:numId w:val="2"/>
        </w:numPr>
        <w:spacing w:after="36" w:before="36"/>
      </w:pPr>
      <w:r>
        <w:rPr>
          <w:rFonts w:ascii="Arial" w:cs="Arial" w:eastAsia="Arial" w:hAnsi="Arial"/>
          <w:sz w:val="20"/>
          <w:szCs w:val="20"/>
        </w:rPr>
        <w:t xml:space="preserve">Ahorro acumulado de al menos $15,208 USD/año activo y documentado en Cost Management.</w:t>
      </w:r>
    </w:p>
    <w:p>
      <w:pPr>
        <w:pStyle w:val="ListParagraph"/>
        <w:numPr>
          <w:ilvl w:val="0"/>
          <w:numId w:val="2"/>
        </w:numPr>
        <w:spacing w:after="36" w:before="36"/>
      </w:pPr>
      <w:r>
        <w:rPr>
          <w:rFonts w:ascii="Arial" w:cs="Arial" w:eastAsia="Arial" w:hAnsi="Arial"/>
          <w:sz w:val="20"/>
          <w:szCs w:val="20"/>
        </w:rPr>
        <w:t xml:space="preserve">Azure Policy activo con resumen de cumplimiento disponible para la direccion.</w:t>
      </w:r>
    </w:p>
    <w:p>
      <w:pPr>
        <w:pStyle w:val="ListParagraph"/>
        <w:numPr>
          <w:ilvl w:val="0"/>
          <w:numId w:val="2"/>
        </w:numPr>
        <w:spacing w:after="36" w:before="36"/>
      </w:pPr>
      <w:r>
        <w:rPr>
          <w:rFonts w:ascii="Arial" w:cs="Arial" w:eastAsia="Arial" w:hAnsi="Arial"/>
          <w:sz w:val="20"/>
          <w:szCs w:val="20"/>
        </w:rPr>
        <w:t xml:space="preserve">Documentacion completa entregada: fichas tecnicas, cambios ejecutados, configuraciones finales y lecciones aprendidas.</w:t>
      </w:r>
    </w:p>
    <w:p>
      <w:pPr>
        <w:spacing w:after="40" w:before="40"/>
      </w:pPr>
      <w:r>
        <w:t xml:space="preserve"/>
      </w:r>
    </w:p>
    <w:p>
      <w:pPr>
        <w:spacing w:after="40" w:before="40"/>
      </w:pPr>
      <w:r>
        <w:t xml:space="preserve"/>
      </w:r>
    </w:p>
    <w:p>
      <w:pPr>
        <w:pBdr>
          <w:top w:val="single" w:color="0078D4" w:sz="6" w:space="4"/>
        </w:pBdr>
        <w:spacing w:after="60" w:before="120"/>
        <w:jc w:val="center"/>
      </w:pPr>
      <w:r>
        <w:rPr>
          <w:rFonts w:ascii="Arial" w:cs="Arial" w:eastAsia="Arial" w:hAnsi="Arial"/>
          <w:color w:val="595959"/>
          <w:sz w:val="18"/>
          <w:szCs w:val="18"/>
        </w:rPr>
        <w:t xml:space="preserve">--- Fin del Documento de Proyecto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4"/>
      </w:pBdr>
      <w:spacing w:after="0" w:before="80"/>
      <w:jc w:val="right"/>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spacing w:after="120" w:before="0"/>
    </w:pPr>
    <w:r>
      <w:rPr>
        <w:rFonts w:ascii="Arial" w:cs="Arial" w:eastAsia="Arial" w:hAnsi="Arial"/>
        <w:color w:val="595959"/>
        <w:sz w:val="18"/>
        <w:szCs w:val="18"/>
      </w:rPr>
      <w:t xml:space="preserve">Documento de Proyecto — Azure Advisor  |  </w:t>
    </w:r>
    <w:r>
      <w:rPr>
        <w:rFonts w:ascii="Arial" w:cs="Arial" w:eastAsia="Arial" w:hAnsi="Arial"/>
        <w:b/>
        <w:bCs/>
        <w:color w:val="1F3864"/>
        <w:sz w:val="18"/>
        <w:szCs w:val="18"/>
      </w:rPr>
      <w:t xml:space="preserve">Azure subscription 1</w:t>
    </w:r>
    <w:r>
      <w:rPr>
        <w:rFonts w:ascii="Arial" w:cs="Arial" w:eastAsia="Arial" w:hAnsi="Arial"/>
        <w:color w:val="595959"/>
        <w:sz w:val="18"/>
        <w:szCs w:val="18"/>
      </w:rPr>
      <w:t xml:space="preserve">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2026-06-17T15:35:33.993Z</dcterms:created>
  <dcterms:modified xsi:type="dcterms:W3CDTF">2026-06-17T15:35:34.007Z</dcterms:modified>
</cp:coreProperties>
</file>

<file path=docProps/custom.xml><?xml version="1.0" encoding="utf-8"?>
<Properties xmlns="http://schemas.openxmlformats.org/officeDocument/2006/custom-properties" xmlns:vt="http://schemas.openxmlformats.org/officeDocument/2006/docPropsVTypes"/>
</file>