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b w:val="false"/>
          <w:bCs w:val="false"/>
          <w:i w:val="false"/>
          <w:iCs w:val="false"/>
          <w:color w:val="404040"/>
          <w:sz w:val="22"/>
          <w:szCs w:val="22"/>
        </w:rPr>
        <w:t xml:space="preserve"/>
      </w:r>
    </w:p>
    <w:p>
      <w:pPr>
        <w:spacing w:after="80" w:before="0"/>
        <w:jc w:val="center"/>
      </w:pPr>
      <w:r>
        <w:rPr>
          <w:rFonts w:ascii="Arial" w:cs="Arial" w:eastAsia="Arial" w:hAnsi="Arial"/>
          <w:b/>
          <w:bCs/>
          <w:color w:val="0070C0"/>
          <w:sz w:val="44"/>
          <w:szCs w:val="44"/>
        </w:rPr>
        <w:t xml:space="preserve">PROPUESTA DE SERVICIOS</w:t>
      </w:r>
    </w:p>
    <w:p>
      <w:pPr>
        <w:spacing w:after="240" w:before="0"/>
        <w:jc w:val="center"/>
      </w:pPr>
      <w:r>
        <w:rPr>
          <w:rFonts w:ascii="Arial" w:cs="Arial" w:eastAsia="Arial" w:hAnsi="Arial"/>
          <w:b w:val="false"/>
          <w:bCs w:val="false"/>
          <w:color w:val="2E75B6"/>
          <w:sz w:val="30"/>
          <w:szCs w:val="30"/>
        </w:rPr>
        <w:t xml:space="preserve">Implementación de MFA con Microsoft Azure Entra ID</w:t>
      </w:r>
    </w:p>
    <w:p>
      <w:pPr>
        <w:pBdr>
          <w:bottom w:val="single" w:color="00B0A0" w:sz="16" w:space="2"/>
        </w:pBdr>
        <w:spacing w:after="400" w:before="0"/>
        <w:jc w:val="center"/>
      </w:pPr>
      <w:r>
        <w:rPr>
          <w:rFonts w:ascii="Arial" w:cs="Arial" w:eastAsia="Arial" w:hAnsi="Arial"/>
          <w:b w:val="false"/>
          <w:bCs w:val="false"/>
          <w:i w:val="false"/>
          <w:iCs w:val="false"/>
          <w:color w:val="404040"/>
          <w:sz w:val="22"/>
          <w:szCs w:val="22"/>
        </w:rPr>
        <w:t xml:space="preserve"/>
      </w:r>
    </w:p>
    <w:p>
      <w:pPr>
        <w:spacing w:after="0" w:before="400"/>
      </w:pPr>
      <w:r>
        <w:rPr>
          <w:rFonts w:ascii="Arial" w:cs="Arial" w:eastAsia="Arial" w:hAnsi="Arial"/>
          <w:b w:val="false"/>
          <w:bCs w:val="false"/>
          <w:i w:val="false"/>
          <w:iCs w:val="false"/>
          <w:color w:val="404040"/>
          <w:sz w:val="22"/>
          <w:szCs w:val="22"/>
        </w:rPr>
        <w:t xml:space="preserve"/>
      </w:r>
    </w:p>
    <w:p>
      <w:pPr>
        <w:spacing w:after="80" w:before="0"/>
        <w:jc w:val="center"/>
      </w:pPr>
      <w:r>
        <w:rPr>
          <w:rFonts w:ascii="Arial" w:cs="Arial" w:eastAsia="Arial" w:hAnsi="Arial"/>
          <w:color w:val="595959"/>
          <w:sz w:val="22"/>
          <w:szCs w:val="22"/>
        </w:rPr>
        <w:t xml:space="preserve">Para:</w:t>
      </w:r>
    </w:p>
    <w:p>
      <w:pPr>
        <w:spacing w:after="240" w:before="0"/>
        <w:jc w:val="center"/>
      </w:pPr>
      <w:r>
        <w:rPr>
          <w:rFonts w:ascii="Arial" w:cs="Arial" w:eastAsia="Arial" w:hAnsi="Arial"/>
          <w:b/>
          <w:bCs/>
          <w:color w:val="404040"/>
          <w:sz w:val="26"/>
          <w:szCs w:val="26"/>
        </w:rPr>
        <w:t xml:space="preserve">[Nombre del Cliente]</w:t>
      </w:r>
    </w:p>
    <w:p>
      <w:pPr>
        <w:spacing w:after="80" w:before="0"/>
        <w:jc w:val="center"/>
      </w:pPr>
      <w:r>
        <w:rPr>
          <w:rFonts w:ascii="Arial" w:cs="Arial" w:eastAsia="Arial" w:hAnsi="Arial"/>
          <w:color w:val="595959"/>
          <w:sz w:val="22"/>
          <w:szCs w:val="22"/>
        </w:rPr>
        <w:t xml:space="preserve">Preparado por:</w:t>
      </w:r>
    </w:p>
    <w:p>
      <w:pPr>
        <w:spacing w:after="240" w:before="0"/>
        <w:jc w:val="center"/>
      </w:pPr>
      <w:r>
        <w:rPr>
          <w:rFonts w:ascii="Arial" w:cs="Arial" w:eastAsia="Arial" w:hAnsi="Arial"/>
          <w:b/>
          <w:bCs/>
          <w:color w:val="404040"/>
          <w:sz w:val="26"/>
          <w:szCs w:val="26"/>
        </w:rPr>
        <w:t xml:space="preserve">[Nombre del Proveedor]</w:t>
      </w:r>
    </w:p>
    <w:p>
      <w:pPr>
        <w:spacing w:after="80" w:before="0"/>
        <w:jc w:val="center"/>
      </w:pPr>
      <w:r>
        <w:rPr>
          <w:rFonts w:ascii="Arial" w:cs="Arial" w:eastAsia="Arial" w:hAnsi="Arial"/>
          <w:i/>
          <w:iCs/>
          <w:color w:val="595959"/>
          <w:sz w:val="20"/>
          <w:szCs w:val="20"/>
        </w:rPr>
        <w:t xml:space="preserve">Versión 1.0  |  Abril 2025  |  Confidencial</w:t>
      </w:r>
    </w:p>
    <w:p>
      <w:r>
        <w:br w:type="page"/>
      </w:r>
    </w:p>
    <w:p>
      <w:pPr>
        <w:pBdr>
          <w:bottom w:val="single" w:color="2E75B6" w:sz="12" w:space="4"/>
        </w:pBdr>
        <w:spacing w:after="200" w:before="400"/>
      </w:pPr>
      <w:r>
        <w:rPr>
          <w:rFonts w:ascii="Arial" w:cs="Arial" w:eastAsia="Arial" w:hAnsi="Arial"/>
          <w:b/>
          <w:bCs/>
          <w:color w:val="0070C0"/>
          <w:sz w:val="30"/>
          <w:szCs w:val="30"/>
        </w:rPr>
        <w:t xml:space="preserve">1. Resumen Ejecutivo</w:t>
      </w:r>
    </w:p>
    <w:p>
      <w:pPr>
        <w:spacing w:after="120" w:before="0"/>
      </w:pPr>
      <w:r>
        <w:rPr>
          <w:rFonts w:ascii="Arial" w:cs="Arial" w:eastAsia="Arial" w:hAnsi="Arial"/>
          <w:b w:val="false"/>
          <w:bCs w:val="false"/>
          <w:i w:val="false"/>
          <w:iCs w:val="false"/>
          <w:color w:val="404040"/>
          <w:sz w:val="22"/>
          <w:szCs w:val="22"/>
        </w:rPr>
        <w:t xml:space="preserve">La presente propuesta describe el alcance, metodología, requerimientos y estimación de costos para la implementación del servicio de Autenticación Multi-Factor (MFA) utilizando Microsoft Azure Entra ID (anteriormente Azure Active Directory). La solución fortalece la postura de seguridad del cliente protegiendo el acceso a recursos corporativos, aplicaciones en la nube y sistemas on-premises contra ataques de robo de credenciales, acceso no autorizado y amenazas persistentes avanzadas (APT).</w:t>
      </w:r>
    </w:p>
    <w:p>
      <w:pPr>
        <w:spacing w:after="160" w:before="0"/>
      </w:pPr>
      <w:r>
        <w:rPr>
          <w:rFonts w:ascii="Arial" w:cs="Arial" w:eastAsia="Arial" w:hAnsi="Arial"/>
          <w:b w:val="false"/>
          <w:bCs w:val="false"/>
          <w:i w:val="false"/>
          <w:iCs w:val="false"/>
          <w:color w:val="404040"/>
          <w:sz w:val="22"/>
          <w:szCs w:val="22"/>
        </w:rPr>
        <w:t xml:space="preserve">Según Microsoft, el MFA bloquea más del 99.9% de los ataques automatizados sobre cuentas de usuario. Esta implementación está alineada con marcos de referencia de seguridad como NIST SP 800-63B, ISO 27001 y CIS Controls v8.</w:t>
      </w:r>
    </w:p>
    <w:p>
      <w:pPr>
        <w:spacing w:after="0" w:before="120"/>
      </w:pPr>
      <w:r>
        <w:rPr>
          <w:rFonts w:ascii="Arial" w:cs="Arial" w:eastAsia="Arial" w:hAnsi="Arial"/>
          <w:b w:val="false"/>
          <w:bCs w:val="false"/>
          <w:i w:val="false"/>
          <w:iCs w:val="false"/>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~500+
Usuarios protegidos</w:t>
            </w:r>
          </w:p>
        </w:tc>
        <w:tc>
          <w:tcPr>
            <w:tcW w:type="dxa" w:w="2340"/>
            <w:tcBorders>
              <w:top w:val="single" w:color="AAAAAA" w:sz="4"/>
              <w:left w:val="single" w:color="AAAAAA" w:sz="4"/>
              <w:bottom w:val="single" w:color="AAAAAA" w:sz="4"/>
              <w:right w:val="single" w:color="AAAAAA" w:sz="4"/>
            </w:tcBorders>
            <w:shd w:fill="00B0A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6–8 semanas
Duración del proyecto</w:t>
            </w:r>
          </w:p>
        </w:tc>
        <w:tc>
          <w:tcPr>
            <w:tcW w:type="dxa" w:w="2340"/>
            <w:tcBorders>
              <w:top w:val="single" w:color="AAAAAA" w:sz="4"/>
              <w:left w:val="single" w:color="AAAAAA" w:sz="4"/>
              <w:bottom w:val="single" w:color="AAAAAA" w:sz="4"/>
              <w:right w:val="single" w:color="AAAAAA" w:sz="4"/>
            </w:tcBorders>
            <w:shd w:fill="2E75B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99.9%
Reducción de ataques</w:t>
            </w:r>
          </w:p>
        </w:tc>
        <w:tc>
          <w:tcPr>
            <w:tcW w:type="dxa" w:w="2340"/>
            <w:tcBorders>
              <w:top w:val="single" w:color="AAAAAA" w:sz="4"/>
              <w:left w:val="single" w:color="AAAAAA" w:sz="4"/>
              <w:bottom w:val="single" w:color="AAAAAA" w:sz="4"/>
              <w:right w:val="single" w:color="AAAAAA" w:sz="4"/>
            </w:tcBorders>
            <w:shd w:fill="40404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P1/P2
Licencia Azure AD</w:t>
            </w:r>
          </w:p>
        </w:tc>
      </w:tr>
    </w:tbl>
    <w:p>
      <w:r>
        <w:br w:type="page"/>
      </w:r>
    </w:p>
    <w:p>
      <w:pPr>
        <w:pBdr>
          <w:bottom w:val="single" w:color="2E75B6" w:sz="12" w:space="4"/>
        </w:pBdr>
        <w:spacing w:after="200" w:before="400"/>
      </w:pPr>
      <w:r>
        <w:rPr>
          <w:rFonts w:ascii="Arial" w:cs="Arial" w:eastAsia="Arial" w:hAnsi="Arial"/>
          <w:b/>
          <w:bCs/>
          <w:color w:val="0070C0"/>
          <w:sz w:val="30"/>
          <w:szCs w:val="30"/>
        </w:rPr>
        <w:t xml:space="preserve">2. Objetivos del Proyecto</w:t>
      </w:r>
    </w:p>
    <w:p>
      <w:pPr>
        <w:spacing w:after="120" w:before="240"/>
      </w:pPr>
      <w:r>
        <w:rPr>
          <w:rFonts w:ascii="Arial" w:cs="Arial" w:eastAsia="Arial" w:hAnsi="Arial"/>
          <w:b/>
          <w:bCs/>
          <w:color w:val="2E75B6"/>
          <w:sz w:val="24"/>
          <w:szCs w:val="24"/>
        </w:rPr>
        <w:t xml:space="preserve">2.1  Objetivo General</w:t>
      </w:r>
    </w:p>
    <w:p>
      <w:pPr>
        <w:spacing w:after="120" w:before="0"/>
      </w:pPr>
      <w:r>
        <w:rPr>
          <w:rFonts w:ascii="Arial" w:cs="Arial" w:eastAsia="Arial" w:hAnsi="Arial"/>
          <w:b w:val="false"/>
          <w:bCs w:val="false"/>
          <w:i w:val="false"/>
          <w:iCs w:val="false"/>
          <w:color w:val="404040"/>
          <w:sz w:val="22"/>
          <w:szCs w:val="22"/>
        </w:rPr>
        <w:t xml:space="preserve">Implementar una solución robusta de MFA en Microsoft Azure Entra ID que proteja el acceso de todos los usuarios corporativos a aplicaciones, servicios y recursos de la organización, reduciendo el riesgo de acceso no autorizado mediante la verificación de identidad en múltiples factores.</w:t>
      </w:r>
    </w:p>
    <w:p>
      <w:pPr>
        <w:spacing w:after="120" w:before="240"/>
      </w:pPr>
      <w:r>
        <w:rPr>
          <w:rFonts w:ascii="Arial" w:cs="Arial" w:eastAsia="Arial" w:hAnsi="Arial"/>
          <w:b/>
          <w:bCs/>
          <w:color w:val="2E75B6"/>
          <w:sz w:val="24"/>
          <w:szCs w:val="24"/>
        </w:rPr>
        <w:t xml:space="preserve">2.2  Seguridad</w:t>
      </w:r>
    </w:p>
    <w:p>
      <w:pPr>
        <w:spacing w:after="120" w:before="0"/>
      </w:pPr>
      <w:r>
        <w:rPr>
          <w:rFonts w:ascii="Arial" w:cs="Arial" w:eastAsia="Arial" w:hAnsi="Arial"/>
          <w:b w:val="false"/>
          <w:bCs w:val="false"/>
          <w:i w:val="false"/>
          <w:iCs w:val="false"/>
          <w:color w:val="404040"/>
          <w:sz w:val="22"/>
          <w:szCs w:val="22"/>
        </w:rPr>
        <w:t xml:space="preserve">Eliminar la dependencia exclusiva de contraseñas como único factor de autenticación, bloqueando el 99.9% de ataques automatizados según benchmarks de Microsoft.</w:t>
      </w:r>
    </w:p>
    <w:p>
      <w:pPr>
        <w:spacing w:after="120" w:before="240"/>
      </w:pPr>
      <w:r>
        <w:rPr>
          <w:rFonts w:ascii="Arial" w:cs="Arial" w:eastAsia="Arial" w:hAnsi="Arial"/>
          <w:b/>
          <w:bCs/>
          <w:color w:val="2E75B6"/>
          <w:sz w:val="24"/>
          <w:szCs w:val="24"/>
        </w:rPr>
        <w:t xml:space="preserve">2.3  Cumplimiento</w:t>
      </w:r>
    </w:p>
    <w:p>
      <w:pPr>
        <w:spacing w:after="120" w:before="0"/>
      </w:pPr>
      <w:r>
        <w:rPr>
          <w:rFonts w:ascii="Arial" w:cs="Arial" w:eastAsia="Arial" w:hAnsi="Arial"/>
          <w:b w:val="false"/>
          <w:bCs w:val="false"/>
          <w:i w:val="false"/>
          <w:iCs w:val="false"/>
          <w:color w:val="404040"/>
          <w:sz w:val="22"/>
          <w:szCs w:val="22"/>
        </w:rPr>
        <w:t xml:space="preserve">Alinear la autenticación con estándares y marcos regulatorios aplicables: ISO 27001, NIST SP 800-63B, CIS Controls v8, SOC 2 Type II y GDPR/LFPDPPP según corresponda.</w:t>
      </w:r>
    </w:p>
    <w:p>
      <w:pPr>
        <w:spacing w:after="120" w:before="240"/>
      </w:pPr>
      <w:r>
        <w:rPr>
          <w:rFonts w:ascii="Arial" w:cs="Arial" w:eastAsia="Arial" w:hAnsi="Arial"/>
          <w:b/>
          <w:bCs/>
          <w:color w:val="2E75B6"/>
          <w:sz w:val="24"/>
          <w:szCs w:val="24"/>
        </w:rPr>
        <w:t xml:space="preserve">2.4  Experiencia de usuario</w:t>
      </w:r>
    </w:p>
    <w:p>
      <w:pPr>
        <w:spacing w:after="120" w:before="0"/>
      </w:pPr>
      <w:r>
        <w:rPr>
          <w:rFonts w:ascii="Arial" w:cs="Arial" w:eastAsia="Arial" w:hAnsi="Arial"/>
          <w:b w:val="false"/>
          <w:bCs w:val="false"/>
          <w:i w:val="false"/>
          <w:iCs w:val="false"/>
          <w:color w:val="404040"/>
          <w:sz w:val="22"/>
          <w:szCs w:val="22"/>
        </w:rPr>
        <w:t xml:space="preserve">Garantizar una experiencia de autenticación fluida con opciones de MFA que equilibren seguridad y usabilidad: Microsoft Authenticator, SMS, FIDO2 y passkeys.</w:t>
      </w:r>
    </w:p>
    <w:p>
      <w:pPr>
        <w:spacing w:after="120" w:before="240"/>
      </w:pPr>
      <w:r>
        <w:rPr>
          <w:rFonts w:ascii="Arial" w:cs="Arial" w:eastAsia="Arial" w:hAnsi="Arial"/>
          <w:b/>
          <w:bCs/>
          <w:color w:val="2E75B6"/>
          <w:sz w:val="24"/>
          <w:szCs w:val="24"/>
        </w:rPr>
        <w:t xml:space="preserve">2.5  Gobierno de identidades</w:t>
      </w:r>
    </w:p>
    <w:p>
      <w:pPr>
        <w:spacing w:after="120" w:before="0"/>
      </w:pPr>
      <w:r>
        <w:rPr>
          <w:rFonts w:ascii="Arial" w:cs="Arial" w:eastAsia="Arial" w:hAnsi="Arial"/>
          <w:b w:val="false"/>
          <w:bCs w:val="false"/>
          <w:i w:val="false"/>
          <w:iCs w:val="false"/>
          <w:color w:val="404040"/>
          <w:sz w:val="22"/>
          <w:szCs w:val="22"/>
        </w:rPr>
        <w:t xml:space="preserve">Establecer políticas de Conditional Access que diferencien el nivel de autenticación requerido según el riesgo: usuario, dispositivo, ubicación y sensibilidad de la aplicación.</w:t>
      </w:r>
    </w:p>
    <w:p>
      <w:pPr>
        <w:spacing w:after="120" w:before="240"/>
      </w:pPr>
      <w:r>
        <w:rPr>
          <w:rFonts w:ascii="Arial" w:cs="Arial" w:eastAsia="Arial" w:hAnsi="Arial"/>
          <w:b/>
          <w:bCs/>
          <w:color w:val="2E75B6"/>
          <w:sz w:val="24"/>
          <w:szCs w:val="24"/>
        </w:rPr>
        <w:t xml:space="preserve">2.6  Continuidad</w:t>
      </w:r>
    </w:p>
    <w:p>
      <w:pPr>
        <w:spacing w:after="120" w:before="0"/>
      </w:pPr>
      <w:r>
        <w:rPr>
          <w:rFonts w:ascii="Arial" w:cs="Arial" w:eastAsia="Arial" w:hAnsi="Arial"/>
          <w:b w:val="false"/>
          <w:bCs w:val="false"/>
          <w:i w:val="false"/>
          <w:iCs w:val="false"/>
          <w:color w:val="404040"/>
          <w:sz w:val="22"/>
          <w:szCs w:val="22"/>
        </w:rPr>
        <w:t xml:space="preserve">Definir procedimientos de recuperación de cuenta, exclusiones de emergencia (break-glass) y cobertura para cuentas de servicio, garantizando continuidad operativa.</w:t>
      </w:r>
    </w:p>
    <w:p>
      <w:r>
        <w:br w:type="page"/>
      </w:r>
    </w:p>
    <w:p>
      <w:pPr>
        <w:pBdr>
          <w:bottom w:val="single" w:color="2E75B6" w:sz="12" w:space="4"/>
        </w:pBdr>
        <w:spacing w:after="200" w:before="400"/>
      </w:pPr>
      <w:r>
        <w:rPr>
          <w:rFonts w:ascii="Arial" w:cs="Arial" w:eastAsia="Arial" w:hAnsi="Arial"/>
          <w:b/>
          <w:bCs/>
          <w:color w:val="0070C0"/>
          <w:sz w:val="30"/>
          <w:szCs w:val="30"/>
        </w:rPr>
        <w:t xml:space="preserve">3. Alcance del Proyecto</w:t>
      </w:r>
    </w:p>
    <w:p>
      <w:pPr>
        <w:spacing w:after="120" w:before="240"/>
      </w:pPr>
      <w:r>
        <w:rPr>
          <w:rFonts w:ascii="Arial" w:cs="Arial" w:eastAsia="Arial" w:hAnsi="Arial"/>
          <w:b/>
          <w:bCs/>
          <w:color w:val="2E75B6"/>
          <w:sz w:val="24"/>
          <w:szCs w:val="24"/>
        </w:rPr>
        <w:t xml:space="preserve">3.1  Dentro del Alcance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Diseño e implementación de políticas de MFA en Microsoft Azure Entra ID (Entra ID P1 o P2).</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Registro y configuración de métodos de autenticación: Microsoft Authenticator (push/OTP), SMS, llamada de voz, FIDO2/passkeys y Windows Hello for Business.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Configuración de Conditional Access Policies (CAPs) diferenciadas por grupo de usuarios, aplicación y nivel de riesgo.</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Integración con aplicaciones SaaS registradas en Azure AD (Microsoft 365, Salesforce, ServiceNow, etc.) vía SAML 2.0 u OpenID Connect.</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Integración con aplicaciones on-premises a través de Azure AD Application Proxy o federación existente (AD FS / OAM).</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Implementación de Self-Service Password Reset (SSPR) con validación MFA.</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Configuración de Named Locations y exclusiones de red corporativa (IPs de confianza).</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Configuración de cuentas break-glass (acceso de emergencia) con monitoreo de alertas.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Capacitación a usuarios finales y administradores de TI.</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Documentación técnica: runbook de administración, políticas y procedimientos.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Soporte post-implementación durante 30 días calendario.</w:t>
      </w:r>
    </w:p>
    <w:p>
      <w:pPr>
        <w:spacing w:after="0" w:before="160"/>
      </w:pPr>
      <w:r>
        <w:rPr>
          <w:rFonts w:ascii="Arial" w:cs="Arial" w:eastAsia="Arial" w:hAnsi="Arial"/>
          <w:b w:val="false"/>
          <w:bCs w:val="false"/>
          <w:i w:val="false"/>
          <w:iCs w:val="false"/>
          <w:color w:val="404040"/>
          <w:sz w:val="22"/>
          <w:szCs w:val="22"/>
        </w:rPr>
        <w:t xml:space="preserve"/>
      </w:r>
    </w:p>
    <w:p>
      <w:pPr>
        <w:spacing w:after="120" w:before="240"/>
      </w:pPr>
      <w:r>
        <w:rPr>
          <w:rFonts w:ascii="Arial" w:cs="Arial" w:eastAsia="Arial" w:hAnsi="Arial"/>
          <w:b/>
          <w:bCs/>
          <w:color w:val="2E75B6"/>
          <w:sz w:val="24"/>
          <w:szCs w:val="24"/>
        </w:rPr>
        <w:t xml:space="preserve">3.2  Fuera del Alcance</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Adquisición o licenciamiento de Azure AD / Entra ID (responsabilidad del cliente).</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Migración o consolidación de directorios de identidad (LDAP, OID, Novell eDirectory).</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Desarrollo de aplicaciones a medida o modificaciones de código fuente.</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Implementación de soluciones de MDM/EMM (Intune, Jamf) fuera del scope de MFA.</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Administración continua de Azure AD más allá de los 30 días de soporte post-implementación.</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Soporte a usuarios finales de nivel 1 (Help Desk) posterior a la entrega del proyecto.</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Configuración de Privileged Identity Management (PIM) salvo contratación adicional.</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Integración con sistemas legados que no soporten protocolos modernos (SAML, OIDC, Kerberos con AD).</w:t>
      </w:r>
    </w:p>
    <w:p>
      <w:r>
        <w:br w:type="page"/>
      </w:r>
    </w:p>
    <w:p>
      <w:pPr>
        <w:pBdr>
          <w:bottom w:val="single" w:color="2E75B6" w:sz="12" w:space="4"/>
        </w:pBdr>
        <w:spacing w:after="200" w:before="400"/>
      </w:pPr>
      <w:r>
        <w:rPr>
          <w:rFonts w:ascii="Arial" w:cs="Arial" w:eastAsia="Arial" w:hAnsi="Arial"/>
          <w:b/>
          <w:bCs/>
          <w:color w:val="0070C0"/>
          <w:sz w:val="30"/>
          <w:szCs w:val="30"/>
        </w:rPr>
        <w:t xml:space="preserve">4. Requerimientos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600"/>
        <w:gridCol w:w="2460"/>
      </w:tblGrid>
      <w:tr>
        <w:tc>
          <w:tcPr>
            <w:tcW w:type="dxa" w:w="15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Categoría</w:t>
            </w:r>
          </w:p>
        </w:tc>
        <w:tc>
          <w:tcPr>
            <w:tcW w:type="dxa" w:w="18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Componente</w:t>
            </w:r>
          </w:p>
        </w:tc>
        <w:tc>
          <w:tcPr>
            <w:tcW w:type="dxa" w:w="36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Requerimiento</w:t>
            </w:r>
          </w:p>
        </w:tc>
        <w:tc>
          <w:tcPr>
            <w:tcW w:type="dxa" w:w="246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Nota</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Licencias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Azure Entra ID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P1 (mínimo) — P2 recomendado</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P2 habilita Identity Protection y Privileged Identity Management</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Licencias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Microsoft 365</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E3 o E5 (incluye Entra ID P1/P2 según tier)</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Verificar SKU vigente del cliente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Directorio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Azure AD / Entra ID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Tenant configurado con dominio verificado</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UPN de usuarios debe coincidir con dominio corporativo</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Sincronización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Azure AD Connect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v2.x instalado y sincronizando usuarios desde AD on-prem</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Health checks verdes; atributos pwdLastSet y userPrincipalName sincronizados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Conectividad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Red corporativa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Acceso HTTPS saliente a *.microsoftonline.com, *.microsoft.com</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Puertos 443 y 80 abiertos; sin inspección SSL profunda en endpoints de auth</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Dispositivos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Endpoints Windows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Windows 10/11 con Azure AD Join o Hybrid Join</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Recomendado para Windows Hello for Business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Dispositivos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Dispositivos móviles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iOS 14+ o Android 10+ para Microsoft Authenticator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Acceso a App Store / Play Store para instalación</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Aplicaciones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Apps SaaS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Registradas como Enterprise Applications en Azure AD</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Soporte SAML 2.0 u OIDC en la aplicación destino</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Aplicaciones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Apps on-premises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Azure AD App Proxy Connector instalado en servidor Windows Server 2019+</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Conector con acceso a la app interna y salida HTTPS a Azure</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Seguridad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Conditional Access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Licencia P1 — políticas de riesgo requieren P2 + Identity Protection</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Definición de grupos excluidos (cuentas de servicio, break-glass)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Monitoreo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Microsoft Sentinel / Log Analytics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Workspace configurado para recibir Sign-in Logs y Audit Logs de Entra ID</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Recomendado para correlación de alertas de MFA</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Administración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Roles RBAC</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Global Admin o Privileged Role Admin para configuración inicial</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Post-implementación: rol Authentication Policy Administrator</w:t>
            </w:r>
          </w:p>
        </w:tc>
      </w:tr>
    </w:tbl>
    <w:p>
      <w:r>
        <w:br w:type="page"/>
      </w:r>
    </w:p>
    <w:p>
      <w:pPr>
        <w:pBdr>
          <w:bottom w:val="single" w:color="2E75B6" w:sz="12" w:space="4"/>
        </w:pBdr>
        <w:spacing w:after="200" w:before="400"/>
      </w:pPr>
      <w:r>
        <w:rPr>
          <w:rFonts w:ascii="Arial" w:cs="Arial" w:eastAsia="Arial" w:hAnsi="Arial"/>
          <w:b/>
          <w:bCs/>
          <w:color w:val="0070C0"/>
          <w:sz w:val="30"/>
          <w:szCs w:val="30"/>
        </w:rPr>
        <w:t xml:space="preserve">5. Requerimientos de Recursos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160"/>
      </w:tblGrid>
      <w:tr>
        <w:tc>
          <w:tcPr>
            <w:tcW w:type="dxa" w:w="18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w:t>
            </w:r>
          </w:p>
        </w:tc>
        <w:tc>
          <w:tcPr>
            <w:tcW w:type="dxa" w:w="27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Responsabilidad</w:t>
            </w:r>
          </w:p>
        </w:tc>
        <w:tc>
          <w:tcPr>
            <w:tcW w:type="dxa" w:w="27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Perfil mínimo</w:t>
            </w:r>
          </w:p>
        </w:tc>
        <w:tc>
          <w:tcPr>
            <w:tcW w:type="dxa" w:w="216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Tiempo estimado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Gerente de Proyecto (Cliente)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Punto de contacto ejecutivo, aprobación de entregables y gestión de riesgos internos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Conocimiento de procesos de TI; autoridad para aprobaciones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4–6 horas/semana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Administrador de Azure AD</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Configuración del tenant, políticas CAP, registro de apps y gestión de usuarios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Microsoft Certified: Identity and Access Administrator (SC-300) o equivalente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Tiempo completo fase 2–4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Administrador de AD on-premises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Gestión de Azure AD Connect, GPOs y objetos de directorio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MCSA / administrador senior de Windows Server y AD DS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Parcial — fase 1 y 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Arquitecto de Seguridad (Proveedor)</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Diseño de políticas, revisión de arquitectura y validación de controles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SC-300 + AZ-500; experiencia en Zero Trust</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Tiempo completo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Ingeniero de Implementación (Proveedor)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Despliegue técnico, integración de apps, pruebas y documentación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Azure certified + experiencia en SAML/OIDC y AD Connect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Tiempo completo</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Líder de Comunicación (Cliente)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Coordinación de comunicados a usuarios finales y soporte Help Desk interno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Recursos Humanos o Comunicación Interna</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Fase 4 y 5: 4–8 horas</w:t>
            </w:r>
          </w:p>
        </w:tc>
      </w:tr>
    </w:tbl>
    <w:p>
      <w:r>
        <w:br w:type="page"/>
      </w:r>
    </w:p>
    <w:p>
      <w:pPr>
        <w:pBdr>
          <w:bottom w:val="single" w:color="2E75B6" w:sz="12" w:space="4"/>
        </w:pBdr>
        <w:spacing w:after="200" w:before="400"/>
      </w:pPr>
      <w:r>
        <w:rPr>
          <w:rFonts w:ascii="Arial" w:cs="Arial" w:eastAsia="Arial" w:hAnsi="Arial"/>
          <w:b/>
          <w:bCs/>
          <w:color w:val="0070C0"/>
          <w:sz w:val="30"/>
          <w:szCs w:val="30"/>
        </w:rPr>
        <w:t xml:space="preserve">6. Arquitectura de la Solución</w:t>
      </w:r>
    </w:p>
    <w:p>
      <w:pPr>
        <w:spacing w:after="120" w:before="240"/>
      </w:pPr>
      <w:r>
        <w:rPr>
          <w:rFonts w:ascii="Arial" w:cs="Arial" w:eastAsia="Arial" w:hAnsi="Arial"/>
          <w:b/>
          <w:bCs/>
          <w:color w:val="2E75B6"/>
          <w:sz w:val="24"/>
          <w:szCs w:val="24"/>
        </w:rPr>
        <w:t xml:space="preserve">6.1  Descripción General</w:t>
      </w:r>
    </w:p>
    <w:p>
      <w:pPr>
        <w:spacing w:after="120" w:before="0"/>
      </w:pPr>
      <w:r>
        <w:rPr>
          <w:rFonts w:ascii="Arial" w:cs="Arial" w:eastAsia="Arial" w:hAnsi="Arial"/>
          <w:b w:val="false"/>
          <w:bCs w:val="false"/>
          <w:i w:val="false"/>
          <w:iCs w:val="false"/>
          <w:color w:val="404040"/>
          <w:sz w:val="22"/>
          <w:szCs w:val="22"/>
        </w:rPr>
        <w:t xml:space="preserve">La arquitectura propuesta sigue el modelo Zero Trust de Microsoft, donde la identidad es el nuevo perímetro de seguridad. Azure Entra ID actúa como el plano de control de identidad, evaluando cada solicitud de acceso en tiempo real considerando señales de identidad, dispositivo, ubicación y comportamiento.</w:t>
      </w:r>
    </w:p>
    <w:p>
      <w:pPr>
        <w:spacing w:after="120" w:before="240"/>
      </w:pPr>
      <w:r>
        <w:rPr>
          <w:rFonts w:ascii="Arial" w:cs="Arial" w:eastAsia="Arial" w:hAnsi="Arial"/>
          <w:b/>
          <w:bCs/>
          <w:color w:val="2E75B6"/>
          <w:sz w:val="24"/>
          <w:szCs w:val="24"/>
        </w:rPr>
        <w:t xml:space="preserve">6.2  Componentes Principales</w:t>
      </w:r>
    </w:p>
    <w:p>
      <w:pPr>
        <w:spacing w:after="120" w:before="240"/>
      </w:pPr>
      <w:r>
        <w:rPr>
          <w:rFonts w:ascii="Arial" w:cs="Arial" w:eastAsia="Arial" w:hAnsi="Arial"/>
          <w:b/>
          <w:bCs/>
          <w:color w:val="2E75B6"/>
          <w:sz w:val="24"/>
          <w:szCs w:val="24"/>
        </w:rPr>
        <w:t xml:space="preserve">Microsoft Entra ID (Azure AD)</w:t>
      </w:r>
    </w:p>
    <w:p>
      <w:pPr>
        <w:spacing w:after="80" w:before="0"/>
      </w:pPr>
      <w:r>
        <w:rPr>
          <w:rFonts w:ascii="Arial" w:cs="Arial" w:eastAsia="Arial" w:hAnsi="Arial"/>
          <w:b w:val="false"/>
          <w:bCs w:val="false"/>
          <w:i w:val="false"/>
          <w:iCs w:val="false"/>
          <w:color w:val="404040"/>
          <w:sz w:val="22"/>
          <w:szCs w:val="22"/>
        </w:rPr>
        <w:t xml:space="preserve">Identity Provider (IdP) central. Gestiona la autenticación, emisión de tokens, políticas de acceso y el ciclo de vida de la identidad.</w:t>
      </w:r>
    </w:p>
    <w:p>
      <w:pPr>
        <w:spacing w:after="120" w:before="240"/>
      </w:pPr>
      <w:r>
        <w:rPr>
          <w:rFonts w:ascii="Arial" w:cs="Arial" w:eastAsia="Arial" w:hAnsi="Arial"/>
          <w:b/>
          <w:bCs/>
          <w:color w:val="2E75B6"/>
          <w:sz w:val="24"/>
          <w:szCs w:val="24"/>
        </w:rPr>
        <w:t xml:space="preserve">Conditional Access Engine</w:t>
      </w:r>
    </w:p>
    <w:p>
      <w:pPr>
        <w:spacing w:after="80" w:before="0"/>
      </w:pPr>
      <w:r>
        <w:rPr>
          <w:rFonts w:ascii="Arial" w:cs="Arial" w:eastAsia="Arial" w:hAnsi="Arial"/>
          <w:b w:val="false"/>
          <w:bCs w:val="false"/>
          <w:i w:val="false"/>
          <w:iCs w:val="false"/>
          <w:color w:val="404040"/>
          <w:sz w:val="22"/>
          <w:szCs w:val="22"/>
        </w:rPr>
        <w:t xml:space="preserve">Motor de políticas que evalúa condiciones (usuario, grupo, aplicación, dispositivo, ubicación, riesgo) para determinar si se exige MFA, bloquear o permitir el acceso.</w:t>
      </w:r>
    </w:p>
    <w:p>
      <w:pPr>
        <w:spacing w:after="120" w:before="240"/>
      </w:pPr>
      <w:r>
        <w:rPr>
          <w:rFonts w:ascii="Arial" w:cs="Arial" w:eastAsia="Arial" w:hAnsi="Arial"/>
          <w:b/>
          <w:bCs/>
          <w:color w:val="2E75B6"/>
          <w:sz w:val="24"/>
          <w:szCs w:val="24"/>
        </w:rPr>
        <w:t xml:space="preserve">Authentication Methods Policy</w:t>
      </w:r>
    </w:p>
    <w:p>
      <w:pPr>
        <w:spacing w:after="80" w:before="0"/>
      </w:pPr>
      <w:r>
        <w:rPr>
          <w:rFonts w:ascii="Arial" w:cs="Arial" w:eastAsia="Arial" w:hAnsi="Arial"/>
          <w:b w:val="false"/>
          <w:bCs w:val="false"/>
          <w:i w:val="false"/>
          <w:iCs w:val="false"/>
          <w:color w:val="404040"/>
          <w:sz w:val="22"/>
          <w:szCs w:val="22"/>
        </w:rPr>
        <w:t xml:space="preserve">Controla qué métodos de MFA están disponibles: Microsoft Authenticator, FIDO2, SMS, voz, software OATH tokens y certificados.</w:t>
      </w:r>
    </w:p>
    <w:p>
      <w:pPr>
        <w:spacing w:after="120" w:before="240"/>
      </w:pPr>
      <w:r>
        <w:rPr>
          <w:rFonts w:ascii="Arial" w:cs="Arial" w:eastAsia="Arial" w:hAnsi="Arial"/>
          <w:b/>
          <w:bCs/>
          <w:color w:val="2E75B6"/>
          <w:sz w:val="24"/>
          <w:szCs w:val="24"/>
        </w:rPr>
        <w:t xml:space="preserve">Azure AD Connect (Sync/Cloud Sync)</w:t>
      </w:r>
    </w:p>
    <w:p>
      <w:pPr>
        <w:spacing w:after="80" w:before="0"/>
      </w:pPr>
      <w:r>
        <w:rPr>
          <w:rFonts w:ascii="Arial" w:cs="Arial" w:eastAsia="Arial" w:hAnsi="Arial"/>
          <w:b w:val="false"/>
          <w:bCs w:val="false"/>
          <w:i w:val="false"/>
          <w:iCs w:val="false"/>
          <w:color w:val="404040"/>
          <w:sz w:val="22"/>
          <w:szCs w:val="22"/>
        </w:rPr>
        <w:t xml:space="preserve">Sincroniza identidades desde Active Directory on-premises hacia Entra ID, incluyendo hashes de contraseña (PHS) o tickets Kerberos (PTA/SSSO).</w:t>
      </w:r>
    </w:p>
    <w:p>
      <w:pPr>
        <w:spacing w:after="120" w:before="240"/>
      </w:pPr>
      <w:r>
        <w:rPr>
          <w:rFonts w:ascii="Arial" w:cs="Arial" w:eastAsia="Arial" w:hAnsi="Arial"/>
          <w:b/>
          <w:bCs/>
          <w:color w:val="2E75B6"/>
          <w:sz w:val="24"/>
          <w:szCs w:val="24"/>
        </w:rPr>
        <w:t xml:space="preserve">Azure AD Application Proxy</w:t>
      </w:r>
    </w:p>
    <w:p>
      <w:pPr>
        <w:spacing w:after="80" w:before="0"/>
      </w:pPr>
      <w:r>
        <w:rPr>
          <w:rFonts w:ascii="Arial" w:cs="Arial" w:eastAsia="Arial" w:hAnsi="Arial"/>
          <w:b w:val="false"/>
          <w:bCs w:val="false"/>
          <w:i w:val="false"/>
          <w:iCs w:val="false"/>
          <w:color w:val="404040"/>
          <w:sz w:val="22"/>
          <w:szCs w:val="22"/>
        </w:rPr>
        <w:t xml:space="preserve">Publica aplicaciones web internas (on-premises) en internet con pre-autenticación de Entra ID y aplicación de MFA sin VPN.</w:t>
      </w:r>
    </w:p>
    <w:p>
      <w:pPr>
        <w:spacing w:after="120" w:before="240"/>
      </w:pPr>
      <w:r>
        <w:rPr>
          <w:rFonts w:ascii="Arial" w:cs="Arial" w:eastAsia="Arial" w:hAnsi="Arial"/>
          <w:b/>
          <w:bCs/>
          <w:color w:val="2E75B6"/>
          <w:sz w:val="24"/>
          <w:szCs w:val="24"/>
        </w:rPr>
        <w:t xml:space="preserve">Identity Protection (P2)</w:t>
      </w:r>
    </w:p>
    <w:p>
      <w:pPr>
        <w:spacing w:after="80" w:before="0"/>
      </w:pPr>
      <w:r>
        <w:rPr>
          <w:rFonts w:ascii="Arial" w:cs="Arial" w:eastAsia="Arial" w:hAnsi="Arial"/>
          <w:b w:val="false"/>
          <w:bCs w:val="false"/>
          <w:i w:val="false"/>
          <w:iCs w:val="false"/>
          <w:color w:val="404040"/>
          <w:sz w:val="22"/>
          <w:szCs w:val="22"/>
        </w:rPr>
        <w:t xml:space="preserve">Detecta anomalías de inicio de sesión y riesgos de usuario mediante machine learning, alimentando las políticas de Conditional Access con señales de riesgo en tiempo real.</w:t>
      </w:r>
    </w:p>
    <w:p>
      <w:pPr>
        <w:spacing w:after="120" w:before="240"/>
      </w:pPr>
      <w:r>
        <w:rPr>
          <w:rFonts w:ascii="Arial" w:cs="Arial" w:eastAsia="Arial" w:hAnsi="Arial"/>
          <w:b/>
          <w:bCs/>
          <w:color w:val="2E75B6"/>
          <w:sz w:val="24"/>
          <w:szCs w:val="24"/>
        </w:rPr>
        <w:t xml:space="preserve">Sign-in &amp; Audit Logs</w:t>
      </w:r>
    </w:p>
    <w:p>
      <w:pPr>
        <w:spacing w:after="80" w:before="0"/>
      </w:pPr>
      <w:r>
        <w:rPr>
          <w:rFonts w:ascii="Arial" w:cs="Arial" w:eastAsia="Arial" w:hAnsi="Arial"/>
          <w:b w:val="false"/>
          <w:bCs w:val="false"/>
          <w:i w:val="false"/>
          <w:iCs w:val="false"/>
          <w:color w:val="404040"/>
          <w:sz w:val="22"/>
          <w:szCs w:val="22"/>
        </w:rPr>
        <w:t xml:space="preserve">Registro completo de eventos de autenticación exportable a Microsoft Sentinel o SIEM externo para monitoreo y cumplimiento.</w:t>
      </w:r>
    </w:p>
    <w:p>
      <w:pPr>
        <w:spacing w:after="120" w:before="240"/>
      </w:pPr>
      <w:r>
        <w:rPr>
          <w:rFonts w:ascii="Arial" w:cs="Arial" w:eastAsia="Arial" w:hAnsi="Arial"/>
          <w:b/>
          <w:bCs/>
          <w:color w:val="2E75B6"/>
          <w:sz w:val="24"/>
          <w:szCs w:val="24"/>
        </w:rPr>
        <w:t xml:space="preserve">6.3  Flujo de Autenticación con MFA</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Paso 1: El usuario intenta acceder a una aplicación (SaaS, on-premises o Microsoft 365).</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Paso 2: El agente o el servicio redirige la solicitud al endpoint de autenticación de Entra ID.</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Paso 3: Entra ID evalúa la política de Conditional Access: ¿quién es el usuario, desde dónde, con qué dispositivo y qué aplicación solicita?</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Paso 4: Si la política lo exige, se envía el desafío MFA al método registrado del usuario (push notification, TOTP, FIDO2, SMS).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Paso 5: El usuario completa el segundo factor de autenticación.</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Paso 6: Entra ID emite un token de acceso (OAuth 2.0 / SAML assertion) y concede acceso a la aplicación.</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Paso 7: El evento queda registrado en los Sign-in Logs para auditoría.</w:t>
      </w:r>
    </w:p>
    <w:p>
      <w:pPr>
        <w:spacing w:after="120" w:before="240"/>
      </w:pPr>
      <w:r>
        <w:rPr>
          <w:rFonts w:ascii="Arial" w:cs="Arial" w:eastAsia="Arial" w:hAnsi="Arial"/>
          <w:b/>
          <w:bCs/>
          <w:color w:val="2E75B6"/>
          <w:sz w:val="24"/>
          <w:szCs w:val="24"/>
        </w:rPr>
        <w:t xml:space="preserve">6.4  Métodos de MFA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Método</w:t>
            </w:r>
          </w:p>
        </w:tc>
        <w:tc>
          <w:tcPr>
            <w:tcW w:type="dxa" w:w="20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Seguridad</w:t>
            </w:r>
          </w:p>
        </w:tc>
        <w:tc>
          <w:tcPr>
            <w:tcW w:type="dxa" w:w="20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UX</w:t>
            </w:r>
          </w:p>
        </w:tc>
        <w:tc>
          <w:tcPr>
            <w:tcW w:type="dxa" w:w="296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Recomendación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Microsoft Authenticator (push)</w:t>
            </w:r>
          </w:p>
        </w:tc>
        <w:tc>
          <w:tcPr>
            <w:tcW w:type="dxa" w:w="2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Alta</w:t>
            </w:r>
          </w:p>
        </w:tc>
        <w:tc>
          <w:tcPr>
            <w:tcW w:type="dxa" w:w="2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Muy buena</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 Método principal recomendado</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FIDO2 / Passkeys / YubiKey</w:t>
            </w:r>
          </w:p>
        </w:tc>
        <w:tc>
          <w:tcPr>
            <w:tcW w:type="dxa" w:w="2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Muy alta</w:t>
            </w:r>
          </w:p>
        </w:tc>
        <w:tc>
          <w:tcPr>
            <w:tcW w:type="dxa" w:w="2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Excelente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Recomendado para roles privilegiados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TOTP (OTP 6 dígitos)</w:t>
            </w:r>
          </w:p>
        </w:tc>
        <w:tc>
          <w:tcPr>
            <w:tcW w:type="dxa" w:w="2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Alta</w:t>
            </w:r>
          </w:p>
        </w:tc>
        <w:tc>
          <w:tcPr>
            <w:tcW w:type="dxa" w:w="2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Buena</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Alternativa sin conexión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SMS / Llamada de voz</w:t>
            </w:r>
          </w:p>
        </w:tc>
        <w:tc>
          <w:tcPr>
            <w:tcW w:type="dxa" w:w="20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Media</w:t>
            </w:r>
          </w:p>
        </w:tc>
        <w:tc>
          <w:tcPr>
            <w:tcW w:type="dxa" w:w="20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Aceptable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Solo si no hay otra opción (SIM swap risk)</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Windows Hello for Business</w:t>
            </w:r>
          </w:p>
        </w:tc>
        <w:tc>
          <w:tcPr>
            <w:tcW w:type="dxa" w:w="2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Muy alta</w:t>
            </w:r>
          </w:p>
        </w:tc>
        <w:tc>
          <w:tcPr>
            <w:tcW w:type="dxa" w:w="2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Transparente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i w:val="false"/>
                <w:iCs w:val="false"/>
                <w:color w:val="404040"/>
                <w:sz w:val="20"/>
                <w:szCs w:val="20"/>
              </w:rPr>
              <w:t xml:space="preserve">Recomendado para dispositivos corporativos</w:t>
            </w:r>
          </w:p>
        </w:tc>
      </w:tr>
    </w:tbl>
    <w:p>
      <w:r>
        <w:br w:type="page"/>
      </w:r>
    </w:p>
    <w:p>
      <w:pPr>
        <w:pBdr>
          <w:bottom w:val="single" w:color="2E75B6" w:sz="12" w:space="4"/>
        </w:pBdr>
        <w:spacing w:after="200" w:before="400"/>
      </w:pPr>
      <w:r>
        <w:rPr>
          <w:rFonts w:ascii="Arial" w:cs="Arial" w:eastAsia="Arial" w:hAnsi="Arial"/>
          <w:b/>
          <w:bCs/>
          <w:color w:val="0070C0"/>
          <w:sz w:val="30"/>
          <w:szCs w:val="30"/>
        </w:rPr>
        <w:t xml:space="preserve">7. Plan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800"/>
        <w:gridCol w:w="5460"/>
      </w:tblGrid>
      <w:tr>
        <w:tc>
          <w:tcPr>
            <w:tcW w:type="dxa" w:w="11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Fase</w:t>
            </w:r>
          </w:p>
        </w:tc>
        <w:tc>
          <w:tcPr>
            <w:tcW w:type="dxa" w:w="20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Nombre</w:t>
            </w:r>
          </w:p>
        </w:tc>
        <w:tc>
          <w:tcPr>
            <w:tcW w:type="dxa" w:w="8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Semana</w:t>
            </w:r>
          </w:p>
        </w:tc>
        <w:tc>
          <w:tcPr>
            <w:tcW w:type="dxa" w:w="546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Actividades principales</w:t>
            </w:r>
          </w:p>
        </w:tc>
      </w:tr>
      <w:tr>
        <w:tc>
          <w:tcPr>
            <w:tcW w:type="dxa" w:w="11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70C0"/>
                <w:sz w:val="20"/>
                <w:szCs w:val="20"/>
              </w:rPr>
              <w:t xml:space="preserve">Fase 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Análisis y Diseño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04040"/>
                <w:sz w:val="20"/>
                <w:szCs w:val="20"/>
              </w:rPr>
              <w:t xml:space="preserve">1–2</w:t>
            </w:r>
          </w:p>
        </w:tc>
        <w:tc>
          <w:tcPr>
            <w:tcW w:type="dxa" w:w="5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Levantamiento de inventario de usuarios, aplicaciones y AD. Diseño de políticas CAP. Definición de grupos piloto y exclusiones. Aprobación de arquitectura.</w:t>
            </w:r>
          </w:p>
        </w:tc>
      </w:tr>
      <w:tr>
        <w:tc>
          <w:tcPr>
            <w:tcW w:type="dxa" w:w="11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70C0"/>
                <w:sz w:val="20"/>
                <w:szCs w:val="20"/>
              </w:rPr>
              <w:t xml:space="preserve">Fase 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Configuración Azure 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04040"/>
                <w:sz w:val="20"/>
                <w:szCs w:val="20"/>
              </w:rPr>
              <w:t xml:space="preserve">2–3</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Configuración de Authentication Methods Policy. Habilitación de SSPR. Registro de Enterprise Applications. Configuración de Named Locations. Setup de cuentas break-glass.</w:t>
            </w:r>
          </w:p>
        </w:tc>
      </w:tr>
      <w:tr>
        <w:tc>
          <w:tcPr>
            <w:tcW w:type="dxa" w:w="11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70C0"/>
                <w:sz w:val="20"/>
                <w:szCs w:val="20"/>
              </w:rPr>
              <w:t xml:space="preserve">Fase 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Piloto Controlado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04040"/>
                <w:sz w:val="20"/>
                <w:szCs w:val="20"/>
              </w:rPr>
              <w:t xml:space="preserve">3–4</w:t>
            </w:r>
          </w:p>
        </w:tc>
        <w:tc>
          <w:tcPr>
            <w:tcW w:type="dxa" w:w="5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Despliegue a grupo piloto (50–100 usuarios). Monitoreo de Sign-in Logs. Ajuste de políticas. Validación de flujos de MFA en todas las aplicaciones en scope.</w:t>
            </w:r>
          </w:p>
        </w:tc>
      </w:tr>
      <w:tr>
        <w:tc>
          <w:tcPr>
            <w:tcW w:type="dxa" w:w="11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70C0"/>
                <w:sz w:val="20"/>
                <w:szCs w:val="20"/>
              </w:rPr>
              <w:t xml:space="preserve">Fase 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Despliegue Masivo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04040"/>
                <w:sz w:val="20"/>
                <w:szCs w:val="20"/>
              </w:rPr>
              <w:t xml:space="preserve">5–6</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Habilitación gradual por grupos (ondas de despliegue). Comunicación a usuarios finales. Soporte intensivo Help Desk.</w:t>
            </w:r>
          </w:p>
        </w:tc>
      </w:tr>
      <w:tr>
        <w:tc>
          <w:tcPr>
            <w:tcW w:type="dxa" w:w="110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0070C0"/>
                <w:sz w:val="20"/>
                <w:szCs w:val="20"/>
              </w:rPr>
              <w:t xml:space="preserve">Fase 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i w:val="false"/>
                <w:iCs w:val="false"/>
                <w:color w:val="404040"/>
                <w:sz w:val="20"/>
                <w:szCs w:val="20"/>
              </w:rPr>
              <w:t xml:space="preserve">Cierre y Documentación</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404040"/>
                <w:sz w:val="20"/>
                <w:szCs w:val="20"/>
              </w:rPr>
              <w:t xml:space="preserve">7–8</w:t>
            </w:r>
          </w:p>
        </w:tc>
        <w:tc>
          <w:tcPr>
            <w:tcW w:type="dxa" w:w="5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20"/>
                <w:szCs w:val="20"/>
              </w:rPr>
              <w:t xml:space="preserve">Documentación final (runbook, políticas). Capacitación de administradores. Entrega de informe de implementación. Inicio de soporte post-implementación.</w:t>
            </w:r>
          </w:p>
        </w:tc>
      </w:tr>
    </w:tbl>
    <w:p>
      <w:r>
        <w:br w:type="page"/>
      </w:r>
    </w:p>
    <w:p>
      <w:pPr>
        <w:pBdr>
          <w:bottom w:val="single" w:color="2E75B6" w:sz="12" w:space="4"/>
        </w:pBdr>
        <w:spacing w:after="200" w:before="400"/>
      </w:pPr>
      <w:r>
        <w:rPr>
          <w:rFonts w:ascii="Arial" w:cs="Arial" w:eastAsia="Arial" w:hAnsi="Arial"/>
          <w:b/>
          <w:bCs/>
          <w:color w:val="0070C0"/>
          <w:sz w:val="30"/>
          <w:szCs w:val="30"/>
        </w:rPr>
        <w:t xml:space="preserve">8. Estimación de Costos — Calculadora Azure MFA</w:t>
      </w:r>
    </w:p>
    <w:p>
      <w:pPr>
        <w:spacing w:after="160" w:before="0"/>
      </w:pPr>
      <w:r>
        <w:rPr>
          <w:rFonts w:ascii="Arial" w:cs="Arial" w:eastAsia="Arial" w:hAnsi="Arial"/>
          <w:b w:val="false"/>
          <w:bCs w:val="false"/>
          <w:i/>
          <w:iCs/>
          <w:color w:val="404040"/>
          <w:sz w:val="20"/>
          <w:szCs w:val="20"/>
        </w:rPr>
        <w:t xml:space="preserve">Los siguientes precios son referenciales en USD y están basados en precios públicos de Microsoft a la fecha de esta propuesta. Los costos de licenciamiento corresponden al escenario de 500 usuarios. Se recomienda validar pricing vigente en https://azure.microsoft.com/pricing.</w:t>
      </w:r>
    </w:p>
    <w:p>
      <w:pPr>
        <w:spacing w:after="120" w:before="240"/>
      </w:pPr>
      <w:r>
        <w:rPr>
          <w:rFonts w:ascii="Arial" w:cs="Arial" w:eastAsia="Arial" w:hAnsi="Arial"/>
          <w:b/>
          <w:bCs/>
          <w:color w:val="2E75B6"/>
          <w:sz w:val="24"/>
          <w:szCs w:val="24"/>
        </w:rPr>
        <w:t xml:space="preserve">8.1  Licenciamiento Microsoft (mensual recurrente)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600"/>
        <w:gridCol w:w="1400"/>
        <w:gridCol w:w="2560"/>
      </w:tblGrid>
      <w:tr>
        <w:tc>
          <w:tcPr>
            <w:tcW w:type="dxa" w:w="24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Ítem</w:t>
            </w:r>
          </w:p>
        </w:tc>
        <w:tc>
          <w:tcPr>
            <w:tcW w:type="dxa" w:w="14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Tipo</w:t>
            </w:r>
          </w:p>
        </w:tc>
        <w:tc>
          <w:tcPr>
            <w:tcW w:type="dxa" w:w="10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Costo Unit.</w:t>
            </w:r>
          </w:p>
        </w:tc>
        <w:tc>
          <w:tcPr>
            <w:tcW w:type="dxa" w:w="6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Cant.</w:t>
            </w:r>
          </w:p>
        </w:tc>
        <w:tc>
          <w:tcPr>
            <w:tcW w:type="dxa" w:w="14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Subtotal/mes</w:t>
            </w:r>
          </w:p>
        </w:tc>
        <w:tc>
          <w:tcPr>
            <w:tcW w:type="dxa" w:w="256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Observación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Microsoft Entra ID P1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Por usuario/mes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$6.00 USD</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500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$3,000.00 USD</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Incluido en Microsoft 365 E3/F3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Microsoft Entra ID P2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Por usuario/mes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$9.00 USD</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$4,500.00 USD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Recomendado — incluye Identity Protection + PIM</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Microsoft 365 E3 (bundled)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Por usuario/mes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$36.00 USD</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500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$18,000.00 USD</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Incluye Entra ID P1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Microsoft 365 E5 (bundled)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Por usuario/mes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$57.00 USD</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$28,500.00 USD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Incluye Entra ID P2 + Defender + Sentinel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FIDO2 Security Keys (YubiKey 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Hardware (una vez)</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$55.00 USD</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$2,750.00 USD</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Solo para cuentas privilegiadas</w:t>
            </w:r>
          </w:p>
        </w:tc>
      </w:tr>
    </w:tbl>
    <w:p>
      <w:pPr>
        <w:spacing w:after="0" w:before="200"/>
      </w:pPr>
      <w:r>
        <w:rPr>
          <w:rFonts w:ascii="Arial" w:cs="Arial" w:eastAsia="Arial" w:hAnsi="Arial"/>
          <w:b w:val="false"/>
          <w:bCs w:val="false"/>
          <w:i w:val="false"/>
          <w:iCs w:val="false"/>
          <w:color w:val="404040"/>
          <w:sz w:val="22"/>
          <w:szCs w:val="22"/>
        </w:rPr>
        <w:t xml:space="preserve"/>
      </w:r>
    </w:p>
    <w:p>
      <w:pPr>
        <w:spacing w:after="120" w:before="240"/>
      </w:pPr>
      <w:r>
        <w:rPr>
          <w:rFonts w:ascii="Arial" w:cs="Arial" w:eastAsia="Arial" w:hAnsi="Arial"/>
          <w:b/>
          <w:bCs/>
          <w:color w:val="2E75B6"/>
          <w:sz w:val="24"/>
          <w:szCs w:val="24"/>
        </w:rPr>
        <w:t xml:space="preserve">8.2  Servicios Profesionales de Implementación (una sola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800"/>
        <w:gridCol w:w="1500"/>
        <w:gridCol w:w="2660"/>
      </w:tblGrid>
      <w:tr>
        <w:tc>
          <w:tcPr>
            <w:tcW w:type="dxa" w:w="32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Actividad</w:t>
            </w:r>
          </w:p>
        </w:tc>
        <w:tc>
          <w:tcPr>
            <w:tcW w:type="dxa" w:w="12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Unidad</w:t>
            </w:r>
          </w:p>
        </w:tc>
        <w:tc>
          <w:tcPr>
            <w:tcW w:type="dxa" w:w="8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Cant.</w:t>
            </w:r>
          </w:p>
        </w:tc>
        <w:tc>
          <w:tcPr>
            <w:tcW w:type="dxa" w:w="150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Tarifa</w:t>
            </w:r>
          </w:p>
        </w:tc>
        <w:tc>
          <w:tcPr>
            <w:tcW w:type="dxa" w:w="2660"/>
            <w:tcBorders>
              <w:top w:val="single" w:color="2E75B6" w:sz="4"/>
              <w:left w:val="single" w:color="2E75B6" w:sz="4"/>
              <w:bottom w:val="single" w:color="2E75B6" w:sz="4"/>
              <w:right w:val="single" w:color="2E75B6" w:sz="4"/>
            </w:tcBorders>
            <w:shd w:fill="0070C0"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Total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Fase 1 – Análisis y Diseño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Días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$1,200 USD</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$6,000 USD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Fase 2 – Configuración Azure AD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Días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$1,200 USD</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$9,600 USD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Fase 3 – Piloto (grupo reducido)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Días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$1,200 USD</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$6,000 USD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Fase 4 – Despliegue masivo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Días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$1,200 USD</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$9,600 USD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Fase 5 – Cierre y documentación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Días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4</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$1,200 USD</w:t>
            </w:r>
          </w:p>
        </w:tc>
        <w:tc>
          <w:tcPr>
            <w:tcW w:type="dxa" w:w="2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$4,800 USD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Soporte post-implementación (30 días)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Paquete fijo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$3,000 USD</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$3,000 USD</w:t>
            </w:r>
          </w:p>
        </w:tc>
      </w:tr>
      <w:tr>
        <w:tc>
          <w:tcPr>
            <w:tcW w:type="dxa" w:w="7700"/>
            <w:gridSpan w:val="4"/>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tcPr>
          <w:p>
            <w:pPr>
              <w:jc w:val="right"/>
            </w:pPr>
            <w:r>
              <w:rPr>
                <w:rFonts w:ascii="Arial" w:cs="Arial" w:eastAsia="Arial" w:hAnsi="Arial"/>
                <w:b/>
                <w:bCs/>
                <w:i w:val="false"/>
                <w:iCs w:val="false"/>
                <w:color w:val="0070C0"/>
                <w:sz w:val="20"/>
                <w:szCs w:val="20"/>
              </w:rPr>
              <w:t xml:space="preserve">Total Servicios Profesionales (única vez)</w:t>
            </w:r>
          </w:p>
        </w:tc>
        <w:tc>
          <w:tcPr>
            <w:tcW w:type="dxa" w:w="266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$39,000 USD</w:t>
            </w:r>
          </w:p>
        </w:tc>
      </w:tr>
    </w:tbl>
    <w:p>
      <w:pPr>
        <w:spacing w:after="0" w:before="200"/>
      </w:pPr>
      <w:r>
        <w:rPr>
          <w:rFonts w:ascii="Arial" w:cs="Arial" w:eastAsia="Arial" w:hAnsi="Arial"/>
          <w:b w:val="false"/>
          <w:bCs w:val="false"/>
          <w:i w:val="false"/>
          <w:iCs w:val="false"/>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Concepto</w:t>
            </w:r>
          </w:p>
        </w:tc>
        <w:tc>
          <w:tcPr>
            <w:tcW w:type="dxa" w:w="336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Monto estimado</w:t>
            </w:r>
          </w:p>
        </w:tc>
      </w:tr>
      <w:tr>
        <w:tc>
          <w:tcPr>
            <w:tcW w:type="dxa" w:w="6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Licenciamiento Entra ID P2 (500 usuarios × 12 meses)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$54,000 USD/año</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Hardware FIDO2 (50 llaves — cuentas privilegiadas)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$2,750 USD (única vez)</w:t>
            </w:r>
          </w:p>
        </w:tc>
      </w:tr>
      <w:tr>
        <w:tc>
          <w:tcPr>
            <w:tcW w:type="dxa" w:w="6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Servicios Profesionales de Implementación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$39,000 USD (única vez)</w:t>
            </w:r>
          </w:p>
        </w:tc>
      </w:tr>
      <w:tr>
        <w:tc>
          <w:tcPr>
            <w:tcW w:type="dxa" w:w="600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r>
              <w:rPr>
                <w:rFonts w:ascii="Arial" w:cs="Arial" w:eastAsia="Arial" w:hAnsi="Arial"/>
                <w:b/>
                <w:bCs/>
                <w:i w:val="false"/>
                <w:iCs w:val="false"/>
                <w:color w:val="FFFFFF"/>
                <w:sz w:val="22"/>
                <w:szCs w:val="22"/>
              </w:rPr>
              <w:t xml:space="preserve">INVERSIÓN TOTAL PRIMER AÑO (estimada)</w:t>
            </w:r>
          </w:p>
        </w:tc>
        <w:tc>
          <w:tcPr>
            <w:tcW w:type="dxa" w:w="3360"/>
            <w:tcBorders>
              <w:top w:val="single" w:color="2E75B6" w:sz="4"/>
              <w:left w:val="single" w:color="2E75B6" w:sz="4"/>
              <w:bottom w:val="single" w:color="2E75B6" w:sz="4"/>
              <w:right w:val="single" w:color="2E75B6" w:sz="4"/>
            </w:tcBorders>
            <w:shd w:fill="2E75B6" w:val="clear"/>
            <w:tcMar>
              <w:top w:type="dxa" w:w="100"/>
              <w:left w:type="dxa" w:w="120"/>
              <w:bottom w:type="dxa" w:w="100"/>
              <w:right w:type="dxa" w:w="120"/>
            </w:tcMar>
          </w:tcPr>
          <w:p>
            <w:pPr>
              <w:jc w:val="right"/>
            </w:pPr>
            <w:r>
              <w:rPr>
                <w:rFonts w:ascii="Arial" w:cs="Arial" w:eastAsia="Arial" w:hAnsi="Arial"/>
                <w:b/>
                <w:bCs/>
                <w:i w:val="false"/>
                <w:iCs w:val="false"/>
                <w:color w:val="FFFFFF"/>
                <w:sz w:val="22"/>
                <w:szCs w:val="22"/>
              </w:rPr>
              <w:t xml:space="preserve">~$95,750 USD</w:t>
            </w:r>
          </w:p>
        </w:tc>
      </w:tr>
    </w:tbl>
    <w:p>
      <w:pPr>
        <w:spacing w:after="0" w:before="160"/>
      </w:pPr>
      <w:r>
        <w:rPr>
          <w:rFonts w:ascii="Arial" w:cs="Arial" w:eastAsia="Arial" w:hAnsi="Arial"/>
          <w:b w:val="false"/>
          <w:bCs w:val="false"/>
          <w:i/>
          <w:iCs/>
          <w:color w:val="595959"/>
          <w:sz w:val="18"/>
          <w:szCs w:val="18"/>
        </w:rPr>
        <w:t xml:space="preserve">Nota: Los precios de licenciamiento de Microsoft pueden variar. Si el cliente ya cuenta con Microsoft 365 E3 o E5, el costo de Entra ID P1/P2 puede estar incluido en el contrato vigente, reduciendo significativamente la inversión.</w:t>
      </w:r>
    </w:p>
    <w:p>
      <w:r>
        <w:br w:type="page"/>
      </w:r>
    </w:p>
    <w:p>
      <w:pPr>
        <w:pBdr>
          <w:bottom w:val="single" w:color="2E75B6" w:sz="12" w:space="4"/>
        </w:pBdr>
        <w:spacing w:after="200" w:before="400"/>
      </w:pPr>
      <w:r>
        <w:rPr>
          <w:rFonts w:ascii="Arial" w:cs="Arial" w:eastAsia="Arial" w:hAnsi="Arial"/>
          <w:b/>
          <w:bCs/>
          <w:color w:val="0070C0"/>
          <w:sz w:val="30"/>
          <w:szCs w:val="30"/>
        </w:rPr>
        <w:t xml:space="preserve">9. Supuestos y Restricciones</w:t>
      </w:r>
    </w:p>
    <w:p>
      <w:pPr>
        <w:spacing w:after="120" w:before="240"/>
      </w:pPr>
      <w:r>
        <w:rPr>
          <w:rFonts w:ascii="Arial" w:cs="Arial" w:eastAsia="Arial" w:hAnsi="Arial"/>
          <w:b/>
          <w:bCs/>
          <w:color w:val="2E75B6"/>
          <w:sz w:val="24"/>
          <w:szCs w:val="24"/>
        </w:rPr>
        <w:t xml:space="preserve">9.1  Supuestos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El cliente cuenta con un tenant de Microsoft Azure / Entra ID activo con dominio verificado.</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Existe un Active Directory on-premises (Windows Server 2016+) sincronizable con Azure AD Connect.</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El cliente dispone o adquirirá las licencias de Entra ID P1 o P2 antes del inicio del proyecto.</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Los usuarios finales cuentan con smartphones corporativos o personales (iOS/Android) capaces de instalar Microsoft Authenticator.</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El cliente designará un administrador de Azure AD con permisos Global Admin durante la fase de implementación.</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Las aplicaciones SaaS en scope soportan autenticación federada vía SAML 2.0 o OpenID Connect.</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El cliente aprobará los diseños de políticas de Conditional Access antes de su despliegue en producción.</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Las ventanas de mantenimiento necesarias para el despliegue serán gestionadas por el cliente.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El acceso a la infraestructura de red (firewall, proxy) será coordinado y habilitado por el equipo de infraestructura del cliente.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El equipo de Help Desk del cliente será capacitado previo al inicio del despliegue masivo (Fase 4).</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Las cuentas de servicio y de integración que no pueden usar MFA interactivo serán identificadas y gestionadas mediante Workload Identities o Managed Identities de Azure.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El proyecto comenzará en la fecha acordada una vez firmado el contrato y entregados los accesos necesarios.</w:t>
      </w:r>
    </w:p>
    <w:p>
      <w:pPr>
        <w:spacing w:after="0" w:before="160"/>
      </w:pPr>
      <w:r>
        <w:rPr>
          <w:rFonts w:ascii="Arial" w:cs="Arial" w:eastAsia="Arial" w:hAnsi="Arial"/>
          <w:b w:val="false"/>
          <w:bCs w:val="false"/>
          <w:i w:val="false"/>
          <w:iCs w:val="false"/>
          <w:color w:val="404040"/>
          <w:sz w:val="22"/>
          <w:szCs w:val="22"/>
        </w:rPr>
        <w:t xml:space="preserve"/>
      </w:r>
    </w:p>
    <w:p>
      <w:pPr>
        <w:spacing w:after="120" w:before="240"/>
      </w:pPr>
      <w:r>
        <w:rPr>
          <w:rFonts w:ascii="Arial" w:cs="Arial" w:eastAsia="Arial" w:hAnsi="Arial"/>
          <w:b/>
          <w:bCs/>
          <w:color w:val="2E75B6"/>
          <w:sz w:val="24"/>
          <w:szCs w:val="24"/>
        </w:rPr>
        <w:t xml:space="preserve">9.2  Restricciones</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Cualquier cambio en el scope documentado requerirá una orden de cambio formal con evaluación de impacto en tiempo y costo.</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Los retrasos en la entrega de accesos o información por parte del cliente podrán impactar el calendario del proyecto.</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La disponibilidad de los recursos del cliente (administradores, usuarios piloto) es crítica para cumplir los plazos.</w:t>
      </w:r>
    </w:p>
    <w:p>
      <w:pPr>
        <w:pStyle w:val="ListParagraph"/>
        <w:numPr>
          <w:ilvl w:val="0"/>
          <w:numId w:val="3"/>
        </w:numPr>
        <w:spacing w:after="40" w:before="40"/>
      </w:pPr>
      <w:r>
        <w:rPr>
          <w:rFonts w:ascii="Arial" w:cs="Arial" w:eastAsia="Arial" w:hAnsi="Arial"/>
          <w:b w:val="false"/>
          <w:bCs w:val="false"/>
          <w:i w:val="false"/>
          <w:iCs w:val="false"/>
          <w:color w:val="404040"/>
          <w:sz w:val="22"/>
          <w:szCs w:val="22"/>
        </w:rPr>
        <w:t xml:space="preserve">Los métodos de MFA basados en SMS/voz están sujetos a restricciones regulatorias en algunas geografías; el cliente es responsable de validar la normativa aplicable.</w:t>
      </w:r>
    </w:p>
    <w:p>
      <w:r>
        <w:br w:type="page"/>
      </w:r>
    </w:p>
    <w:p>
      <w:pPr>
        <w:pBdr>
          <w:bottom w:val="single" w:color="2E75B6" w:sz="12" w:space="4"/>
        </w:pBdr>
        <w:spacing w:after="200" w:before="400"/>
      </w:pPr>
      <w:r>
        <w:rPr>
          <w:rFonts w:ascii="Arial" w:cs="Arial" w:eastAsia="Arial" w:hAnsi="Arial"/>
          <w:b/>
          <w:bCs/>
          <w:color w:val="0070C0"/>
          <w:sz w:val="30"/>
          <w:szCs w:val="30"/>
        </w:rPr>
        <w:t xml:space="preserve">10. Entregables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00"/>
        <w:gridCol w:w="1560"/>
      </w:tblGrid>
      <w:tr>
        <w:tc>
          <w:tcPr>
            <w:tcW w:type="dxa" w:w="6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w:t>
            </w:r>
          </w:p>
        </w:tc>
        <w:tc>
          <w:tcPr>
            <w:tcW w:type="dxa" w:w="22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Entregable</w:t>
            </w:r>
          </w:p>
        </w:tc>
        <w:tc>
          <w:tcPr>
            <w:tcW w:type="dxa" w:w="500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Descripción</w:t>
            </w:r>
          </w:p>
        </w:tc>
        <w:tc>
          <w:tcPr>
            <w:tcW w:type="dxa" w:w="1560"/>
            <w:tcBorders>
              <w:top w:val="single" w:color="AAAAAA" w:sz="4"/>
              <w:left w:val="single" w:color="AAAAAA" w:sz="4"/>
              <w:bottom w:val="single" w:color="AAAAAA" w:sz="4"/>
              <w:right w:val="single" w:color="AAAAAA" w:sz="4"/>
            </w:tcBorders>
            <w:shd w:fill="0070C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Fase</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80"/>
              <w:bottom w:type="dxa" w:w="80"/>
              <w:right w:type="dxa" w:w="80"/>
            </w:tcMar>
            <w:vAlign w:val="center"/>
          </w:tcPr>
          <w:p>
            <w:pPr>
              <w:jc w:val="center"/>
            </w:pPr>
            <w:r>
              <w:rPr>
                <w:rFonts w:ascii="Arial" w:cs="Arial" w:eastAsia="Arial" w:hAnsi="Arial"/>
                <w:b/>
                <w:bCs/>
                <w:i w:val="false"/>
                <w:iCs w:val="false"/>
                <w:color w:val="0070C0"/>
                <w:sz w:val="19"/>
                <w:szCs w:val="19"/>
              </w:rPr>
              <w:t xml:space="preserve">E1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Documento de Arquitectura y Diseño</w:t>
            </w:r>
          </w:p>
        </w:tc>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Diseño técnico aprobado de la solución MFA, políticas CAP y métodos de autenticación.</w:t>
            </w:r>
          </w:p>
        </w:tc>
        <w:tc>
          <w:tcPr>
            <w:tcW w:type="dxa" w:w="15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404040"/>
                <w:sz w:val="19"/>
                <w:szCs w:val="19"/>
              </w:rPr>
              <w:t xml:space="preserve">Fase 1</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80"/>
              <w:bottom w:type="dxa" w:w="80"/>
              <w:right w:type="dxa" w:w="80"/>
            </w:tcMar>
            <w:vAlign w:val="center"/>
          </w:tcPr>
          <w:p>
            <w:pPr>
              <w:jc w:val="center"/>
            </w:pPr>
            <w:r>
              <w:rPr>
                <w:rFonts w:ascii="Arial" w:cs="Arial" w:eastAsia="Arial" w:hAnsi="Arial"/>
                <w:b/>
                <w:bCs/>
                <w:i w:val="false"/>
                <w:iCs w:val="false"/>
                <w:color w:val="0070C0"/>
                <w:sz w:val="19"/>
                <w:szCs w:val="19"/>
              </w:rPr>
              <w:t xml:space="preserve">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Ambiente de MFA configurado en Azure Entra ID</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Tenant con políticas de Conditional Access, métodos de autenticación y apps integradas operativas.</w:t>
            </w:r>
          </w:p>
        </w:tc>
        <w:tc>
          <w:tcPr>
            <w:tcW w:type="dxa" w:w="15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404040"/>
                <w:sz w:val="19"/>
                <w:szCs w:val="19"/>
              </w:rPr>
              <w:t xml:space="preserve">Fase 2–3</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80"/>
              <w:bottom w:type="dxa" w:w="80"/>
              <w:right w:type="dxa" w:w="80"/>
            </w:tcMar>
            <w:vAlign w:val="center"/>
          </w:tcPr>
          <w:p>
            <w:pPr>
              <w:jc w:val="center"/>
            </w:pPr>
            <w:r>
              <w:rPr>
                <w:rFonts w:ascii="Arial" w:cs="Arial" w:eastAsia="Arial" w:hAnsi="Arial"/>
                <w:b/>
                <w:bCs/>
                <w:i w:val="false"/>
                <w:iCs w:val="false"/>
                <w:color w:val="0070C0"/>
                <w:sz w:val="19"/>
                <w:szCs w:val="19"/>
              </w:rPr>
              <w:t xml:space="preserve">E3</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Reporte de Piloto</w:t>
            </w:r>
          </w:p>
        </w:tc>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Resultados, métricas de adopción y ajustes aplicados durante la fase piloto.</w:t>
            </w:r>
          </w:p>
        </w:tc>
        <w:tc>
          <w:tcPr>
            <w:tcW w:type="dxa" w:w="15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404040"/>
                <w:sz w:val="19"/>
                <w:szCs w:val="19"/>
              </w:rPr>
              <w:t xml:space="preserve">Fase 3</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80"/>
              <w:bottom w:type="dxa" w:w="80"/>
              <w:right w:type="dxa" w:w="80"/>
            </w:tcMar>
            <w:vAlign w:val="center"/>
          </w:tcPr>
          <w:p>
            <w:pPr>
              <w:jc w:val="center"/>
            </w:pPr>
            <w:r>
              <w:rPr>
                <w:rFonts w:ascii="Arial" w:cs="Arial" w:eastAsia="Arial" w:hAnsi="Arial"/>
                <w:b/>
                <w:bCs/>
                <w:i w:val="false"/>
                <w:iCs w:val="false"/>
                <w:color w:val="0070C0"/>
                <w:sz w:val="19"/>
                <w:szCs w:val="19"/>
              </w:rPr>
              <w:t xml:space="preserve">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Solución en producción (full rollout)</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MFA habilitado para el 100% de los usuarios en scope.</w:t>
            </w:r>
          </w:p>
        </w:tc>
        <w:tc>
          <w:tcPr>
            <w:tcW w:type="dxa" w:w="15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404040"/>
                <w:sz w:val="19"/>
                <w:szCs w:val="19"/>
              </w:rPr>
              <w:t xml:space="preserve">Fase 4</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80"/>
              <w:bottom w:type="dxa" w:w="80"/>
              <w:right w:type="dxa" w:w="80"/>
            </w:tcMar>
            <w:vAlign w:val="center"/>
          </w:tcPr>
          <w:p>
            <w:pPr>
              <w:jc w:val="center"/>
            </w:pPr>
            <w:r>
              <w:rPr>
                <w:rFonts w:ascii="Arial" w:cs="Arial" w:eastAsia="Arial" w:hAnsi="Arial"/>
                <w:b/>
                <w:bCs/>
                <w:i w:val="false"/>
                <w:iCs w:val="false"/>
                <w:color w:val="0070C0"/>
                <w:sz w:val="19"/>
                <w:szCs w:val="19"/>
              </w:rPr>
              <w:t xml:space="preserve">E5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Runbook de Administración</w:t>
            </w:r>
          </w:p>
        </w:tc>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Guía operativa para administradores: gestión de usuarios, exclusiones, break-glass y troubleshooting.</w:t>
            </w:r>
          </w:p>
        </w:tc>
        <w:tc>
          <w:tcPr>
            <w:tcW w:type="dxa" w:w="15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404040"/>
                <w:sz w:val="19"/>
                <w:szCs w:val="19"/>
              </w:rPr>
              <w:t xml:space="preserve">Fase 5</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80"/>
              <w:bottom w:type="dxa" w:w="80"/>
              <w:right w:type="dxa" w:w="80"/>
            </w:tcMar>
            <w:vAlign w:val="center"/>
          </w:tcPr>
          <w:p>
            <w:pPr>
              <w:jc w:val="center"/>
            </w:pPr>
            <w:r>
              <w:rPr>
                <w:rFonts w:ascii="Arial" w:cs="Arial" w:eastAsia="Arial" w:hAnsi="Arial"/>
                <w:b/>
                <w:bCs/>
                <w:i w:val="false"/>
                <w:iCs w:val="false"/>
                <w:color w:val="0070C0"/>
                <w:sz w:val="19"/>
                <w:szCs w:val="19"/>
              </w:rPr>
              <w:t xml:space="preserve">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Documentación de Políticas</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Políticas de Conditional Access documentadas con justificación de negocio y evidencia de configuración.</w:t>
            </w:r>
          </w:p>
        </w:tc>
        <w:tc>
          <w:tcPr>
            <w:tcW w:type="dxa" w:w="15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404040"/>
                <w:sz w:val="19"/>
                <w:szCs w:val="19"/>
              </w:rPr>
              <w:t xml:space="preserve">Fase 5</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80"/>
              <w:bottom w:type="dxa" w:w="80"/>
              <w:right w:type="dxa" w:w="80"/>
            </w:tcMar>
            <w:vAlign w:val="center"/>
          </w:tcPr>
          <w:p>
            <w:pPr>
              <w:jc w:val="center"/>
            </w:pPr>
            <w:r>
              <w:rPr>
                <w:rFonts w:ascii="Arial" w:cs="Arial" w:eastAsia="Arial" w:hAnsi="Arial"/>
                <w:b/>
                <w:bCs/>
                <w:i w:val="false"/>
                <w:iCs w:val="false"/>
                <w:color w:val="0070C0"/>
                <w:sz w:val="19"/>
                <w:szCs w:val="19"/>
              </w:rPr>
              <w:t xml:space="preserve">E7</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Capacitación</w:t>
            </w:r>
          </w:p>
        </w:tc>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Sesión de capacitación para administradores de TI (2 horas) y material de usuarios finales.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404040"/>
                <w:sz w:val="19"/>
                <w:szCs w:val="19"/>
              </w:rPr>
              <w:t xml:space="preserve">Fase 4–5</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80"/>
              <w:bottom w:type="dxa" w:w="80"/>
              <w:right w:type="dxa" w:w="80"/>
            </w:tcMar>
            <w:vAlign w:val="center"/>
          </w:tcPr>
          <w:p>
            <w:pPr>
              <w:jc w:val="center"/>
            </w:pPr>
            <w:r>
              <w:rPr>
                <w:rFonts w:ascii="Arial" w:cs="Arial" w:eastAsia="Arial" w:hAnsi="Arial"/>
                <w:b/>
                <w:bCs/>
                <w:i w:val="false"/>
                <w:iCs w:val="false"/>
                <w:color w:val="0070C0"/>
                <w:sz w:val="19"/>
                <w:szCs w:val="19"/>
              </w:rPr>
              <w:t xml:space="preserve">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i w:val="false"/>
                <w:iCs w:val="false"/>
                <w:color w:val="404040"/>
                <w:sz w:val="19"/>
                <w:szCs w:val="19"/>
              </w:rPr>
              <w:t xml:space="preserve">Informe de Cierre</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04040"/>
                <w:sz w:val="19"/>
                <w:szCs w:val="19"/>
              </w:rPr>
              <w:t xml:space="preserve">Acta de entrega, métricas finales de adopción, lecciones aprendidas y recomendaciones de mejora continua.</w:t>
            </w:r>
          </w:p>
        </w:tc>
        <w:tc>
          <w:tcPr>
            <w:tcW w:type="dxa" w:w="15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404040"/>
                <w:sz w:val="19"/>
                <w:szCs w:val="19"/>
              </w:rPr>
              <w:t xml:space="preserve">Fase 5</w:t>
            </w:r>
          </w:p>
        </w:tc>
      </w:tr>
    </w:tbl>
    <w:p>
      <w:r>
        <w:br w:type="page"/>
      </w:r>
    </w:p>
    <w:p>
      <w:pPr>
        <w:pBdr>
          <w:bottom w:val="single" w:color="2E75B6" w:sz="12" w:space="4"/>
        </w:pBdr>
        <w:spacing w:after="200" w:before="400"/>
      </w:pPr>
      <w:r>
        <w:rPr>
          <w:rFonts w:ascii="Arial" w:cs="Arial" w:eastAsia="Arial" w:hAnsi="Arial"/>
          <w:b/>
          <w:bCs/>
          <w:color w:val="0070C0"/>
          <w:sz w:val="30"/>
          <w:szCs w:val="30"/>
        </w:rPr>
        <w:t xml:space="preserve">11. Condiciones Comerciales</w:t>
      </w:r>
    </w:p>
    <w:p>
      <w:pPr>
        <w:spacing w:after="120" w:before="240"/>
      </w:pPr>
      <w:r>
        <w:rPr>
          <w:rFonts w:ascii="Arial" w:cs="Arial" w:eastAsia="Arial" w:hAnsi="Arial"/>
          <w:b/>
          <w:bCs/>
          <w:color w:val="2E75B6"/>
          <w:sz w:val="24"/>
          <w:szCs w:val="24"/>
        </w:rPr>
        <w:t xml:space="preserve">11.1  Vigencia de la Propuesta</w:t>
      </w:r>
    </w:p>
    <w:p>
      <w:pPr>
        <w:spacing w:after="120" w:before="0"/>
      </w:pPr>
      <w:r>
        <w:rPr>
          <w:rFonts w:ascii="Arial" w:cs="Arial" w:eastAsia="Arial" w:hAnsi="Arial"/>
          <w:b w:val="false"/>
          <w:bCs w:val="false"/>
          <w:i w:val="false"/>
          <w:iCs w:val="false"/>
          <w:color w:val="404040"/>
          <w:sz w:val="22"/>
          <w:szCs w:val="22"/>
        </w:rPr>
        <w:t xml:space="preserve">La presente propuesta tiene una vigencia de 30 días calendario a partir de la fecha de emisión.</w:t>
      </w:r>
    </w:p>
    <w:p>
      <w:pPr>
        <w:spacing w:after="120" w:before="240"/>
      </w:pPr>
      <w:r>
        <w:rPr>
          <w:rFonts w:ascii="Arial" w:cs="Arial" w:eastAsia="Arial" w:hAnsi="Arial"/>
          <w:b/>
          <w:bCs/>
          <w:color w:val="2E75B6"/>
          <w:sz w:val="24"/>
          <w:szCs w:val="24"/>
        </w:rPr>
        <w:t xml:space="preserve">11.2  Forma de Pago</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40% a la firma del contrato / inicio del proyecto.</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30% al completar la Fase 3 (fin del piloto y aprobación del cliente).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30% a la entrega del Informe de Cierre (Entregable E8).</w:t>
      </w:r>
    </w:p>
    <w:p>
      <w:pPr>
        <w:spacing w:after="0" w:before="80"/>
      </w:pPr>
      <w:r>
        <w:rPr>
          <w:rFonts w:ascii="Arial" w:cs="Arial" w:eastAsia="Arial" w:hAnsi="Arial"/>
          <w:b w:val="false"/>
          <w:bCs w:val="false"/>
          <w:i w:val="false"/>
          <w:iCs w:val="false"/>
          <w:color w:val="404040"/>
          <w:sz w:val="22"/>
          <w:szCs w:val="22"/>
        </w:rPr>
        <w:t xml:space="preserve"/>
      </w:r>
    </w:p>
    <w:p>
      <w:pPr>
        <w:spacing w:after="120" w:before="240"/>
      </w:pPr>
      <w:r>
        <w:rPr>
          <w:rFonts w:ascii="Arial" w:cs="Arial" w:eastAsia="Arial" w:hAnsi="Arial"/>
          <w:b/>
          <w:bCs/>
          <w:color w:val="2E75B6"/>
          <w:sz w:val="24"/>
          <w:szCs w:val="24"/>
        </w:rPr>
        <w:t xml:space="preserve">11.3  Garantía</w:t>
      </w:r>
    </w:p>
    <w:p>
      <w:pPr>
        <w:spacing w:after="120" w:before="0"/>
      </w:pPr>
      <w:r>
        <w:rPr>
          <w:rFonts w:ascii="Arial" w:cs="Arial" w:eastAsia="Arial" w:hAnsi="Arial"/>
          <w:b w:val="false"/>
          <w:bCs w:val="false"/>
          <w:i w:val="false"/>
          <w:iCs w:val="false"/>
          <w:color w:val="404040"/>
          <w:sz w:val="22"/>
          <w:szCs w:val="22"/>
        </w:rPr>
        <w:t xml:space="preserve">Se otorgan 30 días de soporte correctivo post-implementación sin costo adicional para incidencias directamente relacionadas con la configuración realizada durante el proyecto.</w:t>
      </w:r>
    </w:p>
    <w:p>
      <w:pPr>
        <w:spacing w:after="120" w:before="240"/>
      </w:pPr>
      <w:r>
        <w:rPr>
          <w:rFonts w:ascii="Arial" w:cs="Arial" w:eastAsia="Arial" w:hAnsi="Arial"/>
          <w:b/>
          <w:bCs/>
          <w:color w:val="2E75B6"/>
          <w:sz w:val="24"/>
          <w:szCs w:val="24"/>
        </w:rPr>
        <w:t xml:space="preserve">11.4  Exclusiones de Garantía</w:t>
      </w:r>
    </w:p>
    <w:p>
      <w:pPr>
        <w:spacing w:after="120" w:before="0"/>
      </w:pPr>
      <w:r>
        <w:rPr>
          <w:rFonts w:ascii="Arial" w:cs="Arial" w:eastAsia="Arial" w:hAnsi="Arial"/>
          <w:b w:val="false"/>
          <w:bCs w:val="false"/>
          <w:i w:val="false"/>
          <w:iCs w:val="false"/>
          <w:color w:val="404040"/>
          <w:sz w:val="22"/>
          <w:szCs w:val="22"/>
        </w:rPr>
        <w:t xml:space="preserve">La garantía no cubre cambios solicitados por el cliente post-entrega, incidencias derivadas de cambios en la infraestructura del cliente, ni actualizaciones de Microsoft que modifiquen el comportamiento de la plataforma.</w:t>
      </w:r>
    </w:p>
    <w:p>
      <w:pPr>
        <w:spacing w:after="120" w:before="240"/>
      </w:pPr>
      <w:r>
        <w:rPr>
          <w:rFonts w:ascii="Arial" w:cs="Arial" w:eastAsia="Arial" w:hAnsi="Arial"/>
          <w:b/>
          <w:bCs/>
          <w:color w:val="2E75B6"/>
          <w:sz w:val="24"/>
          <w:szCs w:val="24"/>
        </w:rPr>
        <w:t xml:space="preserve">11.5  Propiedad Intelectual</w:t>
      </w:r>
    </w:p>
    <w:p>
      <w:pPr>
        <w:spacing w:after="200" w:before="0"/>
      </w:pPr>
      <w:r>
        <w:rPr>
          <w:rFonts w:ascii="Arial" w:cs="Arial" w:eastAsia="Arial" w:hAnsi="Arial"/>
          <w:b w:val="false"/>
          <w:bCs w:val="false"/>
          <w:i w:val="false"/>
          <w:iCs w:val="false"/>
          <w:color w:val="404040"/>
          <w:sz w:val="22"/>
          <w:szCs w:val="22"/>
        </w:rPr>
        <w:t xml:space="preserve">Todos los entregables documentales serán propiedad del cliente una vez liquidado el pago total. Las metodologías, frameworks y herramientas propias del proveedor permanecen bajo su propiedad intelectual.</w:t>
      </w:r>
    </w:p>
    <w:p>
      <w:pPr>
        <w:spacing w:after="0" w:before="200"/>
      </w:pPr>
      <w:r>
        <w:rPr>
          <w:rFonts w:ascii="Arial" w:cs="Arial" w:eastAsia="Arial" w:hAnsi="Arial"/>
          <w:b w:val="false"/>
          <w:bCs w:val="false"/>
          <w:i w:val="false"/>
          <w:iCs w:val="false"/>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jc w:val="center"/>
            </w:pPr>
            <w:r>
              <w:rPr>
                <w:rFonts w:ascii="Arial" w:cs="Arial" w:eastAsia="Arial" w:hAnsi="Arial"/>
                <w:b w:val="false"/>
                <w:bCs w:val="false"/>
                <w:i w:val="false"/>
                <w:iCs w:val="false"/>
                <w:color w:val="404040"/>
                <w:sz w:val="22"/>
                <w:szCs w:val="22"/>
              </w:rPr>
              <w:t xml:space="preserve">_______________________________</w:t>
            </w:r>
          </w:p>
          <w:p>
            <w:pPr>
              <w:spacing w:after="40" w:before="80"/>
              <w:jc w:val="center"/>
            </w:pPr>
            <w:r>
              <w:rPr>
                <w:rFonts w:ascii="Arial" w:cs="Arial" w:eastAsia="Arial" w:hAnsi="Arial"/>
                <w:b/>
                <w:bCs/>
                <w:i w:val="false"/>
                <w:iCs w:val="false"/>
                <w:color w:val="404040"/>
                <w:sz w:val="22"/>
                <w:szCs w:val="22"/>
              </w:rPr>
              <w:t xml:space="preserve">Firma Proveedor</w:t>
            </w:r>
          </w:p>
          <w:p>
            <w:pPr>
              <w:jc w:val="center"/>
            </w:pPr>
            <w:r>
              <w:rPr>
                <w:rFonts w:ascii="Arial" w:cs="Arial" w:eastAsia="Arial" w:hAnsi="Arial"/>
                <w:b w:val="false"/>
                <w:bCs w:val="false"/>
                <w:i w:val="false"/>
                <w:iCs w:val="false"/>
                <w:color w:val="595959"/>
                <w:sz w:val="20"/>
                <w:szCs w:val="20"/>
              </w:rPr>
              <w:t xml:space="preserve">[Nombre y Cargo]</w:t>
            </w:r>
          </w:p>
          <w:p>
            <w:pPr>
              <w:spacing w:before="80"/>
              <w:jc w:val="center"/>
            </w:pPr>
            <w:r>
              <w:rPr>
                <w:rFonts w:ascii="Arial" w:cs="Arial" w:eastAsia="Arial" w:hAnsi="Arial"/>
                <w:b w:val="false"/>
                <w:bCs w:val="false"/>
                <w:i w:val="false"/>
                <w:iCs w:val="false"/>
                <w:color w:val="595959"/>
                <w:sz w:val="20"/>
                <w:szCs w:val="20"/>
              </w:rPr>
              <w:t xml:space="preserve">Fecha: ___________________</w:t>
            </w:r>
          </w:p>
        </w:tc>
        <w:tc>
          <w:tcPr>
            <w:tcW w:type="dxa" w:w="36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olor w:val="404040"/>
                <w:sz w:val="22"/>
                <w:szCs w:val="22"/>
              </w:rPr>
              <w:t xml:space="preserve"/>
            </w:r>
          </w:p>
        </w:tc>
        <w:tc>
          <w:tcPr>
            <w:tcW w:type="dxa" w:w="4500"/>
            <w:tcBorders>
              <w:top w:val="none" w:color="FFFFFF" w:sz="0"/>
              <w:left w:val="none" w:color="FFFFFF" w:sz="0"/>
              <w:bottom w:val="none" w:color="FFFFFF" w:sz="0"/>
              <w:right w:val="none" w:color="FFFFFF" w:sz="0"/>
            </w:tcBorders>
          </w:tcPr>
          <w:p>
            <w:pPr>
              <w:jc w:val="center"/>
            </w:pPr>
            <w:r>
              <w:rPr>
                <w:rFonts w:ascii="Arial" w:cs="Arial" w:eastAsia="Arial" w:hAnsi="Arial"/>
                <w:b w:val="false"/>
                <w:bCs w:val="false"/>
                <w:i w:val="false"/>
                <w:iCs w:val="false"/>
                <w:color w:val="404040"/>
                <w:sz w:val="22"/>
                <w:szCs w:val="22"/>
              </w:rPr>
              <w:t xml:space="preserve">_______________________________</w:t>
            </w:r>
          </w:p>
          <w:p>
            <w:pPr>
              <w:spacing w:after="40" w:before="80"/>
              <w:jc w:val="center"/>
            </w:pPr>
            <w:r>
              <w:rPr>
                <w:rFonts w:ascii="Arial" w:cs="Arial" w:eastAsia="Arial" w:hAnsi="Arial"/>
                <w:b/>
                <w:bCs/>
                <w:i w:val="false"/>
                <w:iCs w:val="false"/>
                <w:color w:val="404040"/>
                <w:sz w:val="22"/>
                <w:szCs w:val="22"/>
              </w:rPr>
              <w:t xml:space="preserve">Firma Cliente</w:t>
            </w:r>
          </w:p>
          <w:p>
            <w:pPr>
              <w:jc w:val="center"/>
            </w:pPr>
            <w:r>
              <w:rPr>
                <w:rFonts w:ascii="Arial" w:cs="Arial" w:eastAsia="Arial" w:hAnsi="Arial"/>
                <w:b w:val="false"/>
                <w:bCs w:val="false"/>
                <w:i w:val="false"/>
                <w:iCs w:val="false"/>
                <w:color w:val="595959"/>
                <w:sz w:val="20"/>
                <w:szCs w:val="20"/>
              </w:rPr>
              <w:t xml:space="preserve">[Nombre y Cargo]</w:t>
            </w:r>
          </w:p>
          <w:p>
            <w:pPr>
              <w:spacing w:before="80"/>
              <w:jc w:val="center"/>
            </w:pPr>
            <w:r>
              <w:rPr>
                <w:rFonts w:ascii="Arial" w:cs="Arial" w:eastAsia="Arial" w:hAnsi="Arial"/>
                <w:b w:val="false"/>
                <w:bCs w:val="false"/>
                <w:i w:val="false"/>
                <w:iCs w:val="false"/>
                <w:color w:val="595959"/>
                <w:sz w:val="20"/>
                <w:szCs w:val="20"/>
              </w:rPr>
              <w:t xml:space="preserve">Fecha: ___________________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tabs>
        <w:tab w:val="right" w:pos="9026"/>
      </w:tabs>
      <w:spacing w:before="100"/>
    </w:pPr>
    <w:r>
      <w:rPr>
        <w:rFonts w:ascii="Arial" w:cs="Arial" w:eastAsia="Arial" w:hAnsi="Arial"/>
        <w:color w:val="595959"/>
        <w:sz w:val="18"/>
        <w:szCs w:val="18"/>
      </w:rPr>
      <w:t xml:space="preserve">Confidencial — </w:t>
    </w: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Abril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026"/>
      </w:tabs>
      <w:spacing w:after="100"/>
    </w:pPr>
    <w:r>
      <w:rPr>
        <w:rFonts w:ascii="Arial" w:cs="Arial" w:eastAsia="Arial" w:hAnsi="Arial"/>
        <w:color w:val="595959"/>
        <w:sz w:val="18"/>
        <w:szCs w:val="18"/>
      </w:rPr>
      <w:t xml:space="preserve">PROPUESTA DE SERVICIOS — MFA con Microsoft Azure Entra ID</w:t>
    </w:r>
    <w:r>
      <w:rPr>
        <w:rFonts w:ascii="Arial" w:cs="Arial" w:eastAsia="Arial" w:hAnsi="Arial"/>
        <w:color w:val="595959"/>
        <w:sz w:val="18"/>
        <w:szCs w:val="18"/>
      </w:rPr>
      <w:t xml:space="preserve">	[Nombre del Proveedor]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70C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2026-04-17T05:26:10.054Z</dcterms:created>
  <dcterms:modified xsi:type="dcterms:W3CDTF">2026-04-17T05:26:10.082Z</dcterms:modified>
</cp:coreProperties>
</file>

<file path=docProps/custom.xml><?xml version="1.0" encoding="utf-8"?>
<Properties xmlns="http://schemas.openxmlformats.org/officeDocument/2006/custom-properties" xmlns:vt="http://schemas.openxmlformats.org/officeDocument/2006/docPropsVTypes"/>
</file>