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52"/>
          <w:szCs w:val="52"/>
        </w:rPr>
        <w:t xml:space="preserve">PROPUESTA DE SERVICIOS</w:t>
      </w:r>
    </w:p>
    <w:p>
      <w:pPr>
        <w:spacing w:after="220" w:before="220"/>
        <w:jc w:val="center"/>
      </w:pPr>
      <w:r>
        <w:rPr>
          <w:rFonts w:ascii="Calibri" w:cs="Calibri" w:eastAsia="Calibri" w:hAnsi="Calibri"/>
          <w:b/>
          <w:bCs/>
          <w:color w:val="2E5395"/>
          <w:sz w:val="32"/>
          <w:szCs w:val="32"/>
        </w:rPr>
        <w:t xml:space="preserve">Migración de Tenant a Tenant en Microsoft Azure</w:t>
      </w:r>
    </w:p>
    <w:p>
      <w:pPr>
        <w:spacing w:after="1800"/>
        <w:jc w:val="center"/>
      </w:pPr>
      <w:r>
        <w:rPr>
          <w:rFonts w:ascii="Calibri" w:cs="Calibri" w:eastAsia="Calibri" w:hAnsi="Calibri"/>
          <w:i/>
          <w:iCs/>
          <w:color w:val="262626"/>
          <w:sz w:val="24"/>
          <w:szCs w:val="24"/>
        </w:rPr>
        <w:t xml:space="preserve">Estrategia de Backup &amp; Restore vía Azure Blob Storage (Punto Intermedio) – Alcance de Infraestructura (IaaS)</w:t>
      </w:r>
    </w:p>
    <w:p>
      <w:pPr>
        <w:spacing w:after="100"/>
        <w:jc w:val="center"/>
      </w:pPr>
      <w:r>
        <w:rPr>
          <w:rFonts w:ascii="Calibri" w:cs="Calibri" w:eastAsia="Calibri" w:hAnsi="Calibri"/>
          <w:color w:val="262626"/>
          <w:sz w:val="22"/>
          <w:szCs w:val="22"/>
        </w:rPr>
        <w:t xml:space="preserve">Cliente: TotalTech</w:t>
      </w:r>
    </w:p>
    <w:p>
      <w:pPr>
        <w:spacing w:after="100"/>
        <w:jc w:val="center"/>
      </w:pPr>
      <w:r>
        <w:rPr>
          <w:rFonts w:ascii="Calibri" w:cs="Calibri" w:eastAsia="Calibri" w:hAnsi="Calibri"/>
          <w:color w:val="262626"/>
          <w:sz w:val="22"/>
          <w:szCs w:val="22"/>
        </w:rPr>
        <w:t xml:space="preserve">Referencia de dimensionamiento: TotalTech_VM | PAYG</w:t>
      </w:r>
    </w:p>
    <w:p>
      <w:pPr>
        <w:spacing w:after="100"/>
        <w:jc w:val="center"/>
      </w:pPr>
      <w:r>
        <w:rPr>
          <w:rFonts w:ascii="Calibri" w:cs="Calibri" w:eastAsia="Calibri" w:hAnsi="Calibri"/>
          <w:color w:val="262626"/>
          <w:sz w:val="22"/>
          <w:szCs w:val="22"/>
        </w:rPr>
        <w:t xml:space="preserve">Fecha: 22 de julio de 2026</w:t>
      </w:r>
    </w:p>
    <w:p>
      <w:pPr>
        <w:spacing w:after="100"/>
        <w:jc w:val="center"/>
      </w:pPr>
      <w:r>
        <w:rPr>
          <w:rFonts w:ascii="Calibri" w:cs="Calibri" w:eastAsia="Calibri" w:hAnsi="Calibri"/>
          <w:color w:val="262626"/>
          <w:sz w:val="22"/>
          <w:szCs w:val="22"/>
        </w:rPr>
        <w:t xml:space="preserve">Versión: 2.0 – Backup a Blob Storage intermedio (IaaS)</w:t>
      </w:r>
    </w:p>
    <w:p>
      <w:r>
        <w:br w:type="page"/>
      </w:r>
    </w:p>
    <w:p>
      <w:pPr>
        <w:spacing w:after="300" w:before="100"/>
      </w:pPr>
      <w:r>
        <w:rPr>
          <w:rFonts w:ascii="Calibri" w:cs="Calibri" w:eastAsia="Calibri" w:hAnsi="Calibri"/>
          <w:b/>
          <w:bCs/>
          <w:color w:val="1F3864"/>
          <w:sz w:val="32"/>
          <w:szCs w:val="32"/>
        </w:rPr>
        <w:t xml:space="preserve">Contenido</w:t>
      </w:r>
    </w:p>
    <w:p>
      <w:pPr>
        <w:spacing w:after="140"/>
      </w:pPr>
      <w:r>
        <w:rPr>
          <w:rFonts w:ascii="Calibri" w:cs="Calibri" w:eastAsia="Calibri" w:hAnsi="Calibri"/>
          <w:color w:val="262626"/>
          <w:sz w:val="22"/>
          <w:szCs w:val="22"/>
        </w:rPr>
        <w:t xml:space="preserve">1. Resumen Ejecutivo</w:t>
      </w:r>
    </w:p>
    <w:p>
      <w:pPr>
        <w:spacing w:after="140"/>
      </w:pPr>
      <w:r>
        <w:rPr>
          <w:rFonts w:ascii="Calibri" w:cs="Calibri" w:eastAsia="Calibri" w:hAnsi="Calibri"/>
          <w:color w:val="262626"/>
          <w:sz w:val="22"/>
          <w:szCs w:val="22"/>
        </w:rPr>
        <w:t xml:space="preserve">2. Situación Actual</w:t>
      </w:r>
    </w:p>
    <w:p>
      <w:pPr>
        <w:spacing w:after="140"/>
      </w:pPr>
      <w:r>
        <w:rPr>
          <w:rFonts w:ascii="Calibri" w:cs="Calibri" w:eastAsia="Calibri" w:hAnsi="Calibri"/>
          <w:color w:val="262626"/>
          <w:sz w:val="22"/>
          <w:szCs w:val="22"/>
        </w:rPr>
        <w:t xml:space="preserve">3. Objetivo</w:t>
      </w:r>
    </w:p>
    <w:p>
      <w:pPr>
        <w:spacing w:after="140"/>
      </w:pPr>
      <w:r>
        <w:rPr>
          <w:rFonts w:ascii="Calibri" w:cs="Calibri" w:eastAsia="Calibri" w:hAnsi="Calibri"/>
          <w:color w:val="262626"/>
          <w:sz w:val="22"/>
          <w:szCs w:val="22"/>
        </w:rPr>
        <w:t xml:space="preserve">4. Arquitectura Propuesta</w:t>
      </w:r>
    </w:p>
    <w:p>
      <w:pPr>
        <w:spacing w:after="140"/>
      </w:pPr>
      <w:r>
        <w:rPr>
          <w:rFonts w:ascii="Calibri" w:cs="Calibri" w:eastAsia="Calibri" w:hAnsi="Calibri"/>
          <w:color w:val="262626"/>
          <w:sz w:val="22"/>
          <w:szCs w:val="22"/>
        </w:rPr>
        <w:t xml:space="preserve">5. Requerimientos Técnicos</w:t>
      </w:r>
    </w:p>
    <w:p>
      <w:pPr>
        <w:spacing w:after="140"/>
      </w:pPr>
      <w:r>
        <w:rPr>
          <w:rFonts w:ascii="Calibri" w:cs="Calibri" w:eastAsia="Calibri" w:hAnsi="Calibri"/>
          <w:color w:val="262626"/>
          <w:sz w:val="22"/>
          <w:szCs w:val="22"/>
        </w:rPr>
        <w:t xml:space="preserve">6. Requerimientos Humanos (Equipo del Proyecto)</w:t>
      </w:r>
    </w:p>
    <w:p>
      <w:pPr>
        <w:spacing w:after="140"/>
      </w:pPr>
      <w:r>
        <w:rPr>
          <w:rFonts w:ascii="Calibri" w:cs="Calibri" w:eastAsia="Calibri" w:hAnsi="Calibri"/>
          <w:color w:val="262626"/>
          <w:sz w:val="22"/>
          <w:szCs w:val="22"/>
        </w:rPr>
        <w:t xml:space="preserve">7. Alcance</w:t>
      </w:r>
    </w:p>
    <w:p>
      <w:pPr>
        <w:spacing w:after="140"/>
      </w:pPr>
      <w:r>
        <w:rPr>
          <w:rFonts w:ascii="Calibri" w:cs="Calibri" w:eastAsia="Calibri" w:hAnsi="Calibri"/>
          <w:color w:val="262626"/>
          <w:sz w:val="22"/>
          <w:szCs w:val="22"/>
        </w:rPr>
        <w:t xml:space="preserve">8. Fuera de Alcance</w:t>
      </w:r>
    </w:p>
    <w:p>
      <w:pPr>
        <w:spacing w:after="140"/>
      </w:pPr>
      <w:r>
        <w:rPr>
          <w:rFonts w:ascii="Calibri" w:cs="Calibri" w:eastAsia="Calibri" w:hAnsi="Calibri"/>
          <w:color w:val="262626"/>
          <w:sz w:val="22"/>
          <w:szCs w:val="22"/>
        </w:rPr>
        <w:t xml:space="preserve">9. Estrategia de Migración</w:t>
      </w:r>
    </w:p>
    <w:p>
      <w:pPr>
        <w:spacing w:after="140"/>
      </w:pPr>
      <w:r>
        <w:rPr>
          <w:rFonts w:ascii="Calibri" w:cs="Calibri" w:eastAsia="Calibri" w:hAnsi="Calibri"/>
          <w:color w:val="262626"/>
          <w:sz w:val="22"/>
          <w:szCs w:val="22"/>
        </w:rPr>
        <w:t xml:space="preserve">10. Fases y Tiempos de Ejecución</w:t>
      </w:r>
    </w:p>
    <w:p>
      <w:pPr>
        <w:spacing w:after="140"/>
      </w:pPr>
      <w:r>
        <w:rPr>
          <w:rFonts w:ascii="Calibri" w:cs="Calibri" w:eastAsia="Calibri" w:hAnsi="Calibri"/>
          <w:color w:val="262626"/>
          <w:sz w:val="22"/>
          <w:szCs w:val="22"/>
        </w:rPr>
        <w:t xml:space="preserve">11. Supuestos</w:t>
      </w:r>
    </w:p>
    <w:p>
      <w:pPr>
        <w:spacing w:after="140"/>
      </w:pPr>
      <w:r>
        <w:rPr>
          <w:rFonts w:ascii="Calibri" w:cs="Calibri" w:eastAsia="Calibri" w:hAnsi="Calibri"/>
          <w:color w:val="262626"/>
          <w:sz w:val="22"/>
          <w:szCs w:val="22"/>
        </w:rPr>
        <w:t xml:space="preserve">12. Riesgos y Consideraciones de Seguridad</w:t>
      </w:r>
    </w:p>
    <w:p>
      <w:pPr>
        <w:spacing w:after="140"/>
      </w:pPr>
      <w:r>
        <w:rPr>
          <w:rFonts w:ascii="Calibri" w:cs="Calibri" w:eastAsia="Calibri" w:hAnsi="Calibri"/>
          <w:color w:val="262626"/>
          <w:sz w:val="22"/>
          <w:szCs w:val="22"/>
        </w:rPr>
        <w:t xml:space="preserve">13. Calculadora Azure (Dimensionamiento y Costos)</w:t>
      </w:r>
    </w:p>
    <w:p>
      <w:pPr>
        <w:spacing w:after="140"/>
      </w:pPr>
      <w:r>
        <w:rPr>
          <w:rFonts w:ascii="Calibri" w:cs="Calibri" w:eastAsia="Calibri" w:hAnsi="Calibri"/>
          <w:color w:val="262626"/>
          <w:sz w:val="22"/>
          <w:szCs w:val="22"/>
        </w:rPr>
        <w:t xml:space="preserve">14. Consideraciones Adicionales para la Implementación</w:t>
      </w:r>
    </w:p>
    <w:p>
      <w:pPr>
        <w:spacing w:after="140"/>
      </w:pPr>
      <w:r>
        <w:rPr>
          <w:rFonts w:ascii="Calibri" w:cs="Calibri" w:eastAsia="Calibri" w:hAnsi="Calibri"/>
          <w:color w:val="262626"/>
          <w:sz w:val="22"/>
          <w:szCs w:val="22"/>
        </w:rPr>
        <w:t xml:space="preserve">15. Entregables</w:t>
      </w:r>
    </w:p>
    <w:p>
      <w:r>
        <w:br w:type="page"/>
      </w:r>
    </w:p>
    <w:p>
      <w:pPr>
        <w:pStyle w:val="Heading1"/>
        <w:pBdr>
          <w:bottom w:val="single" w:color="2E5395" w:sz="6" w:space="4"/>
        </w:pBdr>
        <w:spacing w:after="180" w:before="400"/>
      </w:pPr>
      <w:r>
        <w:rPr>
          <w:rFonts w:ascii="Calibri" w:cs="Calibri" w:eastAsia="Calibri" w:hAnsi="Calibri"/>
          <w:b/>
          <w:bCs/>
          <w:color w:val="1F3864"/>
          <w:sz w:val="30"/>
          <w:szCs w:val="30"/>
        </w:rPr>
        <w:t xml:space="preserve">1. Resumen Ejecutivo</w:t>
      </w:r>
    </w:p>
    <w:p>
      <w:pPr>
        <w:spacing w:after="160" w:line="276"/>
      </w:pPr>
      <w:r>
        <w:rPr>
          <w:rFonts w:ascii="Calibri" w:cs="Calibri" w:eastAsia="Calibri" w:hAnsi="Calibri"/>
          <w:color w:val="262626"/>
          <w:sz w:val="21"/>
          <w:szCs w:val="21"/>
        </w:rPr>
        <w:t xml:space="preserve">El presente documento describe la propuesta de servicios para ejecutar la migración de Tenant a Tenant en Microsoft Azure de los ambientes productivo y de calidad (QAS) del cliente TotalTech. La solicitud tiene un carácter principalmente administrativo: trasladar el ambiente actual (Tenant A) hacia un nuevo Tenant de destino (Tenant B), preservando la operación de los aplicativos SAP, GRP, DMS y la base de datos Oracle que residen sobre la infraestructura IaaS actual.</w:t>
      </w:r>
    </w:p>
    <w:p>
      <w:pPr>
        <w:spacing w:after="160" w:line="276"/>
      </w:pPr>
      <w:r>
        <w:rPr>
          <w:rFonts w:ascii="Calibri" w:cs="Calibri" w:eastAsia="Calibri" w:hAnsi="Calibri"/>
          <w:color w:val="262626"/>
          <w:sz w:val="21"/>
          <w:szCs w:val="21"/>
        </w:rPr>
        <w:t xml:space="preserve">La estrategia confirmada es un modelo de Backup &amp; Restore a través de un punto intermedio único: se realiza un Assessment inicial del Tenant A, se respaldan las máquinas virtuales (sistema operativo, capa de aplicación y bases de datos, a nivel de infraestructura/disco) del Tenant A, se copian los archivos de respaldo resultantes hacia una cuenta de Azure Blob Storage de uso general (punto medio), y desde ahí se restauran/reconstruyen los recursos de cómputo, almacenamiento y red directamente en el Tenant B.</w:t>
      </w:r>
    </w:p>
    <w:p>
      <w:pPr>
        <w:spacing w:after="160" w:line="276"/>
      </w:pPr>
      <w:r>
        <w:rPr>
          <w:rFonts w:ascii="Calibri" w:cs="Calibri" w:eastAsia="Calibri" w:hAnsi="Calibri"/>
          <w:color w:val="262626"/>
          <w:sz w:val="21"/>
          <w:szCs w:val="21"/>
        </w:rPr>
        <w:t xml:space="preserve">Es importante señalar que Azure no permite un “movimiento” nativo de recursos entre Tenants (Azure AD) distintos —a diferencia de un movimiento entre suscripciones dentro del mismo Tenant—, por lo que toda migración Tenant a Tenant requiere necesariamente una copia de datos (backup/export + restore/import) y una reconfiguración de identidad, red y seguridad en el destino.</w:t>
      </w:r>
    </w:p>
    <w:p>
      <w:pPr>
        <w:spacing w:after="160" w:line="276"/>
      </w:pPr>
      <w:r>
        <w:rPr>
          <w:rFonts w:ascii="Calibri" w:cs="Calibri" w:eastAsia="Calibri" w:hAnsi="Calibri"/>
          <w:b/>
          <w:bCs/>
          <w:color w:val="262626"/>
          <w:sz w:val="21"/>
          <w:szCs w:val="21"/>
        </w:rPr>
        <w:t xml:space="preserve">Deslinde de responsabilidad (punto central de esta propuesta): el alcance del proveedor se limita a la infraestructura como servicio (IaaS) — esto es, el aprovisionamiento, backup, transferencia y restauración de las máquinas virtuales, discos y red. El proveedor NO es responsable de la validación funcional, configuración, integridad transaccional ni operación de los aplicativos SAP, GRP, DMS y Oracle DB; dicha responsabilidad corresponde al cliente y/o a los dueños funcionales de cada aplicativo. Esta distinción se detalla en la sección 7.1 y se refuerza en la matriz de riesgos (sección 12).</w:t>
      </w:r>
    </w:p>
    <w:p>
      <w:pPr>
        <w:spacing w:after="160" w:line="276"/>
      </w:pPr>
      <w:r>
        <w:rPr>
          <w:rFonts w:ascii="Calibri" w:cs="Calibri" w:eastAsia="Calibri" w:hAnsi="Calibri"/>
          <w:color w:val="262626"/>
          <w:sz w:val="21"/>
          <w:szCs w:val="21"/>
        </w:rPr>
        <w:t xml:space="preserve">Esta propuesta cubre: situación actual, objetivo, arquitectura, requerimientos técnicos y humanos, alcances, deslinde de responsabilidades y fuera de alcances, estrategia y fases de migración, tiempos estimados, supuestos, matriz de riesgos, y el detalle de dimensionamiento/costo obtenido de la calculadora de precios de Azure.</w:t>
      </w:r>
    </w:p>
    <w:p>
      <w:pPr>
        <w:pStyle w:val="Heading1"/>
        <w:pBdr>
          <w:bottom w:val="single" w:color="2E5395" w:sz="6" w:space="4"/>
        </w:pBdr>
        <w:spacing w:after="180" w:before="400"/>
      </w:pPr>
      <w:r>
        <w:rPr>
          <w:rFonts w:ascii="Calibri" w:cs="Calibri" w:eastAsia="Calibri" w:hAnsi="Calibri"/>
          <w:b/>
          <w:bCs/>
          <w:color w:val="1F3864"/>
          <w:sz w:val="30"/>
          <w:szCs w:val="30"/>
        </w:rPr>
        <w:t xml:space="preserve">2. Situación Actual</w:t>
      </w:r>
    </w:p>
    <w:p>
      <w:pPr>
        <w:spacing w:after="160" w:line="276"/>
      </w:pPr>
      <w:r>
        <w:rPr>
          <w:rFonts w:ascii="Calibri" w:cs="Calibri" w:eastAsia="Calibri" w:hAnsi="Calibri"/>
          <w:color w:val="262626"/>
          <w:sz w:val="21"/>
          <w:szCs w:val="21"/>
        </w:rPr>
        <w:t xml:space="preserve">TotalTech opera actualmente un ambiente de infraestructura en Microsoft Azure bajo un único Tenant y suscripción (“Tenant A”), en la región South Central US, bajo el modelo de facturación Pay-As-You-Go (PAYG). De acuerdo con el inventario levantado en la calculadora de Azure anexa, el ambiente aloja:</w:t>
      </w:r>
    </w:p>
    <w:p>
      <w:pPr>
        <w:pStyle w:val="ListParagraph"/>
        <w:numPr>
          <w:ilvl w:val="0"/>
          <w:numId w:val="2"/>
        </w:numPr>
        <w:spacing w:after="80"/>
      </w:pPr>
      <w:r>
        <w:rPr>
          <w:rFonts w:ascii="Calibri" w:cs="Calibri" w:eastAsia="Calibri" w:hAnsi="Calibri"/>
          <w:color w:val="262626"/>
          <w:sz w:val="21"/>
          <w:szCs w:val="21"/>
        </w:rPr>
        <w:t xml:space="preserve">9 máquinas virtuales (IaaS) que soportan los aplicativos Oracle DB, DMS, GRP y SAP ECC, en ambientes de Producción y QAS.</w:t>
      </w:r>
    </w:p>
    <w:p>
      <w:pPr>
        <w:pStyle w:val="ListParagraph"/>
        <w:numPr>
          <w:ilvl w:val="0"/>
          <w:numId w:val="2"/>
        </w:numPr>
        <w:spacing w:after="80"/>
      </w:pPr>
      <w:r>
        <w:rPr>
          <w:rFonts w:ascii="Calibri" w:cs="Calibri" w:eastAsia="Calibri" w:hAnsi="Calibri"/>
          <w:color w:val="262626"/>
          <w:sz w:val="21"/>
          <w:szCs w:val="21"/>
        </w:rPr>
        <w:t xml:space="preserve">18 discos administrados (Managed Disks), en combinación de SSD Estándar y SSD Premium, usados como discos de sistema operativo y de datos.</w:t>
      </w:r>
    </w:p>
    <w:p>
      <w:pPr>
        <w:pStyle w:val="ListParagraph"/>
        <w:numPr>
          <w:ilvl w:val="0"/>
          <w:numId w:val="2"/>
        </w:numPr>
        <w:spacing w:after="80"/>
      </w:pPr>
      <w:r>
        <w:rPr>
          <w:rFonts w:ascii="Calibri" w:cs="Calibri" w:eastAsia="Calibri" w:hAnsi="Calibri"/>
          <w:color w:val="262626"/>
          <w:sz w:val="21"/>
          <w:szCs w:val="21"/>
        </w:rPr>
        <w:t xml:space="preserve">Direccionamiento IP privado estático (10 IPs) sobre una red virtual básica (ARM).</w:t>
      </w:r>
    </w:p>
    <w:p>
      <w:pPr>
        <w:pStyle w:val="ListParagraph"/>
        <w:numPr>
          <w:ilvl w:val="0"/>
          <w:numId w:val="2"/>
        </w:numPr>
        <w:spacing w:after="80"/>
      </w:pPr>
      <w:r>
        <w:rPr>
          <w:rFonts w:ascii="Calibri" w:cs="Calibri" w:eastAsia="Calibri" w:hAnsi="Calibri"/>
          <w:color w:val="262626"/>
          <w:sz w:val="21"/>
          <w:szCs w:val="21"/>
        </w:rPr>
        <w:t xml:space="preserve">Un único Billing Account / Billing Profile y modelo de soporte asociados al Tenant actual.</w:t>
      </w:r>
    </w:p>
    <w:p>
      <w:pPr>
        <w:spacing w:after="160" w:line="276"/>
      </w:pPr>
      <w:r>
        <w:rPr>
          <w:rFonts w:ascii="Calibri" w:cs="Calibri" w:eastAsia="Calibri" w:hAnsi="Calibri"/>
          <w:color w:val="262626"/>
          <w:sz w:val="21"/>
          <w:szCs w:val="21"/>
        </w:rPr>
        <w:t xml:space="preserve">El costo mensual estimado del ambiente actual, de acuerdo con la calculadora de precios de Azure, asciende a USD $3,625.58 (detalle completo en la sección 12 – Calculadora Azure).</w:t>
      </w:r>
    </w:p>
    <w:p>
      <w:pPr>
        <w:spacing w:after="160" w:line="276"/>
      </w:pPr>
      <w:r>
        <w:rPr>
          <w:rFonts w:ascii="Calibri" w:cs="Calibri" w:eastAsia="Calibri" w:hAnsi="Calibri"/>
          <w:color w:val="262626"/>
          <w:sz w:val="21"/>
          <w:szCs w:val="21"/>
        </w:rPr>
        <w:t xml:space="preserve">El cliente requiere trasladar este ambiente a un nuevo Tenant (“Tenant B”) por motivos administrativos/corporativos, manteniendo la continuidad operativa de los aplicativos de negocio y minimizando el tiempo de indisponibilidad (downtime).</w:t>
      </w:r>
    </w:p>
    <w:p>
      <w:pPr>
        <w:spacing w:after="160" w:line="276"/>
      </w:pPr>
      <w:r>
        <w:rPr>
          <w:rFonts w:ascii="Calibri" w:cs="Calibri" w:eastAsia="Calibri" w:hAnsi="Calibri"/>
          <w:color w:val="262626"/>
          <w:sz w:val="21"/>
          <w:szCs w:val="21"/>
        </w:rPr>
        <w:t xml:space="preserve">Tras la revisión conjunta con el cliente, se confirma que el mecanismo de migración será mediante Backup &amp; Restore utilizando una cuenta de Azure Blob Storage de uso general como punto intermedio único entre el Tenant A y el Tenant B (en lugar de una transferencia directa entre suscripciones). Asimismo, se confirma que el alcance del proveedor se limita a la infraestructura (IaaS); la validación y operación de los aplicativos (SAP, GRP, DMS, Oracle DB) es responsabilidad del cliente y de los dueños funcionales de cada aplicativo.</w:t>
      </w:r>
    </w:p>
    <w:p>
      <w:pPr>
        <w:pStyle w:val="Heading1"/>
        <w:pBdr>
          <w:bottom w:val="single" w:color="2E5395" w:sz="6" w:space="4"/>
        </w:pBdr>
        <w:spacing w:after="180" w:before="400"/>
      </w:pPr>
      <w:r>
        <w:rPr>
          <w:rFonts w:ascii="Calibri" w:cs="Calibri" w:eastAsia="Calibri" w:hAnsi="Calibri"/>
          <w:b/>
          <w:bCs/>
          <w:color w:val="1F3864"/>
          <w:sz w:val="30"/>
          <w:szCs w:val="30"/>
        </w:rPr>
        <w:t xml:space="preserve">3. Objetivo</w:t>
      </w:r>
    </w:p>
    <w:p>
      <w:pPr>
        <w:spacing w:after="160" w:line="276"/>
      </w:pPr>
      <w:r>
        <w:rPr>
          <w:rFonts w:ascii="Calibri" w:cs="Calibri" w:eastAsia="Calibri" w:hAnsi="Calibri"/>
          <w:color w:val="262626"/>
          <w:sz w:val="21"/>
          <w:szCs w:val="21"/>
        </w:rPr>
        <w:t xml:space="preserve">Diseñar y ejecutar un plan de migración Tenant a Tenant en Microsoft Azure, basado en Backup &amp; Restore mediante un Blob Storage intermedio, que permita:</w:t>
      </w:r>
    </w:p>
    <w:p>
      <w:pPr>
        <w:pStyle w:val="ListParagraph"/>
        <w:numPr>
          <w:ilvl w:val="0"/>
          <w:numId w:val="3"/>
        </w:numPr>
        <w:spacing w:after="80"/>
      </w:pPr>
      <w:r>
        <w:rPr>
          <w:rFonts w:ascii="Calibri" w:cs="Calibri" w:eastAsia="Calibri" w:hAnsi="Calibri"/>
          <w:color w:val="262626"/>
          <w:sz w:val="21"/>
          <w:szCs w:val="21"/>
        </w:rPr>
        <w:t xml:space="preserve">Realizar un Assessment del Tenant A que confirme inventario, dependencias, volumetría de datos y estrategia de respaldo por workload.</w:t>
      </w:r>
    </w:p>
    <w:p>
      <w:pPr>
        <w:pStyle w:val="ListParagraph"/>
        <w:numPr>
          <w:ilvl w:val="0"/>
          <w:numId w:val="3"/>
        </w:numPr>
        <w:spacing w:after="80"/>
      </w:pPr>
      <w:r>
        <w:rPr>
          <w:rFonts w:ascii="Calibri" w:cs="Calibri" w:eastAsia="Calibri" w:hAnsi="Calibri"/>
          <w:color w:val="262626"/>
          <w:sz w:val="21"/>
          <w:szCs w:val="21"/>
        </w:rPr>
        <w:t xml:space="preserve">Respaldar (backup) el sistema operativo, la capa de aplicación y las bases de datos de las máquinas virtuales del Tenant A, a nivel de infraestructura/disco.</w:t>
      </w:r>
    </w:p>
    <w:p>
      <w:pPr>
        <w:pStyle w:val="ListParagraph"/>
        <w:numPr>
          <w:ilvl w:val="0"/>
          <w:numId w:val="3"/>
        </w:numPr>
        <w:spacing w:after="80"/>
      </w:pPr>
      <w:r>
        <w:rPr>
          <w:rFonts w:ascii="Calibri" w:cs="Calibri" w:eastAsia="Calibri" w:hAnsi="Calibri"/>
          <w:color w:val="262626"/>
          <w:sz w:val="21"/>
          <w:szCs w:val="21"/>
        </w:rPr>
        <w:t xml:space="preserve">Copiar de forma segura los archivos de respaldo resultantes hacia una cuenta de Azure Blob Storage de uso general, utilizada como punto intermedio único.</w:t>
      </w:r>
    </w:p>
    <w:p>
      <w:pPr>
        <w:pStyle w:val="ListParagraph"/>
        <w:numPr>
          <w:ilvl w:val="0"/>
          <w:numId w:val="3"/>
        </w:numPr>
        <w:spacing w:after="80"/>
      </w:pPr>
      <w:r>
        <w:rPr>
          <w:rFonts w:ascii="Calibri" w:cs="Calibri" w:eastAsia="Calibri" w:hAnsi="Calibri"/>
          <w:color w:val="262626"/>
          <w:sz w:val="21"/>
          <w:szCs w:val="21"/>
        </w:rPr>
        <w:t xml:space="preserve">Aprovisionar la infraestructura (IaaS) destino en el Tenant B: red, seguridad (NSG) y cómputo, y restaurar los discos/VMs a partir de los respaldos alojados en el Blob Storage intermedio.</w:t>
      </w:r>
    </w:p>
    <w:p>
      <w:pPr>
        <w:pStyle w:val="ListParagraph"/>
        <w:numPr>
          <w:ilvl w:val="0"/>
          <w:numId w:val="3"/>
        </w:numPr>
        <w:spacing w:after="80"/>
      </w:pPr>
      <w:r>
        <w:rPr>
          <w:rFonts w:ascii="Calibri" w:cs="Calibri" w:eastAsia="Calibri" w:hAnsi="Calibri"/>
          <w:color w:val="262626"/>
          <w:sz w:val="21"/>
          <w:szCs w:val="21"/>
        </w:rPr>
        <w:t xml:space="preserve">Validar que la infraestructura (VMs, red, conectividad) quede disponible y operativa en el Tenant B, dejando la validación funcional de los aplicativos (Oracle DB, DMS, GRP, SAP ECC) a cargo del cliente y sus dueños funcionales.</w:t>
      </w:r>
    </w:p>
    <w:p>
      <w:pPr>
        <w:pStyle w:val="ListParagraph"/>
        <w:numPr>
          <w:ilvl w:val="0"/>
          <w:numId w:val="3"/>
        </w:numPr>
        <w:spacing w:after="80"/>
      </w:pPr>
      <w:r>
        <w:rPr>
          <w:rFonts w:ascii="Calibri" w:cs="Calibri" w:eastAsia="Calibri" w:hAnsi="Calibri"/>
          <w:color w:val="262626"/>
          <w:sz w:val="21"/>
          <w:szCs w:val="21"/>
        </w:rPr>
        <w:t xml:space="preserve">Entregar documentación técnica y administrativa del nuevo ambiente, así como un plan de rollback ante contingencias.</w:t>
      </w:r>
    </w:p>
    <w:p>
      <w:pPr>
        <w:spacing w:after="160" w:line="276"/>
      </w:pPr>
      <w:r>
        <w:rPr>
          <w:rFonts w:ascii="Calibri" w:cs="Calibri" w:eastAsia="Calibri" w:hAnsi="Calibri"/>
          <w:i/>
          <w:iCs/>
          <w:color w:val="262626"/>
          <w:sz w:val="21"/>
          <w:szCs w:val="21"/>
        </w:rPr>
        <w:t xml:space="preserve">Nota de alcance: el proveedor es responsable de la infraestructura como servicio (IaaS) — aprovisionamiento, backup, transferencia y restauración. La responsabilidad sobre la configuración, arranque y funcionamiento de los aplicativos (SAP, GRP, DMS, Oracle DB) corresponde al cliente/dueños de aplicativo (ver sección 7.1).</w:t>
      </w:r>
    </w:p>
    <w:p>
      <w:pPr>
        <w:pStyle w:val="Heading1"/>
        <w:pBdr>
          <w:bottom w:val="single" w:color="2E5395" w:sz="6" w:space="4"/>
        </w:pBdr>
        <w:spacing w:after="180" w:before="400"/>
      </w:pPr>
      <w:r>
        <w:rPr>
          <w:rFonts w:ascii="Calibri" w:cs="Calibri" w:eastAsia="Calibri" w:hAnsi="Calibri"/>
          <w:b/>
          <w:bCs/>
          <w:color w:val="1F3864"/>
          <w:sz w:val="30"/>
          <w:szCs w:val="30"/>
        </w:rPr>
        <w:t xml:space="preserve">4. Arquitectura Propuesta</w:t>
      </w:r>
    </w:p>
    <w:p>
      <w:pPr>
        <w:spacing w:after="160" w:line="276"/>
      </w:pPr>
      <w:r>
        <w:rPr>
          <w:rFonts w:ascii="Calibri" w:cs="Calibri" w:eastAsia="Calibri" w:hAnsi="Calibri"/>
          <w:color w:val="262626"/>
          <w:sz w:val="21"/>
          <w:szCs w:val="21"/>
        </w:rPr>
        <w:t xml:space="preserve">La arquitectura propuesta contempla dos ambientes: el Tenant A (origen), que permanece operativo hasta el corte, y el Tenant B (destino), preparado previamente para recibir los recursos restaurados. A diferencia de una transferencia directa entre suscripciones, esta arquitectura utiliza una cuenta de Azure Blob Storage de uso general (“General Purpose v2”) como punto intermedio único, que recibe los respaldos del Tenant A y desde la cual se restauran los recursos en el Tenant B. El flujo general de la solución es el siguiente:</w:t>
      </w:r>
    </w:p>
    <w:p>
      <w:pPr>
        <w:pStyle w:val="ListParagraph"/>
        <w:numPr>
          <w:ilvl w:val="0"/>
          <w:numId w:val="3"/>
        </w:numPr>
        <w:spacing w:after="80"/>
      </w:pPr>
      <w:r>
        <w:rPr>
          <w:rFonts w:ascii="Calibri" w:cs="Calibri" w:eastAsia="Calibri" w:hAnsi="Calibri"/>
          <w:color w:val="262626"/>
          <w:sz w:val="21"/>
          <w:szCs w:val="21"/>
        </w:rPr>
        <w:t xml:space="preserve">Assessment: levantamiento de inventario del Tenant A, mapeo de dependencias entre VMs/aplicativos, volumetría de datos por workload y definición de RTO/RPO.</w:t>
      </w:r>
    </w:p>
    <w:p>
      <w:pPr>
        <w:pStyle w:val="ListParagraph"/>
        <w:numPr>
          <w:ilvl w:val="0"/>
          <w:numId w:val="3"/>
        </w:numPr>
        <w:spacing w:after="80"/>
      </w:pPr>
      <w:r>
        <w:rPr>
          <w:rFonts w:ascii="Calibri" w:cs="Calibri" w:eastAsia="Calibri" w:hAnsi="Calibri"/>
          <w:color w:val="262626"/>
          <w:sz w:val="21"/>
          <w:szCs w:val="21"/>
        </w:rPr>
        <w:t xml:space="preserve">Backup en origen: respaldo de cada VM por capas — sistema operativo, aplicación y base de datos — a nivel de infraestructura/disco (Managed Disks) en el Tenant A.</w:t>
      </w:r>
    </w:p>
    <w:p>
      <w:pPr>
        <w:pStyle w:val="ListParagraph"/>
        <w:numPr>
          <w:ilvl w:val="0"/>
          <w:numId w:val="3"/>
        </w:numPr>
        <w:spacing w:after="80"/>
      </w:pPr>
      <w:r>
        <w:rPr>
          <w:rFonts w:ascii="Calibri" w:cs="Calibri" w:eastAsia="Calibri" w:hAnsi="Calibri"/>
          <w:color w:val="262626"/>
          <w:sz w:val="21"/>
          <w:szCs w:val="21"/>
        </w:rPr>
        <w:t xml:space="preserve">Copia al punto intermedio: los discos se exportan como Page Blobs (VHD) y se copian hacia la cuenta de Azure Blob Storage de uso general, generando SAS tokens de acceso restringido y con expiración controlada.</w:t>
      </w:r>
    </w:p>
    <w:p>
      <w:pPr>
        <w:pStyle w:val="ListParagraph"/>
        <w:numPr>
          <w:ilvl w:val="0"/>
          <w:numId w:val="3"/>
        </w:numPr>
        <w:spacing w:after="80"/>
      </w:pPr>
      <w:r>
        <w:rPr>
          <w:rFonts w:ascii="Calibri" w:cs="Calibri" w:eastAsia="Calibri" w:hAnsi="Calibri"/>
          <w:color w:val="262626"/>
          <w:sz w:val="21"/>
          <w:szCs w:val="21"/>
        </w:rPr>
        <w:t xml:space="preserve">Aprovisionamiento en destino: creación de la infraestructura base en el Tenant B — VNets, Subnets, NSGs y demás recursos de red y seguridad.</w:t>
      </w:r>
    </w:p>
    <w:p>
      <w:pPr>
        <w:pStyle w:val="ListParagraph"/>
        <w:numPr>
          <w:ilvl w:val="0"/>
          <w:numId w:val="3"/>
        </w:numPr>
        <w:spacing w:after="80"/>
      </w:pPr>
      <w:r>
        <w:rPr>
          <w:rFonts w:ascii="Calibri" w:cs="Calibri" w:eastAsia="Calibri" w:hAnsi="Calibri"/>
          <w:color w:val="262626"/>
          <w:sz w:val="21"/>
          <w:szCs w:val="21"/>
        </w:rPr>
        <w:t xml:space="preserve">Restauración desde el punto intermedio: creación de Managed Disks en el Tenant B a partir de los VHD alojados en el Blob Storage intermedio, y aprovisionamiento de las VMs asociando dichos discos.</w:t>
      </w:r>
    </w:p>
    <w:p>
      <w:pPr>
        <w:pStyle w:val="ListParagraph"/>
        <w:numPr>
          <w:ilvl w:val="0"/>
          <w:numId w:val="3"/>
        </w:numPr>
        <w:spacing w:after="80"/>
      </w:pPr>
      <w:r>
        <w:rPr>
          <w:rFonts w:ascii="Calibri" w:cs="Calibri" w:eastAsia="Calibri" w:hAnsi="Calibri"/>
          <w:color w:val="262626"/>
          <w:sz w:val="21"/>
          <w:szCs w:val="21"/>
        </w:rPr>
        <w:t xml:space="preserve">Red y seguridad: validación de VNets, Subnets, NSGs, IPs privadas y reglas de firewall en el Tenant B, replicando (o mejorando) el modelo de seguridad del Tenant A.</w:t>
      </w:r>
    </w:p>
    <w:p>
      <w:pPr>
        <w:pStyle w:val="ListParagraph"/>
        <w:numPr>
          <w:ilvl w:val="0"/>
          <w:numId w:val="3"/>
        </w:numPr>
        <w:spacing w:after="80"/>
      </w:pPr>
      <w:r>
        <w:rPr>
          <w:rFonts w:ascii="Calibri" w:cs="Calibri" w:eastAsia="Calibri" w:hAnsi="Calibri"/>
          <w:color w:val="262626"/>
          <w:sz w:val="21"/>
          <w:szCs w:val="21"/>
        </w:rPr>
        <w:t xml:space="preserve">Identidad: validación de autenticación de las VMs unidas a dominio (si aplica) y sincronización o recreación de cuentas de servicio, en coordinación con el cliente.</w:t>
      </w:r>
    </w:p>
    <w:p>
      <w:pPr>
        <w:pStyle w:val="ListParagraph"/>
        <w:numPr>
          <w:ilvl w:val="0"/>
          <w:numId w:val="3"/>
        </w:numPr>
        <w:spacing w:after="80"/>
      </w:pPr>
      <w:r>
        <w:rPr>
          <w:rFonts w:ascii="Calibri" w:cs="Calibri" w:eastAsia="Calibri" w:hAnsi="Calibri"/>
          <w:color w:val="262626"/>
          <w:sz w:val="21"/>
          <w:szCs w:val="21"/>
        </w:rPr>
        <w:t xml:space="preserve">Validación de infraestructura: arranque de las VMs en el Tenant B y confirmación de conectividad de red (esto NO incluye la validación funcional de los aplicativos, ver secciones 7.1 y 8).</w:t>
      </w:r>
    </w:p>
    <w:p>
      <w:pPr>
        <w:pStyle w:val="ListParagraph"/>
        <w:numPr>
          <w:ilvl w:val="0"/>
          <w:numId w:val="3"/>
        </w:numPr>
        <w:spacing w:after="80"/>
      </w:pPr>
      <w:r>
        <w:rPr>
          <w:rFonts w:ascii="Calibri" w:cs="Calibri" w:eastAsia="Calibri" w:hAnsi="Calibri"/>
          <w:color w:val="262626"/>
          <w:sz w:val="21"/>
          <w:szCs w:val="21"/>
        </w:rPr>
        <w:t xml:space="preserve">Cutover: redirección de accesos (DNS, VPN/ExpressRoute, whitelists) hacia el Tenant B, una vez que el cliente/dueño de aplicativo valida el funcionamiento y autoriza el corte.</w:t>
      </w:r>
    </w:p>
    <w:p>
      <w:pPr>
        <w:spacing w:after="160" w:line="276"/>
      </w:pPr>
      <w:r>
        <w:rPr>
          <w:rFonts w:ascii="Calibri" w:cs="Calibri" w:eastAsia="Calibri" w:hAnsi="Calibri"/>
          <w:color w:val="262626"/>
          <w:sz w:val="21"/>
          <w:szCs w:val="21"/>
        </w:rPr>
        <w:t xml:space="preserve"/>
      </w:r>
    </w:p>
    <w:p>
      <w:pPr>
        <w:pStyle w:val="Heading2"/>
        <w:spacing w:after="120" w:before="260"/>
      </w:pPr>
      <w:r>
        <w:rPr>
          <w:rFonts w:ascii="Calibri" w:cs="Calibri" w:eastAsia="Calibri" w:hAnsi="Calibri"/>
          <w:b/>
          <w:bCs/>
          <w:color w:val="2E5395"/>
          <w:sz w:val="24"/>
          <w:szCs w:val="24"/>
        </w:rPr>
        <w:t xml:space="preserve">4.1 Componentes por Tenant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Componente</w:t>
            </w:r>
          </w:p>
        </w:tc>
        <w:tc>
          <w:tcPr>
            <w:tcW w:type="dxa" w:w="3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Tenant A (Origen)</w:t>
            </w:r>
          </w:p>
        </w:tc>
        <w:tc>
          <w:tcPr>
            <w:tcW w:type="dxa" w:w="3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Tenant B (Destino)</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Identidad</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Azure AD propio, cuentas y grupos actuales</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Azure AD propio o federado; recreación/migración de cuentas y grupos de servicio</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Suscripción</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Suscripción PAYG actual</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Nueva suscripción asociada al Tenant B</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Red virtual (VNet)</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VNet/Subnets actuales, IPs privadas estáticas (10)</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Nueva VNet/Subnets espejo, re-direccionamiento IP si aplica</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Seguridad de red (NSG)</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Reglas NSG vigentes por VM/Subnet</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Reglas NSG replicadas y validadas (entrada/salida) en destino</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Cómputo (VMs)</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9 VMs: OracleDBsrv, TTechDMS-PRD/QAS, TTechGRP-PRD/QAS, TTechGRPPRD0922, TTechSAP-DMS, TTechSAP-ECC (x2)</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VMs reconstruidas con mismo sizing (o ajustado) a partir de discos restaurados</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18 Managed Disks (SSD Estándar / Premium)</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Managed Disks recreados desde VHD restaurado; mismo tipo/tier salvo optimización acordada</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Punto intermedio</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N/A</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Azure Blob Storage de uso general (General Purpose v2) — receptor único de los respaldos, con acceso vía SAS token</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Respaldo / transferencia</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Backup de OS, aplicación y BD; export a Blob Storage de uso general (punto intermedio)</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Restore desde el Blob Storage intermedio; creación de Managed Disks</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Aplicativos</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Oracle DB, DMS, GRP, SAP ECC operando sobre las VMs actuales (fuera del alcance del proveedor)</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Infraestructura disponible para que el cliente/dueño de aplicativo valide y opere (fuera del alcance del proveedor)</w:t>
            </w:r>
          </w:p>
        </w:tc>
      </w:tr>
    </w:tbl>
    <w:p>
      <w:pPr>
        <w:spacing w:before="200"/>
      </w:pPr>
    </w:p>
    <w:p>
      <w:pPr>
        <w:pStyle w:val="Heading1"/>
        <w:pBdr>
          <w:bottom w:val="single" w:color="2E5395" w:sz="6" w:space="4"/>
        </w:pBdr>
        <w:spacing w:after="180" w:before="400"/>
      </w:pPr>
      <w:r>
        <w:rPr>
          <w:rFonts w:ascii="Calibri" w:cs="Calibri" w:eastAsia="Calibri" w:hAnsi="Calibri"/>
          <w:b/>
          <w:bCs/>
          <w:color w:val="1F3864"/>
          <w:sz w:val="30"/>
          <w:szCs w:val="30"/>
        </w:rPr>
        <w:t xml:space="preserve">5. Requerimientos Técnicos</w:t>
      </w:r>
    </w:p>
    <w:p>
      <w:pPr>
        <w:pStyle w:val="Heading2"/>
        <w:spacing w:after="120" w:before="260"/>
      </w:pPr>
      <w:r>
        <w:rPr>
          <w:rFonts w:ascii="Calibri" w:cs="Calibri" w:eastAsia="Calibri" w:hAnsi="Calibri"/>
          <w:b/>
          <w:bCs/>
          <w:color w:val="2E5395"/>
          <w:sz w:val="24"/>
          <w:szCs w:val="24"/>
        </w:rPr>
        <w:t xml:space="preserve">5.1 Accesos y permisos</w:t>
      </w:r>
    </w:p>
    <w:p>
      <w:pPr>
        <w:pStyle w:val="ListParagraph"/>
        <w:numPr>
          <w:ilvl w:val="0"/>
          <w:numId w:val="2"/>
        </w:numPr>
        <w:spacing w:after="80"/>
      </w:pPr>
      <w:r>
        <w:rPr>
          <w:rFonts w:ascii="Calibri" w:cs="Calibri" w:eastAsia="Calibri" w:hAnsi="Calibri"/>
          <w:color w:val="262626"/>
          <w:sz w:val="21"/>
          <w:szCs w:val="21"/>
        </w:rPr>
        <w:t xml:space="preserve">Rol de Owner/Contributor sobre la suscripción del Tenant A y del Tenant B.</w:t>
      </w:r>
    </w:p>
    <w:p>
      <w:pPr>
        <w:pStyle w:val="ListParagraph"/>
        <w:numPr>
          <w:ilvl w:val="0"/>
          <w:numId w:val="2"/>
        </w:numPr>
        <w:spacing w:after="80"/>
      </w:pPr>
      <w:r>
        <w:rPr>
          <w:rFonts w:ascii="Calibri" w:cs="Calibri" w:eastAsia="Calibri" w:hAnsi="Calibri"/>
          <w:color w:val="262626"/>
          <w:sz w:val="21"/>
          <w:szCs w:val="21"/>
        </w:rPr>
        <w:t xml:space="preserve">Acceso de Global Administrator (o rol delegado) en Azure AD de ambos Tenants para la gestión de identidades.</w:t>
      </w:r>
    </w:p>
    <w:p>
      <w:pPr>
        <w:pStyle w:val="ListParagraph"/>
        <w:numPr>
          <w:ilvl w:val="0"/>
          <w:numId w:val="2"/>
        </w:numPr>
        <w:spacing w:after="80"/>
      </w:pPr>
      <w:r>
        <w:rPr>
          <w:rFonts w:ascii="Calibri" w:cs="Calibri" w:eastAsia="Calibri" w:hAnsi="Calibri"/>
          <w:color w:val="262626"/>
          <w:sz w:val="21"/>
          <w:szCs w:val="21"/>
        </w:rPr>
        <w:t xml:space="preserve">Acceso a la configuración de red (VNet, NSG, ExpressRoute/VPN, DNS) en ambos Tenants.</w:t>
      </w:r>
    </w:p>
    <w:p>
      <w:pPr>
        <w:pStyle w:val="Heading2"/>
        <w:spacing w:after="120" w:before="260"/>
      </w:pPr>
      <w:r>
        <w:rPr>
          <w:rFonts w:ascii="Calibri" w:cs="Calibri" w:eastAsia="Calibri" w:hAnsi="Calibri"/>
          <w:b/>
          <w:bCs/>
          <w:color w:val="2E5395"/>
          <w:sz w:val="24"/>
          <w:szCs w:val="24"/>
        </w:rPr>
        <w:t xml:space="preserve">5.2 Componentes de infraestructura destino</w:t>
      </w:r>
    </w:p>
    <w:p>
      <w:pPr>
        <w:pStyle w:val="ListParagraph"/>
        <w:numPr>
          <w:ilvl w:val="0"/>
          <w:numId w:val="2"/>
        </w:numPr>
        <w:spacing w:after="80"/>
      </w:pPr>
      <w:r>
        <w:rPr>
          <w:rFonts w:ascii="Calibri" w:cs="Calibri" w:eastAsia="Calibri" w:hAnsi="Calibri"/>
          <w:color w:val="262626"/>
          <w:sz w:val="21"/>
          <w:szCs w:val="21"/>
        </w:rPr>
        <w:t xml:space="preserve">Suscripción activa en el Tenant B, con quota suficiente de cómputo (vCPUs) y almacenamiento equivalente al ambiente actual.</w:t>
      </w:r>
    </w:p>
    <w:p>
      <w:pPr>
        <w:pStyle w:val="ListParagraph"/>
        <w:numPr>
          <w:ilvl w:val="0"/>
          <w:numId w:val="2"/>
        </w:numPr>
        <w:spacing w:after="80"/>
      </w:pPr>
      <w:r>
        <w:rPr>
          <w:rFonts w:ascii="Calibri" w:cs="Calibri" w:eastAsia="Calibri" w:hAnsi="Calibri"/>
          <w:color w:val="262626"/>
          <w:sz w:val="21"/>
          <w:szCs w:val="21"/>
        </w:rPr>
        <w:t xml:space="preserve">VNets y Subnets diseñadas en el Tenant B (mismo esquema de direccionamiento o esquema nuevo, según disponibilidad).</w:t>
      </w:r>
    </w:p>
    <w:p>
      <w:pPr>
        <w:pStyle w:val="ListParagraph"/>
        <w:numPr>
          <w:ilvl w:val="0"/>
          <w:numId w:val="2"/>
        </w:numPr>
        <w:spacing w:after="80"/>
      </w:pPr>
      <w:r>
        <w:rPr>
          <w:rFonts w:ascii="Calibri" w:cs="Calibri" w:eastAsia="Calibri" w:hAnsi="Calibri"/>
          <w:color w:val="262626"/>
          <w:sz w:val="21"/>
          <w:szCs w:val="21"/>
        </w:rPr>
        <w:t xml:space="preserve">Una (1) cuenta de Azure Blob Storage de uso general (General Purpose v2), utilizada como punto intermedio único para el tránsito de los archivos de respaldo (VHD) entre el Tenant A y el Tenant B.</w:t>
      </w:r>
    </w:p>
    <w:p>
      <w:pPr>
        <w:pStyle w:val="ListParagraph"/>
        <w:numPr>
          <w:ilvl w:val="0"/>
          <w:numId w:val="2"/>
        </w:numPr>
        <w:spacing w:after="80"/>
      </w:pPr>
      <w:r>
        <w:rPr>
          <w:rFonts w:ascii="Calibri" w:cs="Calibri" w:eastAsia="Calibri" w:hAnsi="Calibri"/>
          <w:color w:val="262626"/>
          <w:sz w:val="21"/>
          <w:szCs w:val="21"/>
        </w:rPr>
        <w:t xml:space="preserve">Recovery Services Vault (Azure Backup) o mecanismo equivalente de snapshot en el Tenant A.</w:t>
      </w:r>
    </w:p>
    <w:p>
      <w:pPr>
        <w:pStyle w:val="ListParagraph"/>
        <w:numPr>
          <w:ilvl w:val="0"/>
          <w:numId w:val="2"/>
        </w:numPr>
        <w:spacing w:after="80"/>
      </w:pPr>
      <w:r>
        <w:rPr>
          <w:rFonts w:ascii="Calibri" w:cs="Calibri" w:eastAsia="Calibri" w:hAnsi="Calibri"/>
          <w:color w:val="262626"/>
          <w:sz w:val="21"/>
          <w:szCs w:val="21"/>
        </w:rPr>
        <w:t xml:space="preserve">Definición de la capacidad y el nivel de redundancia (LRS/ZRS/GRS) del Blob Storage intermedio, de acuerdo con la volumetría de datos identificada en el Assessment.</w:t>
      </w:r>
    </w:p>
    <w:p>
      <w:pPr>
        <w:pStyle w:val="Heading2"/>
        <w:spacing w:after="120" w:before="260"/>
      </w:pPr>
      <w:r>
        <w:rPr>
          <w:rFonts w:ascii="Calibri" w:cs="Calibri" w:eastAsia="Calibri" w:hAnsi="Calibri"/>
          <w:b/>
          <w:bCs/>
          <w:color w:val="2E5395"/>
          <w:sz w:val="24"/>
          <w:szCs w:val="24"/>
        </w:rPr>
        <w:t xml:space="preserve">5.3 Seguridad y conectividad</w:t>
      </w:r>
    </w:p>
    <w:p>
      <w:pPr>
        <w:pStyle w:val="ListParagraph"/>
        <w:numPr>
          <w:ilvl w:val="0"/>
          <w:numId w:val="2"/>
        </w:numPr>
        <w:spacing w:after="80"/>
      </w:pPr>
      <w:r>
        <w:rPr>
          <w:rFonts w:ascii="Calibri" w:cs="Calibri" w:eastAsia="Calibri" w:hAnsi="Calibri"/>
          <w:color w:val="262626"/>
          <w:sz w:val="21"/>
          <w:szCs w:val="21"/>
        </w:rPr>
        <w:t xml:space="preserve">Definición y documentación de reglas NSG (entrada/salida) requeridas por cada aplicativo (SAP, GRP, DMS, Oracle).</w:t>
      </w:r>
    </w:p>
    <w:p>
      <w:pPr>
        <w:pStyle w:val="ListParagraph"/>
        <w:numPr>
          <w:ilvl w:val="0"/>
          <w:numId w:val="2"/>
        </w:numPr>
        <w:spacing w:after="80"/>
      </w:pPr>
      <w:r>
        <w:rPr>
          <w:rFonts w:ascii="Calibri" w:cs="Calibri" w:eastAsia="Calibri" w:hAnsi="Calibri"/>
          <w:color w:val="262626"/>
          <w:sz w:val="21"/>
          <w:szCs w:val="21"/>
        </w:rPr>
        <w:t xml:space="preserve">Revisión de conectividad on-premises ↔ Azure (VPN Site-to-Site o ExpressRoute) hacia el nuevo Tenant, si aplica.</w:t>
      </w:r>
    </w:p>
    <w:p>
      <w:pPr>
        <w:pStyle w:val="ListParagraph"/>
        <w:numPr>
          <w:ilvl w:val="0"/>
          <w:numId w:val="2"/>
        </w:numPr>
        <w:spacing w:after="80"/>
      </w:pPr>
      <w:r>
        <w:rPr>
          <w:rFonts w:ascii="Calibri" w:cs="Calibri" w:eastAsia="Calibri" w:hAnsi="Calibri"/>
          <w:color w:val="262626"/>
          <w:sz w:val="21"/>
          <w:szCs w:val="21"/>
        </w:rPr>
        <w:t xml:space="preserve">Certificados, llaves de cifrado (Key Vault) y secretos utilizados por las VMs, a recrear o migrar en el Tenant B.</w:t>
      </w:r>
    </w:p>
    <w:p>
      <w:pPr>
        <w:pStyle w:val="ListParagraph"/>
        <w:numPr>
          <w:ilvl w:val="0"/>
          <w:numId w:val="2"/>
        </w:numPr>
        <w:spacing w:after="80"/>
      </w:pPr>
      <w:r>
        <w:rPr>
          <w:rFonts w:ascii="Calibri" w:cs="Calibri" w:eastAsia="Calibri" w:hAnsi="Calibri"/>
          <w:color w:val="262626"/>
          <w:sz w:val="21"/>
          <w:szCs w:val="21"/>
        </w:rPr>
        <w:t xml:space="preserve">Reglas de firewall externo / whitelists de direcciones IP que deban actualizarse por el cambio de Tenant.</w:t>
      </w:r>
    </w:p>
    <w:p>
      <w:pPr>
        <w:pStyle w:val="Heading2"/>
        <w:spacing w:after="120" w:before="260"/>
      </w:pPr>
      <w:r>
        <w:rPr>
          <w:rFonts w:ascii="Calibri" w:cs="Calibri" w:eastAsia="Calibri" w:hAnsi="Calibri"/>
          <w:b/>
          <w:bCs/>
          <w:color w:val="2E5395"/>
          <w:sz w:val="24"/>
          <w:szCs w:val="24"/>
        </w:rPr>
        <w:t xml:space="preserve">5.4 Identidad y sincronización de AD</w:t>
      </w:r>
    </w:p>
    <w:p>
      <w:pPr>
        <w:pStyle w:val="ListParagraph"/>
        <w:numPr>
          <w:ilvl w:val="0"/>
          <w:numId w:val="2"/>
        </w:numPr>
        <w:spacing w:after="80"/>
      </w:pPr>
      <w:r>
        <w:rPr>
          <w:rFonts w:ascii="Calibri" w:cs="Calibri" w:eastAsia="Calibri" w:hAnsi="Calibri"/>
          <w:color w:val="262626"/>
          <w:sz w:val="21"/>
          <w:szCs w:val="21"/>
        </w:rPr>
        <w:t xml:space="preserve">Definición si el Tenant B usará el mismo Azure AD Connect / Directorio Activo on-premises, o un directorio independiente.</w:t>
      </w:r>
    </w:p>
    <w:p>
      <w:pPr>
        <w:pStyle w:val="ListParagraph"/>
        <w:numPr>
          <w:ilvl w:val="0"/>
          <w:numId w:val="2"/>
        </w:numPr>
        <w:spacing w:after="80"/>
      </w:pPr>
      <w:r>
        <w:rPr>
          <w:rFonts w:ascii="Calibri" w:cs="Calibri" w:eastAsia="Calibri" w:hAnsi="Calibri"/>
          <w:color w:val="262626"/>
          <w:sz w:val="21"/>
          <w:szCs w:val="21"/>
        </w:rPr>
        <w:t xml:space="preserve">Plan de recreación o migración de cuentas de servicio utilizadas por SAP, GRP, DMS y Oracle DB.</w:t>
      </w:r>
    </w:p>
    <w:p>
      <w:pPr>
        <w:pStyle w:val="ListParagraph"/>
        <w:numPr>
          <w:ilvl w:val="0"/>
          <w:numId w:val="2"/>
        </w:numPr>
        <w:spacing w:after="80"/>
      </w:pPr>
      <w:r>
        <w:rPr>
          <w:rFonts w:ascii="Calibri" w:cs="Calibri" w:eastAsia="Calibri" w:hAnsi="Calibri"/>
          <w:color w:val="262626"/>
          <w:sz w:val="21"/>
          <w:szCs w:val="21"/>
        </w:rPr>
        <w:t xml:space="preserve">Validación de nombres de dominio (UPN suffix) y resolución DNS interna en el nuevo Tenant.</w:t>
      </w:r>
    </w:p>
    <w:p>
      <w:pPr>
        <w:pStyle w:val="Heading2"/>
        <w:spacing w:after="120" w:before="260"/>
      </w:pPr>
      <w:r>
        <w:rPr>
          <w:rFonts w:ascii="Calibri" w:cs="Calibri" w:eastAsia="Calibri" w:hAnsi="Calibri"/>
          <w:b/>
          <w:bCs/>
          <w:color w:val="2E5395"/>
          <w:sz w:val="24"/>
          <w:szCs w:val="24"/>
        </w:rPr>
        <w:t xml:space="preserve">5.5 Aplicativos (responsabilidad del cliente)</w:t>
      </w:r>
    </w:p>
    <w:p>
      <w:pPr>
        <w:pStyle w:val="ListParagraph"/>
        <w:numPr>
          <w:ilvl w:val="0"/>
          <w:numId w:val="2"/>
        </w:numPr>
        <w:spacing w:after="80"/>
      </w:pPr>
      <w:r>
        <w:rPr>
          <w:rFonts w:ascii="Calibri" w:cs="Calibri" w:eastAsia="Calibri" w:hAnsi="Calibri"/>
          <w:color w:val="262626"/>
          <w:sz w:val="21"/>
          <w:szCs w:val="21"/>
        </w:rPr>
        <w:t xml:space="preserve">Inventario de licenciamiento de SO, SQL/Oracle y SAP asociado a cada VM, y su validez en el nuevo Tenant/suscripción (a cargo del cliente ante el fabricante).</w:t>
      </w:r>
    </w:p>
    <w:p>
      <w:pPr>
        <w:pStyle w:val="ListParagraph"/>
        <w:numPr>
          <w:ilvl w:val="0"/>
          <w:numId w:val="2"/>
        </w:numPr>
        <w:spacing w:after="80"/>
      </w:pPr>
      <w:r>
        <w:rPr>
          <w:rFonts w:ascii="Calibri" w:cs="Calibri" w:eastAsia="Calibri" w:hAnsi="Calibri"/>
          <w:color w:val="262626"/>
          <w:sz w:val="21"/>
          <w:szCs w:val="21"/>
        </w:rPr>
        <w:t xml:space="preserve">Ventanas de mantenimiento coordinadas con los dueños funcionales de cada aplicativo para las pruebas de arranque y validación funcional post-restore.</w:t>
      </w:r>
    </w:p>
    <w:p>
      <w:pPr>
        <w:pStyle w:val="ListParagraph"/>
        <w:numPr>
          <w:ilvl w:val="0"/>
          <w:numId w:val="2"/>
        </w:numPr>
        <w:spacing w:after="80"/>
      </w:pPr>
      <w:r>
        <w:rPr>
          <w:rFonts w:ascii="Calibri" w:cs="Calibri" w:eastAsia="Calibri" w:hAnsi="Calibri"/>
          <w:color w:val="262626"/>
          <w:sz w:val="21"/>
          <w:szCs w:val="21"/>
        </w:rPr>
        <w:t xml:space="preserve">Disponibilidad de personal funcional (DBA, SAP Basis, administradores de GRP/DMS) durante la ventana de restore, para validar el correcto funcionamiento de sus aplicativos una vez que el proveedor entregue la infraestructura restaurada.</w:t>
      </w:r>
    </w:p>
    <w:p>
      <w:pPr>
        <w:pStyle w:val="Heading1"/>
        <w:pBdr>
          <w:bottom w:val="single" w:color="2E5395" w:sz="6" w:space="4"/>
        </w:pBdr>
        <w:spacing w:after="180" w:before="400"/>
      </w:pPr>
      <w:r>
        <w:rPr>
          <w:rFonts w:ascii="Calibri" w:cs="Calibri" w:eastAsia="Calibri" w:hAnsi="Calibri"/>
          <w:b/>
          <w:bCs/>
          <w:color w:val="1F3864"/>
          <w:sz w:val="30"/>
          <w:szCs w:val="30"/>
        </w:rPr>
        <w:t xml:space="preserve">6. Requerimientos Humanos (Equipo del Proyecto)</w:t>
      </w:r>
    </w:p>
    <w:p>
      <w:pPr>
        <w:spacing w:after="160" w:line="276"/>
      </w:pPr>
      <w:r>
        <w:rPr>
          <w:rFonts w:ascii="Calibri" w:cs="Calibri" w:eastAsia="Calibri" w:hAnsi="Calibri"/>
          <w:color w:val="262626"/>
          <w:sz w:val="21"/>
          <w:szCs w:val="21"/>
        </w:rPr>
        <w:t xml:space="preserve">La ejecución del proyecto requiere la participación combinada de un equipo técnico del proveedor (infraestructura/IaaS) y roles funcionales del cliente (aplicativos). Nótese que los roles de validación de aplicativos y bases de datos quedan a cargo del cliente, conforme al deslinde de responsabilidades de la sección 7.1: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400"/>
      </w:tblGrid>
      <w:tr>
        <w:trPr>
          <w:tblHeader/>
        </w:trPr>
        <w:tc>
          <w:tcPr>
            <w:tcW w:type="dxa" w:w="2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Rol</w:t>
            </w:r>
          </w:p>
        </w:tc>
        <w:tc>
          <w:tcPr>
            <w:tcW w:type="dxa" w:w="52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Responsabilidad principal</w:t>
            </w:r>
          </w:p>
        </w:tc>
        <w:tc>
          <w:tcPr>
            <w:tcW w:type="dxa" w:w="1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Origen</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Gerente de Proyecto (PM)</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Planeación, seguimiento de cronograma, gestión de riesgos y comunicación con el cliente</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Arquitecto Cloud Azure</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Diseño de arquitectura destino, definición de estrategia de migración</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Ingeniero de Infraestructura/Cómputo</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Backup, exportación, restauración de VMs y discos administrados</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Ingeniero de Redes y Seguridad</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Diseño y validación de VNets, Subnets, NSGs, conectividad y firewall</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Ingeniero de Identidad (Azure AD)</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Sincronización/recreación de cuentas, Azure AD Connect, políticas de acceso</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Ingeniero de Backup / Storage</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Ejecución de backups por capa (OS/App/BD), copia al Blob Storage intermedio y restauración en el Tenant B</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DBA / SAP Basis</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funcional de Oracle DB y de los módulos SAP/GRP/DMS tras el restore; consistencia de bases de datos antes y después del backup</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Cliente</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Líder de QA / Pruebas Funcionales</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Ejecución de pruebas funcionales de los aplicativos posteriores a la restauración de infraestructura</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Cliente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Dueños de aplicativos (Application Owners)</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funcional de negocio, aprobación de ventanas de mantenimiento y autorización del corte (cutover)</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Cliente</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Responsable de Seguridad / Compliance</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Aprobación de reglas de seguridad, manejo de datos entre Tenants</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Cliente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Administrador de Tenant / Azure AD (Cliente)</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Otorgar accesos administrativos en ambos Tenants, gestión de licenciamiento</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Cliente</w:t>
            </w:r>
          </w:p>
        </w:tc>
      </w:tr>
    </w:tbl>
    <w:p>
      <w:pPr>
        <w:spacing w:before="200"/>
      </w:pPr>
    </w:p>
    <w:p>
      <w:pPr>
        <w:pStyle w:val="Heading1"/>
        <w:pBdr>
          <w:bottom w:val="single" w:color="2E5395" w:sz="6" w:space="4"/>
        </w:pBdr>
        <w:spacing w:after="180" w:before="400"/>
      </w:pPr>
      <w:r>
        <w:rPr>
          <w:rFonts w:ascii="Calibri" w:cs="Calibri" w:eastAsia="Calibri" w:hAnsi="Calibri"/>
          <w:b/>
          <w:bCs/>
          <w:color w:val="1F3864"/>
          <w:sz w:val="30"/>
          <w:szCs w:val="30"/>
        </w:rPr>
        <w:t xml:space="preserve">7. Alcance</w:t>
      </w:r>
    </w:p>
    <w:p>
      <w:pPr>
        <w:pStyle w:val="Heading2"/>
        <w:spacing w:after="120" w:before="260"/>
      </w:pPr>
      <w:r>
        <w:rPr>
          <w:rFonts w:ascii="Calibri" w:cs="Calibri" w:eastAsia="Calibri" w:hAnsi="Calibri"/>
          <w:b/>
          <w:bCs/>
          <w:color w:val="2E5395"/>
          <w:sz w:val="24"/>
          <w:szCs w:val="24"/>
        </w:rPr>
        <w:t xml:space="preserve">7.1 Deslinde de Responsabilidades (IaaS vs. Aplicativo)</w:t>
      </w:r>
    </w:p>
    <w:p>
      <w:pPr>
        <w:spacing w:after="160" w:line="276"/>
      </w:pPr>
      <w:r>
        <w:rPr>
          <w:rFonts w:ascii="Calibri" w:cs="Calibri" w:eastAsia="Calibri" w:hAnsi="Calibri"/>
          <w:color w:val="262626"/>
          <w:sz w:val="21"/>
          <w:szCs w:val="21"/>
        </w:rPr>
        <w:t xml:space="preserve">Este proyecto se ejecuta bajo un principio central: el proveedor es responsable únicamente de la infraestructura como servicio (IaaS) — aprovisionamiento, backup, transferencia y restauración de VMs, discos y red. La configuración, consistencia de datos, arranque, licenciamiento y operación de los aplicativos (SAP ECC, GRP, DMS) y de la base de datos (Oracle) es responsabilidad del cliente y de los dueños funcionales de cada aplicativo. La siguiente matriz resume esta división (R = Responsable/Ejecuta, C = Consultado/Apoya, I = Informado):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1900"/>
        <w:gridCol w:w="1900"/>
      </w:tblGrid>
      <w:tr>
        <w:trPr>
          <w:tblHeader/>
        </w:trPr>
        <w:tc>
          <w:tcPr>
            <w:tcW w:type="dxa" w:w="58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Actividad</w:t>
            </w:r>
          </w:p>
        </w:tc>
        <w:tc>
          <w:tcPr>
            <w:tcW w:type="dxa" w:w="19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Proveedor (IaaS)</w:t>
            </w:r>
          </w:p>
        </w:tc>
        <w:tc>
          <w:tcPr>
            <w:tcW w:type="dxa" w:w="19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Cliente (Aplicativo)</w:t>
            </w:r>
          </w:p>
        </w:tc>
      </w:tr>
      <w:tr>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Assessment de infraestructura (VMs, discos, red)</w:t>
            </w:r>
          </w:p>
        </w:tc>
        <w:tc>
          <w:tcPr>
            <w:tcW w:type="dxa" w:w="1900"/>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c>
          <w:tcPr>
            <w:tcW w:type="dxa" w:w="1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C</w:t>
            </w:r>
          </w:p>
        </w:tc>
      </w:tr>
      <w:tr>
        <w:tc>
          <w:tcPr>
            <w:tcW w:type="dxa" w:w="58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Backup de OS, aplicación y BD (a nivel de disco/infraestructura)</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C</w:t>
            </w:r>
          </w:p>
        </w:tc>
      </w:tr>
      <w:tr>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Consistencia transaccional del backup de bases de datos (freeze / detener servicios antes del snapshot)</w:t>
            </w:r>
          </w:p>
        </w:tc>
        <w:tc>
          <w:tcPr>
            <w:tcW w:type="dxa" w:w="1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C</w:t>
            </w:r>
          </w:p>
        </w:tc>
        <w:tc>
          <w:tcPr>
            <w:tcW w:type="dxa" w:w="1900"/>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r>
      <w:tr>
        <w:tc>
          <w:tcPr>
            <w:tcW w:type="dxa" w:w="58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Copia de respaldos al Blob Storage intermedio</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I</w:t>
            </w:r>
          </w:p>
        </w:tc>
      </w:tr>
      <w:tr>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Aprovisionamiento de infraestructura destino (VNet, NSG, VMs, discos) en Tenant B</w:t>
            </w:r>
          </w:p>
        </w:tc>
        <w:tc>
          <w:tcPr>
            <w:tcW w:type="dxa" w:w="1900"/>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c>
          <w:tcPr>
            <w:tcW w:type="dxa" w:w="1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I</w:t>
            </w:r>
          </w:p>
        </w:tc>
      </w:tr>
      <w:tr>
        <w:tc>
          <w:tcPr>
            <w:tcW w:type="dxa" w:w="58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Restauración de discos/VMs desde el Blob Storage intermedio</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I</w:t>
            </w:r>
          </w:p>
        </w:tc>
      </w:tr>
      <w:tr>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de arranque de la VM y conectividad de red</w:t>
            </w:r>
          </w:p>
        </w:tc>
        <w:tc>
          <w:tcPr>
            <w:tcW w:type="dxa" w:w="1900"/>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c>
          <w:tcPr>
            <w:tcW w:type="dxa" w:w="1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C</w:t>
            </w:r>
          </w:p>
        </w:tc>
      </w:tr>
      <w:tr>
        <w:tc>
          <w:tcPr>
            <w:tcW w:type="dxa" w:w="58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funcional de aplicativos (SAP, GRP, DMS) y bases de datos (Oracle)</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I</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r>
      <w:tr>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Licenciamiento de SO, base de datos y aplicativos en el Tenant B</w:t>
            </w:r>
          </w:p>
        </w:tc>
        <w:tc>
          <w:tcPr>
            <w:tcW w:type="dxa" w:w="1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I</w:t>
            </w:r>
          </w:p>
        </w:tc>
        <w:tc>
          <w:tcPr>
            <w:tcW w:type="dxa" w:w="1900"/>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r>
      <w:tr>
        <w:tc>
          <w:tcPr>
            <w:tcW w:type="dxa" w:w="58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Autorización de la ventana de cutover / corte productivo</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C</w:t>
            </w:r>
          </w:p>
        </w:tc>
        <w:tc>
          <w:tcPr>
            <w:tcW w:type="dxa" w:w="1900"/>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R</w:t>
            </w:r>
          </w:p>
        </w:tc>
      </w:tr>
    </w:tbl>
    <w:p>
      <w:pPr>
        <w:spacing w:after="160" w:before="240"/>
      </w:pPr>
    </w:p>
    <w:p>
      <w:pPr>
        <w:pStyle w:val="Heading2"/>
        <w:spacing w:after="120" w:before="260"/>
      </w:pPr>
      <w:r>
        <w:rPr>
          <w:rFonts w:ascii="Calibri" w:cs="Calibri" w:eastAsia="Calibri" w:hAnsi="Calibri"/>
          <w:b/>
          <w:bCs/>
          <w:color w:val="2E5395"/>
          <w:sz w:val="24"/>
          <w:szCs w:val="24"/>
        </w:rPr>
        <w:t xml:space="preserve">7.2 Alcance del Servicio (Proveedor – IaaS)</w:t>
      </w:r>
    </w:p>
    <w:p>
      <w:pPr>
        <w:pStyle w:val="ListParagraph"/>
        <w:numPr>
          <w:ilvl w:val="0"/>
          <w:numId w:val="2"/>
        </w:numPr>
        <w:spacing w:after="80"/>
      </w:pPr>
      <w:r>
        <w:rPr>
          <w:rFonts w:ascii="Calibri" w:cs="Calibri" w:eastAsia="Calibri" w:hAnsi="Calibri"/>
          <w:color w:val="262626"/>
          <w:sz w:val="21"/>
          <w:szCs w:val="21"/>
        </w:rPr>
        <w:t xml:space="preserve">Assessment del Tenant A: levantamiento y documentación del inventario actual (9 VMs, 18 discos administrados, direccionamiento IP) con base en la calculadora de Azure proporcionada, mapeo de dependencias entre VMs y estimación de volumetría de datos.</w:t>
      </w:r>
    </w:p>
    <w:p>
      <w:pPr>
        <w:pStyle w:val="ListParagraph"/>
        <w:numPr>
          <w:ilvl w:val="0"/>
          <w:numId w:val="2"/>
        </w:numPr>
        <w:spacing w:after="80"/>
      </w:pPr>
      <w:r>
        <w:rPr>
          <w:rFonts w:ascii="Calibri" w:cs="Calibri" w:eastAsia="Calibri" w:hAnsi="Calibri"/>
          <w:color w:val="262626"/>
          <w:sz w:val="21"/>
          <w:szCs w:val="21"/>
        </w:rPr>
        <w:t xml:space="preserve">Diseño de la arquitectura destino en el Tenant B (red, seguridad, cómputo y almacenamiento).</w:t>
      </w:r>
    </w:p>
    <w:p>
      <w:pPr>
        <w:pStyle w:val="ListParagraph"/>
        <w:numPr>
          <w:ilvl w:val="0"/>
          <w:numId w:val="2"/>
        </w:numPr>
        <w:spacing w:after="80"/>
      </w:pPr>
      <w:r>
        <w:rPr>
          <w:rFonts w:ascii="Calibri" w:cs="Calibri" w:eastAsia="Calibri" w:hAnsi="Calibri"/>
          <w:color w:val="262626"/>
          <w:sz w:val="21"/>
          <w:szCs w:val="21"/>
        </w:rPr>
        <w:t xml:space="preserve">Backup de las máquinas virtuales del Tenant A a nivel de infraestructura: disco de sistema operativo, discos de aplicación y discos de base de datos.</w:t>
      </w:r>
    </w:p>
    <w:p>
      <w:pPr>
        <w:pStyle w:val="ListParagraph"/>
        <w:numPr>
          <w:ilvl w:val="0"/>
          <w:numId w:val="2"/>
        </w:numPr>
        <w:spacing w:after="80"/>
      </w:pPr>
      <w:r>
        <w:rPr>
          <w:rFonts w:ascii="Calibri" w:cs="Calibri" w:eastAsia="Calibri" w:hAnsi="Calibri"/>
          <w:color w:val="262626"/>
          <w:sz w:val="21"/>
          <w:szCs w:val="21"/>
        </w:rPr>
        <w:t xml:space="preserve">Aprovisionamiento y configuración de una cuenta de Azure Blob Storage de uso general, utilizada como punto intermedio único para alojar los respaldos.</w:t>
      </w:r>
    </w:p>
    <w:p>
      <w:pPr>
        <w:pStyle w:val="ListParagraph"/>
        <w:numPr>
          <w:ilvl w:val="0"/>
          <w:numId w:val="2"/>
        </w:numPr>
        <w:spacing w:after="80"/>
      </w:pPr>
      <w:r>
        <w:rPr>
          <w:rFonts w:ascii="Calibri" w:cs="Calibri" w:eastAsia="Calibri" w:hAnsi="Calibri"/>
          <w:color w:val="262626"/>
          <w:sz w:val="21"/>
          <w:szCs w:val="21"/>
        </w:rPr>
        <w:t xml:space="preserve">Copia de los archivos de respaldo (VHD) desde el Tenant A hacia el Blob Storage intermedio, y desde éste hacia el Tenant B.</w:t>
      </w:r>
    </w:p>
    <w:p>
      <w:pPr>
        <w:pStyle w:val="ListParagraph"/>
        <w:numPr>
          <w:ilvl w:val="0"/>
          <w:numId w:val="2"/>
        </w:numPr>
        <w:spacing w:after="80"/>
      </w:pPr>
      <w:r>
        <w:rPr>
          <w:rFonts w:ascii="Calibri" w:cs="Calibri" w:eastAsia="Calibri" w:hAnsi="Calibri"/>
          <w:color w:val="262626"/>
          <w:sz w:val="21"/>
          <w:szCs w:val="21"/>
        </w:rPr>
        <w:t xml:space="preserve">Aprovisionamiento de la infraestructura destino en el Tenant B: VNets, Subnets, NSGs, IPs y demás recursos de red y seguridad.</w:t>
      </w:r>
    </w:p>
    <w:p>
      <w:pPr>
        <w:pStyle w:val="ListParagraph"/>
        <w:numPr>
          <w:ilvl w:val="0"/>
          <w:numId w:val="2"/>
        </w:numPr>
        <w:spacing w:after="80"/>
      </w:pPr>
      <w:r>
        <w:rPr>
          <w:rFonts w:ascii="Calibri" w:cs="Calibri" w:eastAsia="Calibri" w:hAnsi="Calibri"/>
          <w:color w:val="262626"/>
          <w:sz w:val="21"/>
          <w:szCs w:val="21"/>
        </w:rPr>
        <w:t xml:space="preserve">Restauración/reconstrucción de las máquinas virtuales y discos en el Tenant B a partir de los respaldos alojados en el punto intermedio.</w:t>
      </w:r>
    </w:p>
    <w:p>
      <w:pPr>
        <w:pStyle w:val="ListParagraph"/>
        <w:numPr>
          <w:ilvl w:val="0"/>
          <w:numId w:val="2"/>
        </w:numPr>
        <w:spacing w:after="80"/>
      </w:pPr>
      <w:r>
        <w:rPr>
          <w:rFonts w:ascii="Calibri" w:cs="Calibri" w:eastAsia="Calibri" w:hAnsi="Calibri"/>
          <w:color w:val="262626"/>
          <w:sz w:val="21"/>
          <w:szCs w:val="21"/>
        </w:rPr>
        <w:t xml:space="preserve">Soporte en la revisión de sincronización de Azure AD relacionada con las VMs migradas (cuentas de servicio, unión a dominio), en coordinación con el cliente.</w:t>
      </w:r>
    </w:p>
    <w:p>
      <w:pPr>
        <w:pStyle w:val="ListParagraph"/>
        <w:numPr>
          <w:ilvl w:val="0"/>
          <w:numId w:val="2"/>
        </w:numPr>
        <w:spacing w:after="80"/>
      </w:pPr>
      <w:r>
        <w:rPr>
          <w:rFonts w:ascii="Calibri" w:cs="Calibri" w:eastAsia="Calibri" w:hAnsi="Calibri"/>
          <w:color w:val="262626"/>
          <w:sz w:val="21"/>
          <w:szCs w:val="21"/>
        </w:rPr>
        <w:t xml:space="preserve">Validación de infraestructura: arranque de las VMs, conectividad de red y accesibilidad de los servicios base del sistema operativo en el Tenant B (no incluye validación funcional de aplicativos, ver sección 8).</w:t>
      </w:r>
    </w:p>
    <w:p>
      <w:pPr>
        <w:pStyle w:val="ListParagraph"/>
        <w:numPr>
          <w:ilvl w:val="0"/>
          <w:numId w:val="2"/>
        </w:numPr>
        <w:spacing w:after="80"/>
      </w:pPr>
      <w:r>
        <w:rPr>
          <w:rFonts w:ascii="Calibri" w:cs="Calibri" w:eastAsia="Calibri" w:hAnsi="Calibri"/>
          <w:color w:val="262626"/>
          <w:sz w:val="21"/>
          <w:szCs w:val="21"/>
        </w:rPr>
        <w:t xml:space="preserve">Elaboración de runbook de migración, plan de corte (cutover) y plan de rollback a nivel de infraestructura.</w:t>
      </w:r>
    </w:p>
    <w:p>
      <w:pPr>
        <w:pStyle w:val="ListParagraph"/>
        <w:numPr>
          <w:ilvl w:val="0"/>
          <w:numId w:val="2"/>
        </w:numPr>
        <w:spacing w:after="80"/>
      </w:pPr>
      <w:r>
        <w:rPr>
          <w:rFonts w:ascii="Calibri" w:cs="Calibri" w:eastAsia="Calibri" w:hAnsi="Calibri"/>
          <w:color w:val="262626"/>
          <w:sz w:val="21"/>
          <w:szCs w:val="21"/>
        </w:rPr>
        <w:t xml:space="preserve">Acompañamiento (hypercare) de infraestructura durante el periodo posterior al corte definido en el cronograma.</w:t>
      </w:r>
    </w:p>
    <w:p>
      <w:pPr>
        <w:pStyle w:val="Heading1"/>
        <w:pBdr>
          <w:bottom w:val="single" w:color="2E5395" w:sz="6" w:space="4"/>
        </w:pBdr>
        <w:spacing w:after="180" w:before="400"/>
      </w:pPr>
      <w:r>
        <w:rPr>
          <w:rFonts w:ascii="Calibri" w:cs="Calibri" w:eastAsia="Calibri" w:hAnsi="Calibri"/>
          <w:b/>
          <w:bCs/>
          <w:color w:val="1F3864"/>
          <w:sz w:val="30"/>
          <w:szCs w:val="30"/>
        </w:rPr>
        <w:t xml:space="preserve">8. Fuera de Alcance</w:t>
      </w:r>
    </w:p>
    <w:p>
      <w:pPr>
        <w:spacing w:after="160" w:line="276"/>
      </w:pPr>
      <w:r>
        <w:rPr>
          <w:rFonts w:ascii="Calibri" w:cs="Calibri" w:eastAsia="Calibri" w:hAnsi="Calibri"/>
          <w:b/>
          <w:bCs/>
          <w:color w:val="262626"/>
          <w:sz w:val="21"/>
          <w:szCs w:val="21"/>
        </w:rPr>
        <w:t xml:space="preserve">De forma explícita y en línea con el deslinde de responsabilidades de la sección 7.1, quedan fuera del alcance del proveedor:</w:t>
      </w:r>
    </w:p>
    <w:p>
      <w:pPr>
        <w:pStyle w:val="ListParagraph"/>
        <w:numPr>
          <w:ilvl w:val="0"/>
          <w:numId w:val="2"/>
        </w:numPr>
        <w:spacing w:after="80"/>
      </w:pPr>
      <w:r>
        <w:rPr>
          <w:rFonts w:ascii="Calibri" w:cs="Calibri" w:eastAsia="Calibri" w:hAnsi="Calibri"/>
          <w:color w:val="262626"/>
          <w:sz w:val="21"/>
          <w:szCs w:val="21"/>
        </w:rPr>
        <w:t xml:space="preserve">Validación funcional, configuración, arranque de servicios de aplicación, o troubleshooting de los aplicativos SAP ECC, GRP y DMS tras la restauración de la infraestructura.</w:t>
      </w:r>
    </w:p>
    <w:p>
      <w:pPr>
        <w:pStyle w:val="ListParagraph"/>
        <w:numPr>
          <w:ilvl w:val="0"/>
          <w:numId w:val="2"/>
        </w:numPr>
        <w:spacing w:after="80"/>
      </w:pPr>
      <w:r>
        <w:rPr>
          <w:rFonts w:ascii="Calibri" w:cs="Calibri" w:eastAsia="Calibri" w:hAnsi="Calibri"/>
          <w:color w:val="262626"/>
          <w:sz w:val="21"/>
          <w:szCs w:val="21"/>
        </w:rPr>
        <w:t xml:space="preserve">Validación de integridad, consistencia transaccional o recuperación a nivel lógico de la base de datos Oracle (el proveedor entrega el respaldo/restauración a nivel de infraestructura/disco; la validación de los datos es responsabilidad del cliente/DBA).</w:t>
      </w:r>
    </w:p>
    <w:p>
      <w:pPr>
        <w:pStyle w:val="ListParagraph"/>
        <w:numPr>
          <w:ilvl w:val="0"/>
          <w:numId w:val="2"/>
        </w:numPr>
        <w:spacing w:after="80"/>
      </w:pPr>
      <w:r>
        <w:rPr>
          <w:rFonts w:ascii="Calibri" w:cs="Calibri" w:eastAsia="Calibri" w:hAnsi="Calibri"/>
          <w:color w:val="262626"/>
          <w:sz w:val="21"/>
          <w:szCs w:val="21"/>
        </w:rPr>
        <w:t xml:space="preserve">Definición o ejecución de mecanismos de backup “app-consistent” que requieran detener o coordinar servicios de aplicación/base de datos antes del snapshot (el cliente/DBA debe coordinar y ejecutar dicha coordinación, o aceptar un backup crash-consistent bajo su responsabilidad).</w:t>
      </w:r>
    </w:p>
    <w:p>
      <w:pPr>
        <w:pStyle w:val="ListParagraph"/>
        <w:numPr>
          <w:ilvl w:val="0"/>
          <w:numId w:val="2"/>
        </w:numPr>
        <w:spacing w:after="80"/>
      </w:pPr>
      <w:r>
        <w:rPr>
          <w:rFonts w:ascii="Calibri" w:cs="Calibri" w:eastAsia="Calibri" w:hAnsi="Calibri"/>
          <w:color w:val="262626"/>
          <w:sz w:val="21"/>
          <w:szCs w:val="21"/>
        </w:rPr>
        <w:t xml:space="preserve">Diseño o implementación de una nueva topología de Azure AD / Azure AD Connect distinta a la sincronización mínima necesaria para la operación de las VMs (se cotiza como servicio adicional si el cliente lo requiere).</w:t>
      </w:r>
    </w:p>
    <w:p>
      <w:pPr>
        <w:pStyle w:val="ListParagraph"/>
        <w:numPr>
          <w:ilvl w:val="0"/>
          <w:numId w:val="2"/>
        </w:numPr>
        <w:spacing w:after="80"/>
      </w:pPr>
      <w:r>
        <w:rPr>
          <w:rFonts w:ascii="Calibri" w:cs="Calibri" w:eastAsia="Calibri" w:hAnsi="Calibri"/>
          <w:color w:val="262626"/>
          <w:sz w:val="21"/>
          <w:szCs w:val="21"/>
        </w:rPr>
        <w:t xml:space="preserve">Gestión de renovación, transferencia o adquisición de licenciamiento de sistema operativo, Oracle o SAP en el nuevo Tenant (responsabilidad del cliente ante el fabricante/partner de licenciamiento).</w:t>
      </w:r>
    </w:p>
    <w:p>
      <w:pPr>
        <w:pStyle w:val="ListParagraph"/>
        <w:numPr>
          <w:ilvl w:val="0"/>
          <w:numId w:val="2"/>
        </w:numPr>
        <w:spacing w:after="80"/>
      </w:pPr>
      <w:r>
        <w:rPr>
          <w:rFonts w:ascii="Calibri" w:cs="Calibri" w:eastAsia="Calibri" w:hAnsi="Calibri"/>
          <w:color w:val="262626"/>
          <w:sz w:val="21"/>
          <w:szCs w:val="21"/>
        </w:rPr>
        <w:t xml:space="preserve">Optimización, refactorización o actualización de versión de los aplicativos (SAP, GRP, DMS, Oracle DB).</w:t>
      </w:r>
    </w:p>
    <w:p>
      <w:pPr>
        <w:pStyle w:val="ListParagraph"/>
        <w:numPr>
          <w:ilvl w:val="0"/>
          <w:numId w:val="2"/>
        </w:numPr>
        <w:spacing w:after="80"/>
      </w:pPr>
      <w:r>
        <w:rPr>
          <w:rFonts w:ascii="Calibri" w:cs="Calibri" w:eastAsia="Calibri" w:hAnsi="Calibri"/>
          <w:color w:val="262626"/>
          <w:sz w:val="21"/>
          <w:szCs w:val="21"/>
        </w:rPr>
        <w:t xml:space="preserve">Pruebas de carga, desempeño o funcionales de los aplicativos (performance/functional testing); el proveedor únicamente valida que la infraestructura esté disponible y accesible.</w:t>
      </w:r>
    </w:p>
    <w:p>
      <w:pPr>
        <w:pStyle w:val="ListParagraph"/>
        <w:numPr>
          <w:ilvl w:val="0"/>
          <w:numId w:val="2"/>
        </w:numPr>
        <w:spacing w:after="80"/>
      </w:pPr>
      <w:r>
        <w:rPr>
          <w:rFonts w:ascii="Calibri" w:cs="Calibri" w:eastAsia="Calibri" w:hAnsi="Calibri"/>
          <w:color w:val="262626"/>
          <w:sz w:val="21"/>
          <w:szCs w:val="21"/>
        </w:rPr>
        <w:t xml:space="preserve">Migración de datos a nivel de aplicación o de negocio que no resida en los discos/VMs incluidos en el inventario (por ejemplo, integraciones externas, interfaces EDI, etc.).</w:t>
      </w:r>
    </w:p>
    <w:p>
      <w:pPr>
        <w:pStyle w:val="ListParagraph"/>
        <w:numPr>
          <w:ilvl w:val="0"/>
          <w:numId w:val="2"/>
        </w:numPr>
        <w:spacing w:after="80"/>
      </w:pPr>
      <w:r>
        <w:rPr>
          <w:rFonts w:ascii="Calibri" w:cs="Calibri" w:eastAsia="Calibri" w:hAnsi="Calibri"/>
          <w:color w:val="262626"/>
          <w:sz w:val="21"/>
          <w:szCs w:val="21"/>
        </w:rPr>
        <w:t xml:space="preserve">Soporte directo a usuarios finales (mesa de ayuda / Service Desk) posterior al periodo de hypercare.</w:t>
      </w:r>
    </w:p>
    <w:p>
      <w:pPr>
        <w:pStyle w:val="ListParagraph"/>
        <w:numPr>
          <w:ilvl w:val="0"/>
          <w:numId w:val="2"/>
        </w:numPr>
        <w:spacing w:after="80"/>
      </w:pPr>
      <w:r>
        <w:rPr>
          <w:rFonts w:ascii="Calibri" w:cs="Calibri" w:eastAsia="Calibri" w:hAnsi="Calibri"/>
          <w:color w:val="262626"/>
          <w:sz w:val="21"/>
          <w:szCs w:val="21"/>
        </w:rPr>
        <w:t xml:space="preserve">Compra o gestión de licenciamiento de Azure (Reservas, Savings Plans) distinto al modelo PAYG actual, salvo que se acuerde como parte de una optimización posterior.</w:t>
      </w:r>
    </w:p>
    <w:p>
      <w:pPr>
        <w:pStyle w:val="ListParagraph"/>
        <w:numPr>
          <w:ilvl w:val="0"/>
          <w:numId w:val="2"/>
        </w:numPr>
        <w:spacing w:after="80"/>
      </w:pPr>
      <w:r>
        <w:rPr>
          <w:rFonts w:ascii="Calibri" w:cs="Calibri" w:eastAsia="Calibri" w:hAnsi="Calibri"/>
          <w:color w:val="262626"/>
          <w:sz w:val="21"/>
          <w:szCs w:val="21"/>
        </w:rPr>
        <w:t xml:space="preserve">Cualquier incidencia post-restore atribuible a la configuración interna, licenciamiento o lógica de negocio del aplicativo, una vez validado y entregado el arranque correcto de la infraestructura (VM accesible por red y sistema operativo iniciado).</w:t>
      </w:r>
    </w:p>
    <w:p>
      <w:pPr>
        <w:pStyle w:val="Heading1"/>
        <w:pBdr>
          <w:bottom w:val="single" w:color="2E5395" w:sz="6" w:space="4"/>
        </w:pBdr>
        <w:spacing w:after="180" w:before="400"/>
      </w:pPr>
      <w:r>
        <w:rPr>
          <w:rFonts w:ascii="Calibri" w:cs="Calibri" w:eastAsia="Calibri" w:hAnsi="Calibri"/>
          <w:b/>
          <w:bCs/>
          <w:color w:val="1F3864"/>
          <w:sz w:val="30"/>
          <w:szCs w:val="30"/>
        </w:rPr>
        <w:t xml:space="preserve">9. Estrategia de Migración</w:t>
      </w:r>
    </w:p>
    <w:p>
      <w:pPr>
        <w:spacing w:after="160" w:line="276"/>
      </w:pPr>
      <w:r>
        <w:rPr>
          <w:rFonts w:ascii="Calibri" w:cs="Calibri" w:eastAsia="Calibri" w:hAnsi="Calibri"/>
          <w:color w:val="262626"/>
          <w:sz w:val="21"/>
          <w:szCs w:val="21"/>
        </w:rPr>
        <w:t xml:space="preserve">Dado que Azure no permite mover recursos de forma nativa entre Tenants (Azure AD) diferentes, se adopta una estrategia de Backup &amp; Restore mediante un punto intermedio único de Azure Blob Storage de uso general. El alcance del proveedor cubre desde el Assessment hasta la restauración y validación de la infraestructura; la validación funcional de los aplicativos corresponde al cliente (ver sección 7.1).</w:t>
      </w:r>
    </w:p>
    <w:p>
      <w:pPr>
        <w:pStyle w:val="Heading2"/>
        <w:spacing w:after="120" w:before="260"/>
      </w:pPr>
      <w:r>
        <w:rPr>
          <w:rFonts w:ascii="Calibri" w:cs="Calibri" w:eastAsia="Calibri" w:hAnsi="Calibri"/>
          <w:b/>
          <w:bCs/>
          <w:color w:val="2E5395"/>
          <w:sz w:val="24"/>
          <w:szCs w:val="24"/>
        </w:rPr>
        <w:t xml:space="preserve">9.0 Assessment</w:t>
      </w:r>
    </w:p>
    <w:p>
      <w:pPr>
        <w:pStyle w:val="ListParagraph"/>
        <w:numPr>
          <w:ilvl w:val="0"/>
          <w:numId w:val="3"/>
        </w:numPr>
        <w:spacing w:after="80"/>
      </w:pPr>
      <w:r>
        <w:rPr>
          <w:rFonts w:ascii="Calibri" w:cs="Calibri" w:eastAsia="Calibri" w:hAnsi="Calibri"/>
          <w:color w:val="262626"/>
          <w:sz w:val="21"/>
          <w:szCs w:val="21"/>
        </w:rPr>
        <w:t xml:space="preserve">Levantar el inventario detallado del Tenant A: VMs, discos, redes, IPs y dependencias entre workloads (por ejemplo, qué VM de aplicación depende de cuál VM de base de datos).</w:t>
      </w:r>
    </w:p>
    <w:p>
      <w:pPr>
        <w:pStyle w:val="ListParagraph"/>
        <w:numPr>
          <w:ilvl w:val="0"/>
          <w:numId w:val="3"/>
        </w:numPr>
        <w:spacing w:after="80"/>
      </w:pPr>
      <w:r>
        <w:rPr>
          <w:rFonts w:ascii="Calibri" w:cs="Calibri" w:eastAsia="Calibri" w:hAnsi="Calibri"/>
          <w:color w:val="262626"/>
          <w:sz w:val="21"/>
          <w:szCs w:val="21"/>
        </w:rPr>
        <w:t xml:space="preserve">Estimar la volumetría total de datos a respaldar, para dimensionar el Blob Storage intermedio y estimar tiempos de transferencia.</w:t>
      </w:r>
    </w:p>
    <w:p>
      <w:pPr>
        <w:pStyle w:val="ListParagraph"/>
        <w:numPr>
          <w:ilvl w:val="0"/>
          <w:numId w:val="3"/>
        </w:numPr>
        <w:spacing w:after="80"/>
      </w:pPr>
      <w:r>
        <w:rPr>
          <w:rFonts w:ascii="Calibri" w:cs="Calibri" w:eastAsia="Calibri" w:hAnsi="Calibri"/>
          <w:color w:val="262626"/>
          <w:sz w:val="21"/>
          <w:szCs w:val="21"/>
        </w:rPr>
        <w:t xml:space="preserve">Definir, junto con el cliente, el RTO/RPO objetivo y el tipo de consistencia de backup aceptable para cada workload (crash-consistent vs. app-consistent), dejando explícito que la coordinación de un backup app-consistent (detener servicios antes del snapshot) es responsabilidad del cliente/DBA.</w:t>
      </w:r>
    </w:p>
    <w:p>
      <w:pPr>
        <w:pStyle w:val="Heading2"/>
        <w:spacing w:after="120" w:before="260"/>
      </w:pPr>
      <w:r>
        <w:rPr>
          <w:rFonts w:ascii="Calibri" w:cs="Calibri" w:eastAsia="Calibri" w:hAnsi="Calibri"/>
          <w:b/>
          <w:bCs/>
          <w:color w:val="2E5395"/>
          <w:sz w:val="24"/>
          <w:szCs w:val="24"/>
        </w:rPr>
        <w:t xml:space="preserve">9.1 Preparación del Tenant B</w:t>
      </w:r>
    </w:p>
    <w:p>
      <w:pPr>
        <w:pStyle w:val="ListParagraph"/>
        <w:numPr>
          <w:ilvl w:val="0"/>
          <w:numId w:val="3"/>
        </w:numPr>
        <w:spacing w:after="80"/>
      </w:pPr>
      <w:r>
        <w:rPr>
          <w:rFonts w:ascii="Calibri" w:cs="Calibri" w:eastAsia="Calibri" w:hAnsi="Calibri"/>
          <w:color w:val="262626"/>
          <w:sz w:val="21"/>
          <w:szCs w:val="21"/>
        </w:rPr>
        <w:t xml:space="preserve">Confirmar la existencia y accesos administrativos del Tenant B (suscripción activa, cuotas de cómputo suficientes).</w:t>
      </w:r>
    </w:p>
    <w:p>
      <w:pPr>
        <w:pStyle w:val="ListParagraph"/>
        <w:numPr>
          <w:ilvl w:val="0"/>
          <w:numId w:val="3"/>
        </w:numPr>
        <w:spacing w:after="80"/>
      </w:pPr>
      <w:r>
        <w:rPr>
          <w:rFonts w:ascii="Calibri" w:cs="Calibri" w:eastAsia="Calibri" w:hAnsi="Calibri"/>
          <w:color w:val="262626"/>
          <w:sz w:val="21"/>
          <w:szCs w:val="21"/>
        </w:rPr>
        <w:t xml:space="preserve">Diseñar la red de destino (VNets, Subnets, NSGs) espejo o mejorada respecto al Tenant A.</w:t>
      </w:r>
    </w:p>
    <w:p>
      <w:pPr>
        <w:pStyle w:val="ListParagraph"/>
        <w:numPr>
          <w:ilvl w:val="0"/>
          <w:numId w:val="3"/>
        </w:numPr>
        <w:spacing w:after="80"/>
      </w:pPr>
      <w:r>
        <w:rPr>
          <w:rFonts w:ascii="Calibri" w:cs="Calibri" w:eastAsia="Calibri" w:hAnsi="Calibri"/>
          <w:color w:val="262626"/>
          <w:sz w:val="21"/>
          <w:szCs w:val="21"/>
        </w:rPr>
        <w:t xml:space="preserve">Definir la estrategia de identidad: mismo Azure AD Connect, nuevo directorio, o convivencia temporal (trust) entre Tenants.</w:t>
      </w:r>
    </w:p>
    <w:p>
      <w:pPr>
        <w:pStyle w:val="Heading2"/>
        <w:spacing w:after="120" w:before="260"/>
      </w:pPr>
      <w:r>
        <w:rPr>
          <w:rFonts w:ascii="Calibri" w:cs="Calibri" w:eastAsia="Calibri" w:hAnsi="Calibri"/>
          <w:b/>
          <w:bCs/>
          <w:color w:val="2E5395"/>
          <w:sz w:val="24"/>
          <w:szCs w:val="24"/>
        </w:rPr>
        <w:t xml:space="preserve">9.2 Backup por capas (Tenant A)</w:t>
      </w:r>
    </w:p>
    <w:p>
      <w:pPr>
        <w:pStyle w:val="ListParagraph"/>
        <w:numPr>
          <w:ilvl w:val="0"/>
          <w:numId w:val="3"/>
        </w:numPr>
        <w:spacing w:after="80"/>
      </w:pPr>
      <w:r>
        <w:rPr>
          <w:rFonts w:ascii="Calibri" w:cs="Calibri" w:eastAsia="Calibri" w:hAnsi="Calibri"/>
          <w:color w:val="262626"/>
          <w:sz w:val="21"/>
          <w:szCs w:val="21"/>
        </w:rPr>
        <w:t xml:space="preserve">Generar snapshot/backup de cada VM, cubriendo de forma diferenciada: (a) disco de sistema operativo, (b) disco(s) de aplicación (binarios/archivos de SAP, GRP, DMS), y (c) disco(s) de base de datos (Oracle).</w:t>
      </w:r>
    </w:p>
    <w:p>
      <w:pPr>
        <w:pStyle w:val="ListParagraph"/>
        <w:numPr>
          <w:ilvl w:val="0"/>
          <w:numId w:val="3"/>
        </w:numPr>
        <w:spacing w:after="80"/>
      </w:pPr>
      <w:r>
        <w:rPr>
          <w:rFonts w:ascii="Calibri" w:cs="Calibri" w:eastAsia="Calibri" w:hAnsi="Calibri"/>
          <w:color w:val="262626"/>
          <w:sz w:val="21"/>
          <w:szCs w:val="21"/>
        </w:rPr>
        <w:t xml:space="preserve">Exportar los discos administrados como Page Blob (VHD).</w:t>
      </w:r>
    </w:p>
    <w:p>
      <w:pPr>
        <w:pStyle w:val="Heading2"/>
        <w:spacing w:after="120" w:before="260"/>
      </w:pPr>
      <w:r>
        <w:rPr>
          <w:rFonts w:ascii="Calibri" w:cs="Calibri" w:eastAsia="Calibri" w:hAnsi="Calibri"/>
          <w:b/>
          <w:bCs/>
          <w:color w:val="2E5395"/>
          <w:sz w:val="24"/>
          <w:szCs w:val="24"/>
        </w:rPr>
        <w:t xml:space="preserve">9.3 Copia al Blob Storage intermedio</w:t>
      </w:r>
    </w:p>
    <w:p>
      <w:pPr>
        <w:pStyle w:val="ListParagraph"/>
        <w:numPr>
          <w:ilvl w:val="0"/>
          <w:numId w:val="3"/>
        </w:numPr>
        <w:spacing w:after="80"/>
      </w:pPr>
      <w:r>
        <w:rPr>
          <w:rFonts w:ascii="Calibri" w:cs="Calibri" w:eastAsia="Calibri" w:hAnsi="Calibri"/>
          <w:color w:val="262626"/>
          <w:sz w:val="21"/>
          <w:szCs w:val="21"/>
        </w:rPr>
        <w:t xml:space="preserve">Copiar los VHD resultantes hacia la cuenta de Azure Blob Storage de uso general que funge como punto medio único, generando SAS tokens de acceso temporal y restringido para cada transferencia.</w:t>
      </w:r>
    </w:p>
    <w:p>
      <w:pPr>
        <w:pStyle w:val="ListParagraph"/>
        <w:numPr>
          <w:ilvl w:val="0"/>
          <w:numId w:val="3"/>
        </w:numPr>
        <w:spacing w:after="80"/>
      </w:pPr>
      <w:r>
        <w:rPr>
          <w:rFonts w:ascii="Calibri" w:cs="Calibri" w:eastAsia="Calibri" w:hAnsi="Calibri"/>
          <w:color w:val="262626"/>
          <w:sz w:val="21"/>
          <w:szCs w:val="21"/>
        </w:rPr>
        <w:t xml:space="preserve">Validar la integridad de los archivos copiados (checksum / tamaño) en el punto intermedio antes de proceder con la restauración.</w:t>
      </w:r>
    </w:p>
    <w:p>
      <w:pPr>
        <w:pStyle w:val="Heading2"/>
        <w:spacing w:after="120" w:before="260"/>
      </w:pPr>
      <w:r>
        <w:rPr>
          <w:rFonts w:ascii="Calibri" w:cs="Calibri" w:eastAsia="Calibri" w:hAnsi="Calibri"/>
          <w:b/>
          <w:bCs/>
          <w:color w:val="2E5395"/>
          <w:sz w:val="24"/>
          <w:szCs w:val="24"/>
        </w:rPr>
        <w:t xml:space="preserve">9.4 Aprovisionamiento y Restauración (Tenant B)</w:t>
      </w:r>
    </w:p>
    <w:p>
      <w:pPr>
        <w:pStyle w:val="ListParagraph"/>
        <w:numPr>
          <w:ilvl w:val="0"/>
          <w:numId w:val="3"/>
        </w:numPr>
        <w:spacing w:after="80"/>
      </w:pPr>
      <w:r>
        <w:rPr>
          <w:rFonts w:ascii="Calibri" w:cs="Calibri" w:eastAsia="Calibri" w:hAnsi="Calibri"/>
          <w:color w:val="262626"/>
          <w:sz w:val="21"/>
          <w:szCs w:val="21"/>
        </w:rPr>
        <w:t xml:space="preserve">Aprovisionar la infraestructura base en el Tenant B: VNets, Subnets, NSGs e IPs.</w:t>
      </w:r>
    </w:p>
    <w:p>
      <w:pPr>
        <w:pStyle w:val="ListParagraph"/>
        <w:numPr>
          <w:ilvl w:val="0"/>
          <w:numId w:val="3"/>
        </w:numPr>
        <w:spacing w:after="80"/>
      </w:pPr>
      <w:r>
        <w:rPr>
          <w:rFonts w:ascii="Calibri" w:cs="Calibri" w:eastAsia="Calibri" w:hAnsi="Calibri"/>
          <w:color w:val="262626"/>
          <w:sz w:val="21"/>
          <w:szCs w:val="21"/>
        </w:rPr>
        <w:t xml:space="preserve">Crear Managed Disks en el Tenant B a partir de los VHD alojados en el Blob Storage intermedio.</w:t>
      </w:r>
    </w:p>
    <w:p>
      <w:pPr>
        <w:pStyle w:val="ListParagraph"/>
        <w:numPr>
          <w:ilvl w:val="0"/>
          <w:numId w:val="3"/>
        </w:numPr>
        <w:spacing w:after="80"/>
      </w:pPr>
      <w:r>
        <w:rPr>
          <w:rFonts w:ascii="Calibri" w:cs="Calibri" w:eastAsia="Calibri" w:hAnsi="Calibri"/>
          <w:color w:val="262626"/>
          <w:sz w:val="21"/>
          <w:szCs w:val="21"/>
        </w:rPr>
        <w:t xml:space="preserve">Aprovisionar las máquinas virtuales asociando dichos discos, con el sizing validado con el cliente.</w:t>
      </w:r>
    </w:p>
    <w:p>
      <w:pPr>
        <w:pStyle w:val="Heading2"/>
        <w:spacing w:after="120" w:before="260"/>
      </w:pPr>
      <w:r>
        <w:rPr>
          <w:rFonts w:ascii="Calibri" w:cs="Calibri" w:eastAsia="Calibri" w:hAnsi="Calibri"/>
          <w:b/>
          <w:bCs/>
          <w:color w:val="2E5395"/>
          <w:sz w:val="24"/>
          <w:szCs w:val="24"/>
        </w:rPr>
        <w:t xml:space="preserve">9.5 Validación de infraestructura</w:t>
      </w:r>
    </w:p>
    <w:p>
      <w:pPr>
        <w:pStyle w:val="ListParagraph"/>
        <w:numPr>
          <w:ilvl w:val="0"/>
          <w:numId w:val="3"/>
        </w:numPr>
        <w:spacing w:after="80"/>
      </w:pPr>
      <w:r>
        <w:rPr>
          <w:rFonts w:ascii="Calibri" w:cs="Calibri" w:eastAsia="Calibri" w:hAnsi="Calibri"/>
          <w:color w:val="262626"/>
          <w:sz w:val="21"/>
          <w:szCs w:val="21"/>
        </w:rPr>
        <w:t xml:space="preserve">Validar el arranque de cada VM, la resolución de nombre/dominio y la conectividad de red hacia los servicios base del sistema operativo.</w:t>
      </w:r>
    </w:p>
    <w:p>
      <w:pPr>
        <w:pStyle w:val="ListParagraph"/>
        <w:numPr>
          <w:ilvl w:val="0"/>
          <w:numId w:val="3"/>
        </w:numPr>
        <w:spacing w:after="80"/>
      </w:pPr>
      <w:r>
        <w:rPr>
          <w:rFonts w:ascii="Calibri" w:cs="Calibri" w:eastAsia="Calibri" w:hAnsi="Calibri"/>
          <w:color w:val="262626"/>
          <w:sz w:val="21"/>
          <w:szCs w:val="21"/>
        </w:rPr>
        <w:t xml:space="preserve">Confirmar sincronización o recreación de cuentas de servicio (a nivel de infraestructura/directorio) requeridas por los aplicativos.</w:t>
      </w:r>
    </w:p>
    <w:p>
      <w:pPr>
        <w:pStyle w:val="ListParagraph"/>
        <w:numPr>
          <w:ilvl w:val="0"/>
          <w:numId w:val="3"/>
        </w:numPr>
        <w:spacing w:after="80"/>
      </w:pPr>
      <w:r>
        <w:rPr>
          <w:rFonts w:ascii="Calibri" w:cs="Calibri" w:eastAsia="Calibri" w:hAnsi="Calibri"/>
          <w:color w:val="262626"/>
          <w:sz w:val="21"/>
          <w:szCs w:val="21"/>
        </w:rPr>
        <w:t xml:space="preserve">Entregar la infraestructura al cliente/dueños de aplicativo para que ejecuten sus propias pruebas funcionales de Oracle DB, DMS, GRP y SAP ECC (fuera del alcance del proveedor).</w:t>
      </w:r>
    </w:p>
    <w:p>
      <w:pPr>
        <w:pStyle w:val="Heading2"/>
        <w:spacing w:after="120" w:before="260"/>
      </w:pPr>
      <w:r>
        <w:rPr>
          <w:rFonts w:ascii="Calibri" w:cs="Calibri" w:eastAsia="Calibri" w:hAnsi="Calibri"/>
          <w:b/>
          <w:bCs/>
          <w:color w:val="2E5395"/>
          <w:sz w:val="24"/>
          <w:szCs w:val="24"/>
        </w:rPr>
        <w:t xml:space="preserve">9.6 Cutover y cierre</w:t>
      </w:r>
    </w:p>
    <w:p>
      <w:pPr>
        <w:pStyle w:val="ListParagraph"/>
        <w:numPr>
          <w:ilvl w:val="0"/>
          <w:numId w:val="3"/>
        </w:numPr>
        <w:spacing w:after="80"/>
      </w:pPr>
      <w:r>
        <w:rPr>
          <w:rFonts w:ascii="Calibri" w:cs="Calibri" w:eastAsia="Calibri" w:hAnsi="Calibri"/>
          <w:color w:val="262626"/>
          <w:sz w:val="21"/>
          <w:szCs w:val="21"/>
        </w:rPr>
        <w:t xml:space="preserve">Una vez que el cliente valida y autoriza el funcionamiento de los aplicativos, redirigir accesos (DNS interno/externo, VPN/ExpressRoute, whitelists de firewall) hacia el Tenant B.</w:t>
      </w:r>
    </w:p>
    <w:p>
      <w:pPr>
        <w:pStyle w:val="ListParagraph"/>
        <w:numPr>
          <w:ilvl w:val="0"/>
          <w:numId w:val="3"/>
        </w:numPr>
        <w:spacing w:after="80"/>
      </w:pPr>
      <w:r>
        <w:rPr>
          <w:rFonts w:ascii="Calibri" w:cs="Calibri" w:eastAsia="Calibri" w:hAnsi="Calibri"/>
          <w:color w:val="262626"/>
          <w:sz w:val="21"/>
          <w:szCs w:val="21"/>
        </w:rPr>
        <w:t xml:space="preserve">Mantener el Tenant A en estado de “stand-by” durante el periodo de hypercare, como respaldo de contingencia.</w:t>
      </w:r>
    </w:p>
    <w:p>
      <w:pPr>
        <w:pStyle w:val="ListParagraph"/>
        <w:numPr>
          <w:ilvl w:val="0"/>
          <w:numId w:val="3"/>
        </w:numPr>
        <w:spacing w:after="80"/>
      </w:pPr>
      <w:r>
        <w:rPr>
          <w:rFonts w:ascii="Calibri" w:cs="Calibri" w:eastAsia="Calibri" w:hAnsi="Calibri"/>
          <w:color w:val="262626"/>
          <w:sz w:val="21"/>
          <w:szCs w:val="21"/>
        </w:rPr>
        <w:t xml:space="preserve">Una vez validada la estabilidad, dar de baja los recursos del Tenant A conforme al plan de descomisionamiento acordado con el cliente.</w:t>
      </w:r>
    </w:p>
    <w:p>
      <w:pPr>
        <w:pStyle w:val="Heading1"/>
        <w:pBdr>
          <w:bottom w:val="single" w:color="2E5395" w:sz="6" w:space="4"/>
        </w:pBdr>
        <w:spacing w:after="180" w:before="400"/>
      </w:pPr>
      <w:r>
        <w:rPr>
          <w:rFonts w:ascii="Calibri" w:cs="Calibri" w:eastAsia="Calibri" w:hAnsi="Calibri"/>
          <w:b/>
          <w:bCs/>
          <w:color w:val="1F3864"/>
          <w:sz w:val="30"/>
          <w:szCs w:val="30"/>
        </w:rPr>
        <w:t xml:space="preserve">10. Fases y Tiempos de Ejecución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300"/>
        <w:gridCol w:w="1400"/>
      </w:tblGrid>
      <w:tr>
        <w:trPr>
          <w:tblHeader/>
        </w:trPr>
        <w:tc>
          <w:tcPr>
            <w:tcW w:type="dxa" w:w="9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Fase</w:t>
            </w:r>
          </w:p>
        </w:tc>
        <w:tc>
          <w:tcPr>
            <w:tcW w:type="dxa" w:w="2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Nombre</w:t>
            </w:r>
          </w:p>
        </w:tc>
        <w:tc>
          <w:tcPr>
            <w:tcW w:type="dxa" w:w="43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Actividades principales</w:t>
            </w:r>
          </w:p>
        </w:tc>
        <w:tc>
          <w:tcPr>
            <w:tcW w:type="dxa" w:w="14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Duración estimada</w:t>
            </w:r>
          </w:p>
        </w:tc>
      </w:tr>
      <w:tr>
        <w:tc>
          <w:tcPr>
            <w:tcW w:type="dxa" w:w="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Assessment y Planeación</w:t>
            </w:r>
          </w:p>
        </w:tc>
        <w:tc>
          <w:tcPr>
            <w:tcW w:type="dxa" w:w="4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Levantamiento de inventario, mapeo de dependencias, volumetría de datos, definición de RTO/RPO, alcance final (IaaS) y cronograma detallado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 2 semanas</w:t>
            </w:r>
          </w:p>
        </w:tc>
      </w:tr>
      <w:tr>
        <w:tc>
          <w:tcPr>
            <w:tcW w:type="dxa" w:w="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Diseño de Arquitectura Destino</w:t>
            </w:r>
          </w:p>
        </w:tc>
        <w:tc>
          <w:tcPr>
            <w:tcW w:type="dxa" w:w="4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Diseño de red, seguridad e identidad del Tenant B; dimensionamiento del Blob Storage intermedio; validación de cuotas y capacidad</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semana</w:t>
            </w:r>
          </w:p>
        </w:tc>
      </w:tr>
      <w:tr>
        <w:tc>
          <w:tcPr>
            <w:tcW w:type="dxa" w:w="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Preparación del Tenant B</w:t>
            </w:r>
          </w:p>
        </w:tc>
        <w:tc>
          <w:tcPr>
            <w:tcW w:type="dxa" w:w="4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Creación de VNets, Subnets, NSGs y de la cuenta de Blob Storage de uso general; validación de accesos administrativos</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 2 semanas</w:t>
            </w:r>
          </w:p>
        </w:tc>
      </w:tr>
      <w:tr>
        <w:tc>
          <w:tcPr>
            <w:tcW w:type="dxa" w:w="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Backup del Ambiente Origen</w:t>
            </w:r>
          </w:p>
        </w:tc>
        <w:tc>
          <w:tcPr>
            <w:tcW w:type="dxa" w:w="4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Backup por capas (OS, aplicación, BD) de VMs y discos; exportación a VHD</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 – 5 días</w:t>
            </w:r>
          </w:p>
        </w:tc>
      </w:tr>
      <w:tr>
        <w:tc>
          <w:tcPr>
            <w:tcW w:type="dxa" w:w="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Copia al Blob Storage Intermedio</w:t>
            </w:r>
          </w:p>
        </w:tc>
        <w:tc>
          <w:tcPr>
            <w:tcW w:type="dxa" w:w="4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Transferencia de archivos VHD del Tenant A hacia el Blob Storage de uso general; validación de integridad</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 – 7 días</w:t>
            </w:r>
          </w:p>
        </w:tc>
      </w:tr>
      <w:tr>
        <w:tc>
          <w:tcPr>
            <w:tcW w:type="dxa" w:w="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Aprovisionamiento y Restauración (Tenant B)</w:t>
            </w:r>
          </w:p>
        </w:tc>
        <w:tc>
          <w:tcPr>
            <w:tcW w:type="dxa" w:w="4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Creación de discos y VMs en el Tenant B a partir de los VHD alojados en el punto intermedio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 2 semanas</w:t>
            </w:r>
          </w:p>
        </w:tc>
      </w:tr>
      <w:tr>
        <w:tc>
          <w:tcPr>
            <w:tcW w:type="dxa" w:w="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6</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de Infraestructura</w:t>
            </w:r>
          </w:p>
        </w:tc>
        <w:tc>
          <w:tcPr>
            <w:tcW w:type="dxa" w:w="4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Pruebas de arranque y conectividad de red de las VMs restauradas (no incluye validación funcional de aplicativos)</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 – 5 días</w:t>
            </w:r>
          </w:p>
        </w:tc>
      </w:tr>
      <w:tr>
        <w:tc>
          <w:tcPr>
            <w:tcW w:type="dxa" w:w="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Funcional (Cliente)</w:t>
            </w:r>
          </w:p>
        </w:tc>
        <w:tc>
          <w:tcPr>
            <w:tcW w:type="dxa" w:w="4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Pruebas funcionales de Oracle DB, DMS, GRP y SAP ECC a cargo del cliente/dueños de aplicativo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semana</w:t>
            </w:r>
          </w:p>
        </w:tc>
      </w:tr>
      <w:tr>
        <w:tc>
          <w:tcPr>
            <w:tcW w:type="dxa" w:w="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8</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Cutover (Corte Productivo)</w:t>
            </w:r>
          </w:p>
        </w:tc>
        <w:tc>
          <w:tcPr>
            <w:tcW w:type="dxa" w:w="4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Redirección de accesos/DNS, puesta en producción del Tenant B, monitoreo intensivo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ventana de mantenimiento (fin de semana)</w:t>
            </w:r>
          </w:p>
        </w:tc>
      </w:tr>
      <w:tr>
        <w:tc>
          <w:tcPr>
            <w:tcW w:type="dxa" w:w="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Hypercare y Cierre</w:t>
            </w:r>
          </w:p>
        </w:tc>
        <w:tc>
          <w:tcPr>
            <w:tcW w:type="dxa" w:w="4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Soporte post-migración de infraestructura, resolución de incidencias, descomisionamiento del Tenant A</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 semanas</w:t>
            </w:r>
          </w:p>
        </w:tc>
      </w:tr>
    </w:tbl>
    <w:p>
      <w:pPr>
        <w:spacing w:after="160" w:before="200"/>
      </w:pPr>
    </w:p>
    <w:p>
      <w:pPr>
        <w:spacing w:after="160" w:line="276"/>
      </w:pPr>
      <w:r>
        <w:rPr>
          <w:rFonts w:ascii="Calibri" w:cs="Calibri" w:eastAsia="Calibri" w:hAnsi="Calibri"/>
          <w:b/>
          <w:bCs/>
          <w:color w:val="262626"/>
          <w:sz w:val="21"/>
          <w:szCs w:val="21"/>
        </w:rPr>
        <w:t xml:space="preserve">Duración total estimada del proyecto: 7 a 10 semanas, dependiendo del volumen final de datos a transferir al Blob Storage intermedio, la disponibilidad de ventanas de mantenimiento del cliente y los tiempos de validación funcional a cargo del cliente.</w:t>
      </w:r>
    </w:p>
    <w:p>
      <w:pPr>
        <w:pStyle w:val="Heading1"/>
        <w:pBdr>
          <w:bottom w:val="single" w:color="2E5395" w:sz="6" w:space="4"/>
        </w:pBdr>
        <w:spacing w:after="180" w:before="400"/>
      </w:pPr>
      <w:r>
        <w:rPr>
          <w:rFonts w:ascii="Calibri" w:cs="Calibri" w:eastAsia="Calibri" w:hAnsi="Calibri"/>
          <w:b/>
          <w:bCs/>
          <w:color w:val="1F3864"/>
          <w:sz w:val="30"/>
          <w:szCs w:val="30"/>
        </w:rPr>
        <w:t xml:space="preserve">11. Supuestos</w:t>
      </w:r>
    </w:p>
    <w:p>
      <w:pPr>
        <w:pStyle w:val="ListParagraph"/>
        <w:numPr>
          <w:ilvl w:val="0"/>
          <w:numId w:val="2"/>
        </w:numPr>
        <w:spacing w:after="80"/>
      </w:pPr>
      <w:r>
        <w:rPr>
          <w:rFonts w:ascii="Calibri" w:cs="Calibri" w:eastAsia="Calibri" w:hAnsi="Calibri"/>
          <w:color w:val="262626"/>
          <w:sz w:val="21"/>
          <w:szCs w:val="21"/>
        </w:rPr>
        <w:t xml:space="preserve">El cliente cuenta con el Tenant B (Azure AD y suscripción) ya creado y con cuota suficiente, o lo gestionará en paralelo a la Fase 0.</w:t>
      </w:r>
    </w:p>
    <w:p>
      <w:pPr>
        <w:pStyle w:val="ListParagraph"/>
        <w:numPr>
          <w:ilvl w:val="0"/>
          <w:numId w:val="2"/>
        </w:numPr>
        <w:spacing w:after="80"/>
      </w:pPr>
      <w:r>
        <w:rPr>
          <w:rFonts w:ascii="Calibri" w:cs="Calibri" w:eastAsia="Calibri" w:hAnsi="Calibri"/>
          <w:color w:val="262626"/>
          <w:sz w:val="21"/>
          <w:szCs w:val="21"/>
        </w:rPr>
        <w:t xml:space="preserve">El cliente otorgará oportunamente los accesos administrativos (Owner/Contributor y Global Admin o rol delegado) en ambos Tenants.</w:t>
      </w:r>
    </w:p>
    <w:p>
      <w:pPr>
        <w:pStyle w:val="ListParagraph"/>
        <w:numPr>
          <w:ilvl w:val="0"/>
          <w:numId w:val="2"/>
        </w:numPr>
        <w:spacing w:after="80"/>
      </w:pPr>
      <w:r>
        <w:rPr>
          <w:rFonts w:ascii="Calibri" w:cs="Calibri" w:eastAsia="Calibri" w:hAnsi="Calibri"/>
          <w:color w:val="262626"/>
          <w:sz w:val="21"/>
          <w:szCs w:val="21"/>
        </w:rPr>
        <w:t xml:space="preserve">Las aplicaciones (SAP ECC, GRP, DMS, Oracle DB) no requieren cambios de licenciamiento derivados únicamente del cambio de Tenant; cualquier trámite de licenciamiento ante el fabricante es responsabilidad del cliente.</w:t>
      </w:r>
    </w:p>
    <w:p>
      <w:pPr>
        <w:pStyle w:val="ListParagraph"/>
        <w:numPr>
          <w:ilvl w:val="0"/>
          <w:numId w:val="2"/>
        </w:numPr>
        <w:spacing w:after="80"/>
      </w:pPr>
      <w:r>
        <w:rPr>
          <w:rFonts w:ascii="Calibri" w:cs="Calibri" w:eastAsia="Calibri" w:hAnsi="Calibri"/>
          <w:color w:val="262626"/>
          <w:sz w:val="21"/>
          <w:szCs w:val="21"/>
        </w:rPr>
        <w:t xml:space="preserve">Las ventanas de mantenimiento y el corte productivo serán coordinadas, aprobadas y comunicadas por el cliente a sus usuarios finales.</w:t>
      </w:r>
    </w:p>
    <w:p>
      <w:pPr>
        <w:pStyle w:val="ListParagraph"/>
        <w:numPr>
          <w:ilvl w:val="0"/>
          <w:numId w:val="2"/>
        </w:numPr>
        <w:spacing w:after="80"/>
      </w:pPr>
      <w:r>
        <w:rPr>
          <w:rFonts w:ascii="Calibri" w:cs="Calibri" w:eastAsia="Calibri" w:hAnsi="Calibri"/>
          <w:color w:val="262626"/>
          <w:sz w:val="21"/>
          <w:szCs w:val="21"/>
        </w:rPr>
        <w:t xml:space="preserve">El ancho de banda de red disponible permite transferir los archivos de respaldo (VHD) entre Tenants en tiempos razonables dentro del cronograma propuesto.</w:t>
      </w:r>
    </w:p>
    <w:p>
      <w:pPr>
        <w:pStyle w:val="ListParagraph"/>
        <w:numPr>
          <w:ilvl w:val="0"/>
          <w:numId w:val="2"/>
        </w:numPr>
        <w:spacing w:after="80"/>
      </w:pPr>
      <w:r>
        <w:rPr>
          <w:rFonts w:ascii="Calibri" w:cs="Calibri" w:eastAsia="Calibri" w:hAnsi="Calibri"/>
          <w:color w:val="262626"/>
          <w:sz w:val="21"/>
          <w:szCs w:val="21"/>
        </w:rPr>
        <w:t xml:space="preserve">Salvo indicación contraria del cliente, los recursos del Tenant B se aprovisionarán en la misma región (South Central US) que el Tenant A.</w:t>
      </w:r>
    </w:p>
    <w:p>
      <w:pPr>
        <w:pStyle w:val="ListParagraph"/>
        <w:numPr>
          <w:ilvl w:val="0"/>
          <w:numId w:val="2"/>
        </w:numPr>
        <w:spacing w:after="80"/>
      </w:pPr>
      <w:r>
        <w:rPr>
          <w:rFonts w:ascii="Calibri" w:cs="Calibri" w:eastAsia="Calibri" w:hAnsi="Calibri"/>
          <w:color w:val="262626"/>
          <w:sz w:val="21"/>
          <w:szCs w:val="21"/>
        </w:rPr>
        <w:t xml:space="preserve">No existen restricciones regulatorias o de cumplimiento que impidan el uso de herramientas como AzCopy para la transferencia de datos entre Tenants.</w:t>
      </w:r>
    </w:p>
    <w:p>
      <w:pPr>
        <w:pStyle w:val="ListParagraph"/>
        <w:numPr>
          <w:ilvl w:val="0"/>
          <w:numId w:val="2"/>
        </w:numPr>
        <w:spacing w:after="80"/>
      </w:pPr>
      <w:r>
        <w:rPr>
          <w:rFonts w:ascii="Calibri" w:cs="Calibri" w:eastAsia="Calibri" w:hAnsi="Calibri"/>
          <w:color w:val="262626"/>
          <w:sz w:val="21"/>
          <w:szCs w:val="21"/>
        </w:rPr>
        <w:t xml:space="preserve">El dimensionamiento (sizing) de VMs y discos se mantiene equivalente al inventario actual, salvo que el cliente solicite expresamente una optimización durante la Fase 1.</w:t>
      </w:r>
    </w:p>
    <w:p>
      <w:pPr>
        <w:pStyle w:val="ListParagraph"/>
        <w:numPr>
          <w:ilvl w:val="0"/>
          <w:numId w:val="2"/>
        </w:numPr>
        <w:spacing w:after="80"/>
      </w:pPr>
      <w:r>
        <w:rPr>
          <w:rFonts w:ascii="Calibri" w:cs="Calibri" w:eastAsia="Calibri" w:hAnsi="Calibri"/>
          <w:color w:val="262626"/>
          <w:sz w:val="21"/>
          <w:szCs w:val="21"/>
        </w:rPr>
        <w:t xml:space="preserve">Los aplicativos cuentan con documentación mínima de arquitectura y dependencias (bases de datos, interfaces, cuentas de servicio) o el cliente la pondrá a disposición del equipo de proyecto.</w:t>
      </w:r>
    </w:p>
    <w:p>
      <w:pPr>
        <w:pStyle w:val="ListParagraph"/>
        <w:numPr>
          <w:ilvl w:val="0"/>
          <w:numId w:val="2"/>
        </w:numPr>
        <w:spacing w:after="80"/>
      </w:pPr>
      <w:r>
        <w:rPr>
          <w:rFonts w:ascii="Calibri" w:cs="Calibri" w:eastAsia="Calibri" w:hAnsi="Calibri"/>
          <w:color w:val="262626"/>
          <w:sz w:val="21"/>
          <w:szCs w:val="21"/>
        </w:rPr>
        <w:t xml:space="preserve">El cliente entiende y acepta que el proveedor es responsable únicamente de la infraestructura (IaaS); la validación funcional, consistencia de datos y operación de los aplicativos SAP, GRP, DMS y Oracle DB es responsabilidad del cliente/dueños de aplicativo (sección 7.1).</w:t>
      </w:r>
    </w:p>
    <w:p>
      <w:pPr>
        <w:pStyle w:val="ListParagraph"/>
        <w:numPr>
          <w:ilvl w:val="0"/>
          <w:numId w:val="2"/>
        </w:numPr>
        <w:spacing w:after="80"/>
      </w:pPr>
      <w:r>
        <w:rPr>
          <w:rFonts w:ascii="Calibri" w:cs="Calibri" w:eastAsia="Calibri" w:hAnsi="Calibri"/>
          <w:color w:val="262626"/>
          <w:sz w:val="21"/>
          <w:szCs w:val="21"/>
        </w:rPr>
        <w:t xml:space="preserve">El cliente/DBA coordinará, si así lo requiere, la detención de servicios de aplicación/base de datos previa al backup para obtener una copia app-consistent; de no hacerlo, el respaldo se realizará en modalidad crash-consistent, bajo entendimiento y aceptación del cliente.</w:t>
      </w:r>
    </w:p>
    <w:p>
      <w:pPr>
        <w:pStyle w:val="ListParagraph"/>
        <w:numPr>
          <w:ilvl w:val="0"/>
          <w:numId w:val="2"/>
        </w:numPr>
        <w:spacing w:after="80"/>
      </w:pPr>
      <w:r>
        <w:rPr>
          <w:rFonts w:ascii="Calibri" w:cs="Calibri" w:eastAsia="Calibri" w:hAnsi="Calibri"/>
          <w:color w:val="262626"/>
          <w:sz w:val="21"/>
          <w:szCs w:val="21"/>
        </w:rPr>
        <w:t xml:space="preserve">La cuenta de Azure Blob Storage de uso general utilizada como punto intermedio será de acceso restringido (SAS tokens de vida corta) y se eliminará/purgará una vez concluida la migración y el periodo de hypercare.</w:t>
      </w:r>
    </w:p>
    <w:p>
      <w:pPr>
        <w:pStyle w:val="ListParagraph"/>
        <w:numPr>
          <w:ilvl w:val="0"/>
          <w:numId w:val="2"/>
        </w:numPr>
        <w:spacing w:after="80"/>
      </w:pPr>
      <w:r>
        <w:rPr>
          <w:rFonts w:ascii="Calibri" w:cs="Calibri" w:eastAsia="Calibri" w:hAnsi="Calibri"/>
          <w:color w:val="262626"/>
          <w:sz w:val="21"/>
          <w:szCs w:val="21"/>
        </w:rPr>
        <w:t xml:space="preserve">El volumen total de datos a transferir es compatible con las capacidades estándar de una cuenta de almacenamiento de uso general; volúmenes inusualmente grandes podrían requerir ajustar tiempos o considerar métodos de transferencia alternos (por ejemplo, Azure Data Box), a evaluar en el Assessment.</w:t>
      </w:r>
    </w:p>
    <w:p>
      <w:pPr>
        <w:pStyle w:val="Heading1"/>
        <w:pBdr>
          <w:bottom w:val="single" w:color="2E5395" w:sz="6" w:space="4"/>
        </w:pBdr>
        <w:spacing w:after="180" w:before="400"/>
      </w:pPr>
      <w:r>
        <w:rPr>
          <w:rFonts w:ascii="Calibri" w:cs="Calibri" w:eastAsia="Calibri" w:hAnsi="Calibri"/>
          <w:b/>
          <w:bCs/>
          <w:color w:val="1F3864"/>
          <w:sz w:val="30"/>
          <w:szCs w:val="30"/>
        </w:rPr>
        <w:t xml:space="preserve">12. Riesgos y Consideraciones de Seguridad</w:t>
      </w:r>
    </w:p>
    <w:p>
      <w:pPr>
        <w:spacing w:after="160" w:line="276"/>
      </w:pPr>
      <w:r>
        <w:rPr>
          <w:rFonts w:ascii="Calibri" w:cs="Calibri" w:eastAsia="Calibri" w:hAnsi="Calibri"/>
          <w:color w:val="262626"/>
          <w:sz w:val="21"/>
          <w:szCs w:val="21"/>
        </w:rPr>
        <w:t xml:space="preserve">La migración Tenant a Tenant mediante un punto intermedio de Blob Storage implica, por su naturaleza, la recreación de controles de seguridad y red que hoy dependen del Tenant origen, así como riesgos particulares relacionados con la consistencia de los backups y el deslinde de responsabilidad entre infraestructura (proveedor) y aplicativos (cliente). Se identifican a continuación los riesgos y sus mitigaciones propuestas: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600"/>
      </w:tblGrid>
      <w:tr>
        <w:trPr>
          <w:tblHeader/>
        </w:trPr>
        <w:tc>
          <w:tcPr>
            <w:tcW w:type="dxa" w:w="1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Categoría</w:t>
            </w:r>
          </w:p>
        </w:tc>
        <w:tc>
          <w:tcPr>
            <w:tcW w:type="dxa" w:w="3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Riesgo / Consideración</w:t>
            </w:r>
          </w:p>
        </w:tc>
        <w:tc>
          <w:tcPr>
            <w:tcW w:type="dxa" w:w="4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Mitigación propuesta</w:t>
            </w:r>
          </w:p>
        </w:tc>
      </w:tr>
      <w:tr>
        <w:tc>
          <w:tcPr>
            <w:tcW w:type="dxa" w:w="16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Red / Seguridad</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Cambio de direccionamiento IP puede afectar reglas de firewall, whitelists o cadenas de conexión de aplicativos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Inventariar todas las dependencias de IP antes del corte; mantener el mismo esquema de direccionamiento cuando sea posible</w:t>
            </w:r>
          </w:p>
        </w:tc>
      </w:tr>
      <w:tr>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Red / Seguridad</w:t>
            </w:r>
          </w:p>
        </w:tc>
        <w:tc>
          <w:tcPr>
            <w:tcW w:type="dxa" w:w="3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Reglas NSG mal replicadas pueden bloquear tráfico legítimo o dejar puertos expuestos en el Tenant B</w:t>
            </w:r>
          </w:p>
        </w:tc>
        <w:tc>
          <w:tcPr>
            <w:tcW w:type="dxa" w:w="4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Documentar y validar cada regla NSG del Tenant A antes de recrearla en el Tenant B; revisión de seguridad previa al cutover</w:t>
            </w:r>
          </w:p>
        </w:tc>
      </w:tr>
      <w:tr>
        <w:tc>
          <w:tcPr>
            <w:tcW w:type="dxa" w:w="16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Identidad</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Cuentas de servicio o unión a dominio no sincronizadas correctamente en el nuevo Tenant</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Plan específico de identidad (Azure AD) validado en Fase 1 y probado antes del corte, en coordinación con el cliente</w:t>
            </w:r>
          </w:p>
        </w:tc>
      </w:tr>
      <w:tr>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Punto intermedio (Blob Storage)</w:t>
            </w:r>
          </w:p>
        </w:tc>
        <w:tc>
          <w:tcPr>
            <w:tcW w:type="dxa" w:w="3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Volumen de datos mayor al esperado, generando tiempos de copia al Blob Storage y de restauración más largos de lo planeado</w:t>
            </w:r>
          </w:p>
        </w:tc>
        <w:tc>
          <w:tcPr>
            <w:tcW w:type="dxa" w:w="4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Dimensionar el Blob Storage y el cronograma con base en la volumetría real obtenida en el Assessment; considerar métodos alternos (p. ej. Azure Data Box) para volúmenes muy grandes</w:t>
            </w:r>
          </w:p>
        </w:tc>
      </w:tr>
      <w:tr>
        <w:tc>
          <w:tcPr>
            <w:tcW w:type="dxa" w:w="16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Punto intermedio (Blob Storage)</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Exposición o acceso no autorizado a los archivos de respaldo mientras residen en el Blob Storage de uso general</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Uso de SAS tokens de vida corta y alcance limitado, cifrado en tránsito y en reposo, restricción de red (firewall de Storage Account) y eliminación/purga de los archivos al concluir el hypercare</w:t>
            </w:r>
          </w:p>
        </w:tc>
      </w:tr>
      <w:tr>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Punto intermedio (Blob Storage)</w:t>
            </w:r>
          </w:p>
        </w:tc>
        <w:tc>
          <w:tcPr>
            <w:tcW w:type="dxa" w:w="3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Costos adicionales no previstos por almacenamiento y transacciones/egress del Blob Storage intermedio</w:t>
            </w:r>
          </w:p>
        </w:tc>
        <w:tc>
          <w:tcPr>
            <w:tcW w:type="dxa" w:w="4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Incluir el dimensionamiento del Blob Storage en la calculadora de costos (sección 13) y monitorear el consumo durante las Fases 3 y 4</w:t>
            </w:r>
          </w:p>
        </w:tc>
      </w:tr>
      <w:tr>
        <w:tc>
          <w:tcPr>
            <w:tcW w:type="dxa" w:w="16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Backup / Consistencia</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Backup crash-consistent de bases de datos (sin detener servicios) puede generar inconsistencias que solo se detectan al validar la aplicación</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El cliente/DBA determina si requiere coordinar una ventana de “app-consistent” backup (deteniendo servicios); de no hacerlo, se documenta que el respaldo es crash-consistent y la validación de integridad queda a cargo del cliente</w:t>
            </w:r>
          </w:p>
        </w:tc>
      </w:tr>
      <w:tr>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Backup / Consistencia</w:t>
            </w:r>
          </w:p>
        </w:tc>
        <w:tc>
          <w:tcPr>
            <w:tcW w:type="dxa" w:w="3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Corrupción o falla del backup de un disco de base de datos que no se detecte hasta la validación funcional (fuera del alcance del proveedor)</w:t>
            </w:r>
          </w:p>
        </w:tc>
        <w:tc>
          <w:tcPr>
            <w:tcW w:type="dxa" w:w="4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Validar checksum/tamaño de cada VHD en el punto intermedio antes de restaurar; conservar el respaldo original en el Tenant A hasta el cierre del hypercare</w:t>
            </w:r>
          </w:p>
        </w:tc>
      </w:tr>
      <w:tr>
        <w:tc>
          <w:tcPr>
            <w:tcW w:type="dxa" w:w="16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Deslinde de responsabilidad</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Ambigüedad sobre a quién corresponde resolver un aplicativo que no arranca correctamente tras el restore</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Matriz RACI (sección 7.1) firmada/aceptada por el cliente antes del inicio; el proveedor solo garantiza que la VM esté accesible por red y con el sistema operativo iniciado</w:t>
            </w:r>
          </w:p>
        </w:tc>
      </w:tr>
      <w:tr>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Deslinde de responsabilidad</w:t>
            </w:r>
          </w:p>
        </w:tc>
        <w:tc>
          <w:tcPr>
            <w:tcW w:type="dxa" w:w="3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El cliente/dueños de aplicativo no están disponibles durante la ventana de validación funcional, retrasando el cutover</w:t>
            </w:r>
          </w:p>
        </w:tc>
        <w:tc>
          <w:tcPr>
            <w:tcW w:type="dxa" w:w="4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Agendar con antelación la disponibilidad de DBA/SAP Basis/Application Owners para la Fase de Validación Funcional (sección 10)</w:t>
            </w:r>
          </w:p>
        </w:tc>
      </w:tr>
      <w:tr>
        <w:tc>
          <w:tcPr>
            <w:tcW w:type="dxa" w:w="16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Licenciamiento</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Licenciamiento (SO, SQL/Oracle, SAP) inválido o no transferible al nuevo Tenant/suscripción</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temprana del cliente con sus proveedores de licenciamiento antes de la Fase 3 (responsabilidad del cliente)</w:t>
            </w:r>
          </w:p>
        </w:tc>
      </w:tr>
      <w:tr>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Continuidad operativa</w:t>
            </w:r>
          </w:p>
        </w:tc>
        <w:tc>
          <w:tcPr>
            <w:tcW w:type="dxa" w:w="3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Indisponibilidad de aplicativos críticos (SAP, Oracle) durante el corte</w:t>
            </w:r>
          </w:p>
        </w:tc>
        <w:tc>
          <w:tcPr>
            <w:tcW w:type="dxa" w:w="4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Ventanas de mantenimiento fuera de horario crítico, plan de rollback y Tenant A en stand-by durante hypercare</w:t>
            </w:r>
          </w:p>
        </w:tc>
      </w:tr>
      <w:tr>
        <w:tc>
          <w:tcPr>
            <w:tcW w:type="dxa" w:w="16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Continuidad operativa</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Dependencias cruzadas entre workloads (por ejemplo, SAP dependiendo de la disponibilidad de Oracle DB) generan un orden de restauración incorrecto</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Mapear las dependencias en el Assessment (Fase 0) y definir la secuencia de restauración/validación por workload</w:t>
            </w:r>
          </w:p>
        </w:tc>
      </w:tr>
      <w:tr>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Accesos y gobierno</w:t>
            </w:r>
          </w:p>
        </w:tc>
        <w:tc>
          <w:tcPr>
            <w:tcW w:type="dxa" w:w="3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Falta de accesos administrativos oportunos (Owner/Global Admin) en alguno de los Tenants retrasa las fases de backup o restore</w:t>
            </w:r>
          </w:p>
        </w:tc>
        <w:tc>
          <w:tcPr>
            <w:tcW w:type="dxa" w:w="4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Solicitar y confirmar accesos administrativos desde la Fase 0, con responsable único de aprobación por parte del cliente</w:t>
            </w:r>
          </w:p>
        </w:tc>
      </w:tr>
    </w:tbl>
    <w:p>
      <w:pPr>
        <w:spacing w:before="200"/>
      </w:pPr>
    </w:p>
    <w:p>
      <w:pPr>
        <w:pStyle w:val="Heading1"/>
        <w:pBdr>
          <w:bottom w:val="single" w:color="2E5395" w:sz="6" w:space="4"/>
        </w:pBdr>
        <w:spacing w:after="180" w:before="400"/>
      </w:pPr>
      <w:r>
        <w:rPr>
          <w:rFonts w:ascii="Calibri" w:cs="Calibri" w:eastAsia="Calibri" w:hAnsi="Calibri"/>
          <w:b/>
          <w:bCs/>
          <w:color w:val="1F3864"/>
          <w:sz w:val="30"/>
          <w:szCs w:val="30"/>
        </w:rPr>
        <w:t xml:space="preserve">13. Calculadora Azure (Dimensionamiento y Costos)</w:t>
      </w:r>
    </w:p>
    <w:p>
      <w:pPr>
        <w:spacing w:after="160" w:line="276"/>
      </w:pPr>
      <w:r>
        <w:rPr>
          <w:rFonts w:ascii="Calibri" w:cs="Calibri" w:eastAsia="Calibri" w:hAnsi="Calibri"/>
          <w:color w:val="262626"/>
          <w:sz w:val="21"/>
          <w:szCs w:val="21"/>
        </w:rPr>
        <w:t xml:space="preserve">El dimensionamiento y costos de referencia utilizados en esta propuesta provienen de la calculadora oficial de precios de Azure (“TotalTech_VM | PAYG”), bajo el modelo Pay-As-You-Go, región South Central US. A continuación se presenta el resumen de cómputo (VMs) y el detalle completo de todos los recursos incluidos.</w:t>
      </w:r>
    </w:p>
    <w:p>
      <w:pPr>
        <w:pStyle w:val="Heading2"/>
        <w:spacing w:after="120" w:before="260"/>
      </w:pPr>
      <w:r>
        <w:rPr>
          <w:rFonts w:ascii="Calibri" w:cs="Calibri" w:eastAsia="Calibri" w:hAnsi="Calibri"/>
          <w:b/>
          <w:bCs/>
          <w:color w:val="2E5395"/>
          <w:sz w:val="24"/>
          <w:szCs w:val="24"/>
        </w:rPr>
        <w:t xml:space="preserve">13.1 Resumen de máquinas virtuales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200"/>
      </w:tblGrid>
      <w:tr>
        <w:trPr>
          <w:tblHeader/>
        </w:trPr>
        <w:tc>
          <w:tcPr>
            <w:tcW w:type="dxa" w:w="2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VM</w:t>
            </w:r>
          </w:p>
        </w:tc>
        <w:tc>
          <w:tcPr>
            <w:tcW w:type="dxa" w:w="2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SKU</w:t>
            </w:r>
          </w:p>
        </w:tc>
        <w:tc>
          <w:tcPr>
            <w:tcW w:type="dxa" w:w="1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SO</w:t>
            </w:r>
          </w:p>
        </w:tc>
        <w:tc>
          <w:tcPr>
            <w:tcW w:type="dxa" w:w="22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Costo mensual VM (USD)</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OracleDBsrv</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A4 v2 (4 Cores, 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Linux</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$141.83</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TTechDMS-PRD</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F4s (4 vCPUs, 8 GB RAM)</w:t>
            </w:r>
          </w:p>
        </w:tc>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$317.95</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TTechDMS-QAS</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A4 v2 (4 Cores, 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TTechGRP-PRD</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DS13 v2 (8 vCPUs, 56 GB RAM)</w:t>
            </w:r>
          </w:p>
        </w:tc>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$719.16</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TTechGRP-QAS</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DS12 v2 (4 vCPUs, 28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$372.70</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TTechGRPPRD0922</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DS13 v2 (8 vCPUs, 56 GB RAM)</w:t>
            </w:r>
          </w:p>
        </w:tc>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$719.16</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TTechSAP-DMS</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A4 v2 (4 Cores, 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TTechSAP-ECC</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B4ms (4 Cores, 16 GB RAM)</w:t>
            </w:r>
          </w:p>
        </w:tc>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$175.60</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TTechSAP-ECC</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A4 v2 (4 Cores, 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bl>
    <w:p>
      <w:pPr>
        <w:spacing w:after="160" w:before="240"/>
      </w:pPr>
    </w:p>
    <w:p>
      <w:pPr>
        <w:pStyle w:val="Heading2"/>
        <w:spacing w:after="120" w:before="260"/>
      </w:pPr>
      <w:r>
        <w:rPr>
          <w:rFonts w:ascii="Calibri" w:cs="Calibri" w:eastAsia="Calibri" w:hAnsi="Calibri"/>
          <w:b/>
          <w:bCs/>
          <w:color w:val="2E5395"/>
          <w:sz w:val="24"/>
          <w:szCs w:val="24"/>
        </w:rPr>
        <w:t xml:space="preserve">13.2 Detalle completo de recursos (Cómputo, Almacenamiento y Red)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00"/>
        <w:gridCol w:w="1400"/>
      </w:tblGrid>
      <w:tr>
        <w:trPr>
          <w:tblHeader/>
        </w:trPr>
        <w:tc>
          <w:tcPr>
            <w:tcW w:type="dxa" w:w="15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Categoría</w:t>
            </w:r>
          </w:p>
        </w:tc>
        <w:tc>
          <w:tcPr>
            <w:tcW w:type="dxa" w:w="22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Recurso</w:t>
            </w:r>
          </w:p>
        </w:tc>
        <w:tc>
          <w:tcPr>
            <w:tcW w:type="dxa" w:w="53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Detalle / SKU</w:t>
            </w:r>
          </w:p>
        </w:tc>
        <w:tc>
          <w:tcPr>
            <w:tcW w:type="dxa" w:w="14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Costo mensual (USD)</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OracleDBsrv</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A4 v2 (4 Cores, 8 GB RAM) x 730 Horas (Pay as you go), Linux,  (Pay as you go); 1 managed disk – E4;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$141.83</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64</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E6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$5.00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TTechDMS-PRD</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F4s (4 vCPUs, 8 GB RAM) x 730 Horas (Pay as you go), Windows (Licencia incluida), OS Only; 1 managed disk – P10;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$317.95</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P15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$34.56</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TTechDMS-QAS</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A4 v2 (4 Cores, 8 GB RAM) x 730 Horas (Pay as you go), Windows (Licencia incluida), OS Only; 1 managed disk – E10;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E20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$38.60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TTechGRP-PRD</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DS13 v2 (8 vCPUs, 56 GB RAM) x 730 Horas (Pay as you go), Windows (Licencia incluida), OS Only; 1 managed disk – E10;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$719.16</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 1</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E10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$9.80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 2</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E10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$9.80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512</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E20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$38.60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E4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$2.60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E6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$5.00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E15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$19.40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TTechGRP-QAS</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DS12 v2 (4 vCPUs, 28 GB RAM) x 730 Horas (Pay as you go), Windows (Licencia incluida), OS Only; 1 managed disk – P10; Inter Region transfer type, 5 GB outbound data transfer from South Central US to East Asia</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$372.70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512</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P20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$66.56</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P4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$4.80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P6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$9.28</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TTechGRPPRD0922</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DS13 v2 (8 vCPUs, 56 GB RAM) x 730 Horas (Pay as you go), Windows (Licencia incluida), OS Only; 1 managed disk – E10; Inter Region transfer type, 5 GB outbound data transfer from South Central US to East Asia</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$719.16</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128-1</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E10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$9.80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128-2</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E10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$9.80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512</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E20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$38.60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E4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$2.60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E6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$5.00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E6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$5.00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TTechSAP-DMS</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A4 v2 (4 Cores, 8 GB RAM) x 730 Horas (Pay as you go), Windows (Licencia incluida), OS Only; 1 managed disk – E10;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E15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$19.40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TTechSAP-ECC</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B4ms (4 Cores, 16 GB RAM) x 730 Horas (Pay as you go), Windows (Licencia incluida), OS Only; 1 managed disk – P10;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$175.60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512</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P20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$66.56</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P4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$4.80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TTechSAP-ECC</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A4 v2 (4 Cores, 8 GB RAM) x 730 Horas (Pay as you go), Windows (Licencia incluida), OS Only; 1 managed disk – E10;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E4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$2.60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Redes</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Private IP Addresses 10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Básico (ARM), 0 direcciones IP dinámicas X 730 Horas, 10 direcciones IP estáticas X 730 Horas</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$26.28</w:t>
            </w:r>
          </w:p>
        </w:tc>
      </w:tr>
      <w:tr>
        <w:tc>
          <w:tcPr>
            <w:tcW w:type="dxa" w:w="1500"/>
            <w:shd w:fill="DCE9F5"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
            </w:r>
          </w:p>
        </w:tc>
        <w:tc>
          <w:tcPr>
            <w:tcW w:type="dxa" w:w="2200"/>
            <w:shd w:fill="DCE9F5"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
            </w:r>
          </w:p>
        </w:tc>
        <w:tc>
          <w:tcPr>
            <w:tcW w:type="dxa" w:w="5300"/>
            <w:shd w:fill="DCE9F5"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Total estimado mensual (PAYG)</w:t>
            </w:r>
          </w:p>
        </w:tc>
        <w:tc>
          <w:tcPr>
            <w:tcW w:type="dxa" w:w="1400"/>
            <w:shd w:fill="DCE9F5" w:color="auto" w:val="clear"/>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$3625.58</w:t>
            </w:r>
          </w:p>
        </w:tc>
      </w:tr>
    </w:tbl>
    <w:p>
      <w:pPr>
        <w:spacing w:after="100" w:before="200"/>
      </w:pPr>
      <w:r>
        <w:rPr>
          <w:rFonts w:ascii="Calibri" w:cs="Calibri" w:eastAsia="Calibri" w:hAnsi="Calibri"/>
          <w:b/>
          <w:bCs/>
          <w:color w:val="262626"/>
          <w:sz w:val="18"/>
          <w:szCs w:val="18"/>
        </w:rPr>
        <w:t xml:space="preserve">Nota: </w:t>
      </w:r>
      <w:r>
        <w:rPr>
          <w:rFonts w:ascii="Calibri" w:cs="Calibri" w:eastAsia="Calibri" w:hAnsi="Calibri"/>
          <w:i/>
          <w:iCs/>
          <w:color w:val="262626"/>
          <w:sz w:val="18"/>
          <w:szCs w:val="18"/>
        </w:rPr>
        <w:t xml:space="preserve">los precios mostrados son en USD y corresponden a una estimación, no a una cotización en firme. Los costos del Tenant B deberán validarse nuevamente al momento del aprovisionamiento, ya que pueden variar por región, tipo de contrato (MCA/EA/CSP) o descuentos vigentes.</w:t>
      </w:r>
    </w:p>
    <w:p>
      <w:pPr>
        <w:pStyle w:val="Heading1"/>
        <w:pBdr>
          <w:bottom w:val="single" w:color="2E5395" w:sz="6" w:space="4"/>
        </w:pBdr>
        <w:spacing w:after="180" w:before="400"/>
      </w:pPr>
      <w:r>
        <w:rPr>
          <w:rFonts w:ascii="Calibri" w:cs="Calibri" w:eastAsia="Calibri" w:hAnsi="Calibri"/>
          <w:b/>
          <w:bCs/>
          <w:color w:val="1F3864"/>
          <w:sz w:val="30"/>
          <w:szCs w:val="30"/>
        </w:rPr>
        <w:t xml:space="preserve">14. Consideraciones Adicionales para la Implementación</w:t>
      </w:r>
    </w:p>
    <w:p>
      <w:pPr>
        <w:pStyle w:val="ListParagraph"/>
        <w:numPr>
          <w:ilvl w:val="0"/>
          <w:numId w:val="2"/>
        </w:numPr>
        <w:spacing w:after="80"/>
      </w:pPr>
      <w:r>
        <w:rPr>
          <w:rFonts w:ascii="Calibri" w:cs="Calibri" w:eastAsia="Calibri" w:hAnsi="Calibri"/>
          <w:color w:val="262626"/>
          <w:sz w:val="21"/>
          <w:szCs w:val="21"/>
        </w:rPr>
        <w:t xml:space="preserve">Definir con el cliente el tipo de contrato/licenciamiento del Tenant B (MCA, EA o CSP) antes de iniciar el aprovisionamiento, ya que impacta el proceso de facturación y soporte.</w:t>
      </w:r>
    </w:p>
    <w:p>
      <w:pPr>
        <w:pStyle w:val="ListParagraph"/>
        <w:numPr>
          <w:ilvl w:val="0"/>
          <w:numId w:val="2"/>
        </w:numPr>
        <w:spacing w:after="80"/>
      </w:pPr>
      <w:r>
        <w:rPr>
          <w:rFonts w:ascii="Calibri" w:cs="Calibri" w:eastAsia="Calibri" w:hAnsi="Calibri"/>
          <w:color w:val="262626"/>
          <w:sz w:val="21"/>
          <w:szCs w:val="21"/>
        </w:rPr>
        <w:t xml:space="preserve">Acordar una prueba piloto de migración con una VM no crítica (por ejemplo, un ambiente de QAS) antes de migrar los ambientes productivos, para validar el flujo completo (backup → Blob Storage intermedio → restore).</w:t>
      </w:r>
    </w:p>
    <w:p>
      <w:pPr>
        <w:pStyle w:val="ListParagraph"/>
        <w:numPr>
          <w:ilvl w:val="0"/>
          <w:numId w:val="2"/>
        </w:numPr>
        <w:spacing w:after="80"/>
      </w:pPr>
      <w:r>
        <w:rPr>
          <w:rFonts w:ascii="Calibri" w:cs="Calibri" w:eastAsia="Calibri" w:hAnsi="Calibri"/>
          <w:color w:val="262626"/>
          <w:sz w:val="21"/>
          <w:szCs w:val="21"/>
        </w:rPr>
        <w:t xml:space="preserve">Formalizar con el cliente, antes de iniciar, la matriz de deslinde de responsabilidades (sección 7.1), de forma que quede explícito que el proveedor entrega infraestructura y el cliente valida los aplicativos.</w:t>
      </w:r>
    </w:p>
    <w:p>
      <w:pPr>
        <w:pStyle w:val="ListParagraph"/>
        <w:numPr>
          <w:ilvl w:val="0"/>
          <w:numId w:val="2"/>
        </w:numPr>
        <w:spacing w:after="80"/>
      </w:pPr>
      <w:r>
        <w:rPr>
          <w:rFonts w:ascii="Calibri" w:cs="Calibri" w:eastAsia="Calibri" w:hAnsi="Calibri"/>
          <w:color w:val="262626"/>
          <w:sz w:val="21"/>
          <w:szCs w:val="21"/>
        </w:rPr>
        <w:t xml:space="preserve">Definir junto con el cliente/DBA si los backups de base de datos serán app-consistent (con ventana de detención de servicios) o crash-consistent, y dejarlo documentado en el runbook.</w:t>
      </w:r>
    </w:p>
    <w:p>
      <w:pPr>
        <w:pStyle w:val="ListParagraph"/>
        <w:numPr>
          <w:ilvl w:val="0"/>
          <w:numId w:val="2"/>
        </w:numPr>
        <w:spacing w:after="80"/>
      </w:pPr>
      <w:r>
        <w:rPr>
          <w:rFonts w:ascii="Calibri" w:cs="Calibri" w:eastAsia="Calibri" w:hAnsi="Calibri"/>
          <w:color w:val="262626"/>
          <w:sz w:val="21"/>
          <w:szCs w:val="21"/>
        </w:rPr>
        <w:t xml:space="preserve">Establecer un plan de comunicación a usuarios finales sobre la ventana de corte y posibles cambios (URLs, IPs, VPN), a cargo del cliente.</w:t>
      </w:r>
    </w:p>
    <w:p>
      <w:pPr>
        <w:pStyle w:val="ListParagraph"/>
        <w:numPr>
          <w:ilvl w:val="0"/>
          <w:numId w:val="2"/>
        </w:numPr>
        <w:spacing w:after="80"/>
      </w:pPr>
      <w:r>
        <w:rPr>
          <w:rFonts w:ascii="Calibri" w:cs="Calibri" w:eastAsia="Calibri" w:hAnsi="Calibri"/>
          <w:color w:val="262626"/>
          <w:sz w:val="21"/>
          <w:szCs w:val="21"/>
        </w:rPr>
        <w:t xml:space="preserve">Definir el periodo de convivencia (stand-by) del Tenant A posterior al corte, antes de proceder con el descomisionamiento definitivo.</w:t>
      </w:r>
    </w:p>
    <w:p>
      <w:pPr>
        <w:pStyle w:val="ListParagraph"/>
        <w:numPr>
          <w:ilvl w:val="0"/>
          <w:numId w:val="2"/>
        </w:numPr>
        <w:spacing w:after="80"/>
      </w:pPr>
      <w:r>
        <w:rPr>
          <w:rFonts w:ascii="Calibri" w:cs="Calibri" w:eastAsia="Calibri" w:hAnsi="Calibri"/>
          <w:color w:val="262626"/>
          <w:sz w:val="21"/>
          <w:szCs w:val="21"/>
        </w:rPr>
        <w:t xml:space="preserve">Documentar el runbook detallado (paso a paso, responsables y tiempos) para la ejecución de la ventana de cutover, incluyendo el punto de entrega de infraestructura al cliente para su validación funcional.</w:t>
      </w:r>
    </w:p>
    <w:p>
      <w:pPr>
        <w:pStyle w:val="ListParagraph"/>
        <w:numPr>
          <w:ilvl w:val="0"/>
          <w:numId w:val="2"/>
        </w:numPr>
        <w:spacing w:after="80"/>
      </w:pPr>
      <w:r>
        <w:rPr>
          <w:rFonts w:ascii="Calibri" w:cs="Calibri" w:eastAsia="Calibri" w:hAnsi="Calibri"/>
          <w:color w:val="262626"/>
          <w:sz w:val="21"/>
          <w:szCs w:val="21"/>
        </w:rPr>
        <w:t xml:space="preserve">Definir la política de retención y borrado seguro de los archivos de respaldo alojados en el Blob Storage intermedio, una vez concluida la migración.</w:t>
      </w:r>
    </w:p>
    <w:p>
      <w:pPr>
        <w:pStyle w:val="ListParagraph"/>
        <w:numPr>
          <w:ilvl w:val="0"/>
          <w:numId w:val="2"/>
        </w:numPr>
        <w:spacing w:after="80"/>
      </w:pPr>
      <w:r>
        <w:rPr>
          <w:rFonts w:ascii="Calibri" w:cs="Calibri" w:eastAsia="Calibri" w:hAnsi="Calibri"/>
          <w:color w:val="262626"/>
          <w:sz w:val="21"/>
          <w:szCs w:val="21"/>
        </w:rPr>
        <w:t xml:space="preserve">Considerar una revisión de oportunidades de optimización de costos (Reservas o Savings Plans) una vez estabilizado el ambiente en el Tenant B.</w:t>
      </w:r>
    </w:p>
    <w:p>
      <w:pPr>
        <w:pStyle w:val="Heading1"/>
        <w:pBdr>
          <w:bottom w:val="single" w:color="2E5395" w:sz="6" w:space="4"/>
        </w:pBdr>
        <w:spacing w:after="180" w:before="400"/>
      </w:pPr>
      <w:r>
        <w:rPr>
          <w:rFonts w:ascii="Calibri" w:cs="Calibri" w:eastAsia="Calibri" w:hAnsi="Calibri"/>
          <w:b/>
          <w:bCs/>
          <w:color w:val="1F3864"/>
          <w:sz w:val="30"/>
          <w:szCs w:val="30"/>
        </w:rPr>
        <w:t xml:space="preserve">15. Entregables</w:t>
      </w:r>
    </w:p>
    <w:p>
      <w:pPr>
        <w:pStyle w:val="ListParagraph"/>
        <w:numPr>
          <w:ilvl w:val="0"/>
          <w:numId w:val="2"/>
        </w:numPr>
        <w:spacing w:after="80"/>
      </w:pPr>
      <w:r>
        <w:rPr>
          <w:rFonts w:ascii="Calibri" w:cs="Calibri" w:eastAsia="Calibri" w:hAnsi="Calibri"/>
          <w:color w:val="262626"/>
          <w:sz w:val="21"/>
          <w:szCs w:val="21"/>
        </w:rPr>
        <w:t xml:space="preserve">Documento de Assessment del Tenant A (inventario, dependencias, volumetría).</w:t>
      </w:r>
    </w:p>
    <w:p>
      <w:pPr>
        <w:pStyle w:val="ListParagraph"/>
        <w:numPr>
          <w:ilvl w:val="0"/>
          <w:numId w:val="2"/>
        </w:numPr>
        <w:spacing w:after="80"/>
      </w:pPr>
      <w:r>
        <w:rPr>
          <w:rFonts w:ascii="Calibri" w:cs="Calibri" w:eastAsia="Calibri" w:hAnsi="Calibri"/>
          <w:color w:val="262626"/>
          <w:sz w:val="21"/>
          <w:szCs w:val="21"/>
        </w:rPr>
        <w:t xml:space="preserve">Matriz de deslinde de responsabilidades (RACI) formalizada con el cliente.</w:t>
      </w:r>
    </w:p>
    <w:p>
      <w:pPr>
        <w:pStyle w:val="ListParagraph"/>
        <w:numPr>
          <w:ilvl w:val="0"/>
          <w:numId w:val="2"/>
        </w:numPr>
        <w:spacing w:after="80"/>
      </w:pPr>
      <w:r>
        <w:rPr>
          <w:rFonts w:ascii="Calibri" w:cs="Calibri" w:eastAsia="Calibri" w:hAnsi="Calibri"/>
          <w:color w:val="262626"/>
          <w:sz w:val="21"/>
          <w:szCs w:val="21"/>
        </w:rPr>
        <w:t xml:space="preserve">Documento de arquitectura destino (Tenant B): red, seguridad, cómputo, almacenamiento y Blob Storage intermedio.</w:t>
      </w:r>
    </w:p>
    <w:p>
      <w:pPr>
        <w:pStyle w:val="ListParagraph"/>
        <w:numPr>
          <w:ilvl w:val="0"/>
          <w:numId w:val="2"/>
        </w:numPr>
        <w:spacing w:after="80"/>
      </w:pPr>
      <w:r>
        <w:rPr>
          <w:rFonts w:ascii="Calibri" w:cs="Calibri" w:eastAsia="Calibri" w:hAnsi="Calibri"/>
          <w:color w:val="262626"/>
          <w:sz w:val="21"/>
          <w:szCs w:val="21"/>
        </w:rPr>
        <w:t xml:space="preserve">Runbook de migración (backup por capas, copia al punto intermedio, restauración) por cada VM.</w:t>
      </w:r>
    </w:p>
    <w:p>
      <w:pPr>
        <w:pStyle w:val="ListParagraph"/>
        <w:numPr>
          <w:ilvl w:val="0"/>
          <w:numId w:val="2"/>
        </w:numPr>
        <w:spacing w:after="80"/>
      </w:pPr>
      <w:r>
        <w:rPr>
          <w:rFonts w:ascii="Calibri" w:cs="Calibri" w:eastAsia="Calibri" w:hAnsi="Calibri"/>
          <w:color w:val="262626"/>
          <w:sz w:val="21"/>
          <w:szCs w:val="21"/>
        </w:rPr>
        <w:t xml:space="preserve">Plan de cutover y plan de rollback a nivel de infraestructura.</w:t>
      </w:r>
    </w:p>
    <w:p>
      <w:pPr>
        <w:pStyle w:val="ListParagraph"/>
        <w:numPr>
          <w:ilvl w:val="0"/>
          <w:numId w:val="2"/>
        </w:numPr>
        <w:spacing w:after="80"/>
      </w:pPr>
      <w:r>
        <w:rPr>
          <w:rFonts w:ascii="Calibri" w:cs="Calibri" w:eastAsia="Calibri" w:hAnsi="Calibri"/>
          <w:color w:val="262626"/>
          <w:sz w:val="21"/>
          <w:szCs w:val="21"/>
        </w:rPr>
        <w:t xml:space="preserve">Reporte de validación de infraestructura (arranque de VMs y conectividad de red) en el Tenant B.</w:t>
      </w:r>
    </w:p>
    <w:p>
      <w:pPr>
        <w:pStyle w:val="ListParagraph"/>
        <w:numPr>
          <w:ilvl w:val="0"/>
          <w:numId w:val="2"/>
        </w:numPr>
        <w:spacing w:after="80"/>
      </w:pPr>
      <w:r>
        <w:rPr>
          <w:rFonts w:ascii="Calibri" w:cs="Calibri" w:eastAsia="Calibri" w:hAnsi="Calibri"/>
          <w:color w:val="262626"/>
          <w:sz w:val="21"/>
          <w:szCs w:val="21"/>
        </w:rPr>
        <w:t xml:space="preserve">Documentación as-built del ambiente final en el Tenant B.</w:t>
      </w:r>
    </w:p>
    <w:p>
      <w:pPr>
        <w:pStyle w:val="ListParagraph"/>
        <w:numPr>
          <w:ilvl w:val="0"/>
          <w:numId w:val="2"/>
        </w:numPr>
        <w:spacing w:after="80"/>
      </w:pPr>
      <w:r>
        <w:rPr>
          <w:rFonts w:ascii="Calibri" w:cs="Calibri" w:eastAsia="Calibri" w:hAnsi="Calibri"/>
          <w:color w:val="262626"/>
          <w:sz w:val="21"/>
          <w:szCs w:val="21"/>
        </w:rPr>
        <w:t xml:space="preserve">Reporte de cierre de proyecto y lecciones aprendidas (alcance de infraestructura).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62626"/>
        <w:sz w:val="16"/>
        <w:szCs w:val="16"/>
      </w:rPr>
      <w:t xml:space="preserve">Página </w:t>
    </w:r>
    <w:r>
      <w:rPr>
        <w:rFonts w:ascii="Calibri" w:cs="Calibri" w:eastAsia="Calibri" w:hAnsi="Calibri"/>
        <w:color w:val="262626"/>
        <w:sz w:val="16"/>
        <w:szCs w:val="16"/>
      </w:rPr>
      <w:fldChar w:fldCharType="begin"/>
      <w:instrText xml:space="preserve">PAGE</w:instrText>
      <w:fldChar w:fldCharType="separate"/>
      <w:fldChar w:fldCharType="end"/>
    </w:r>
    <w:r>
      <w:rPr>
        <w:rFonts w:ascii="Calibri" w:cs="Calibri" w:eastAsia="Calibri" w:hAnsi="Calibri"/>
        <w:color w:val="262626"/>
        <w:sz w:val="16"/>
        <w:szCs w:val="16"/>
      </w:rPr>
      <w:t xml:space="preserve"> de </w:t>
    </w:r>
    <w:r>
      <w:rPr>
        <w:rFonts w:ascii="Calibri" w:cs="Calibri" w:eastAsia="Calibri" w:hAnsi="Calibri"/>
        <w:color w:val="26262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9F5" w:sz="4" w:space="4"/>
      </w:pBdr>
      <w:tabs>
        <w:tab w:val="right" w:pos="9026"/>
      </w:tabs>
    </w:pPr>
    <w:r>
      <w:rPr>
        <w:rFonts w:ascii="Calibri" w:cs="Calibri" w:eastAsia="Calibri" w:hAnsi="Calibri"/>
        <w:color w:val="2E5395"/>
        <w:sz w:val="16"/>
        <w:szCs w:val="16"/>
      </w:rPr>
      <w:t xml:space="preserve">TotalTech – Migración Tenant a Tenant Azure</w:t>
    </w:r>
    <w:r>
      <w:rPr>
        <w:rFonts w:ascii="Calibri" w:cs="Calibri" w:eastAsia="Calibri" w:hAnsi="Calibri"/>
        <w:color w:val="2E5395"/>
        <w:sz w:val="16"/>
        <w:szCs w:val="16"/>
      </w:rPr>
      <w:t xml:space="preserve">	Propuesta de Servicios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2026-07-22T19:44:35.946Z</dcterms:created>
  <dcterms:modified xsi:type="dcterms:W3CDTF">2026-07-22T19:44:35.961Z</dcterms:modified>
</cp:coreProperties>
</file>

<file path=docProps/custom.xml><?xml version="1.0" encoding="utf-8"?>
<Properties xmlns="http://schemas.openxmlformats.org/officeDocument/2006/custom-properties" xmlns:vt="http://schemas.openxmlformats.org/officeDocument/2006/docPropsVTypes"/>
</file>