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3864"/>
          <w:sz w:val="56"/>
          <w:szCs w:val="56"/>
        </w:rPr>
        <w:t xml:space="preserve">PASO A PASO</w:t>
      </w:r>
    </w:p>
    <w:p>
      <w:pPr>
        <w:spacing w:after="400"/>
        <w:jc w:val="center"/>
      </w:pPr>
      <w:r>
        <w:rPr>
          <w:color w:val="2E74B5"/>
          <w:sz w:val="28"/>
          <w:szCs w:val="28"/>
        </w:rPr>
        <w:t xml:space="preserve">Configuración del tenant de Microsoft 365</w:t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Guía práctica de configuración inicial en el Centro de administración</w:t>
      </w:r>
    </w:p>
    <w:p>
      <w:pPr>
        <w:spacing w:before="800"/>
        <w:jc w:val="center"/>
      </w:pPr>
      <w:r>
        <w:rPr>
          <w:color w:val="595959"/>
          <w:sz w:val="18"/>
          <w:szCs w:val="18"/>
        </w:rPr>
        <w:t xml:space="preserve">21 de julio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Antes de comenzar</w:t>
      </w:r>
    </w:p>
    <w:p>
      <w:pPr>
        <w:spacing w:after="140"/>
      </w:pPr>
      <w:r>
        <w:rPr>
          <w:color w:val="262626"/>
          <w:sz w:val="21"/>
          <w:szCs w:val="21"/>
        </w:rPr>
        <w:t xml:space="preserve">Esta guía detalla el paso a paso técnico para configurar el tenant de Microsoft 365 recién contratado, usando el Centro de administración (admin.microsoft.com) y el Centro de administración de Azure Active Directory / Entra ID. Complementa la guía de onboarding y mejores prácticas ya entregada.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Cuenta</w:t>
            </w:r>
          </w:p>
        </w:tc>
        <w:tc>
          <w:tcPr>
            <w:tcW w:type="dxa" w:w="6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Administrador Global recibido al contratar el servicio</w:t>
            </w:r>
          </w:p>
        </w:tc>
      </w:tr>
      <w:tr>
        <w:tc>
          <w:tcPr>
            <w:tcW w:type="dxa" w:w="3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Acceso</w:t>
            </w:r>
          </w:p>
        </w:tc>
        <w:tc>
          <w:tcPr>
            <w:tcW w:type="dxa" w:w="61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admin.microsoft.com y entra.microsoft.com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Información previa</w:t>
            </w:r>
          </w:p>
        </w:tc>
        <w:tc>
          <w:tcPr>
            <w:tcW w:type="dxa" w:w="6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Nombre de dominio propio y acceso al panel DNS (GoDaddy, Cloudflare, etc.)</w:t>
            </w:r>
          </w:p>
        </w:tc>
      </w:tr>
      <w:tr>
        <w:tc>
          <w:tcPr>
            <w:tcW w:type="dxa" w:w="3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Tiempo estimado</w:t>
            </w:r>
          </w:p>
        </w:tc>
        <w:tc>
          <w:tcPr>
            <w:tcW w:type="dxa" w:w="61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2 a 4 horas (sin contar la propagación DNS, hasta 48 h)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Acceso inicial y cambio de contraseña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Ingresar a https://admin.microsoft.com con el usuario y la contraseña temporal proporcionados por Microsoft o el distribuidor.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El sistema solicitará cambiar la contraseña temporal; usar una contraseña robusta (mínimo 14 caracteres, combinación de mayúsculas, minúsculas, números y símbolos).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Configurar de inmediato la verificación en dos pasos para esta cuenta administrativa (se detalla en la sección 5).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Guardar las credenciales en un gestor de contraseñas empresarial (no en correo ni hojas de cálculo).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Configurar el dominio propio</w:t>
      </w:r>
    </w:p>
    <w:p>
      <w:pPr>
        <w:spacing w:after="160"/>
      </w:pPr>
      <w:r>
        <w:rPr>
          <w:b/>
          <w:bCs/>
          <w:color w:val="595959"/>
          <w:sz w:val="19"/>
          <w:szCs w:val="19"/>
        </w:rPr>
        <w:t xml:space="preserve">Ruta: </w:t>
      </w:r>
      <w:r>
        <w:rPr>
          <w:i/>
          <w:iCs/>
          <w:color w:val="595959"/>
          <w:sz w:val="19"/>
          <w:szCs w:val="19"/>
        </w:rPr>
        <w:t xml:space="preserve">Configuración → Dominios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En el menú lateral, ir a Configuración &gt; Dominios y seleccionar Agregar dominio.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Escribir el nombre del dominio (ejemplo: empresa.com) y continuar.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Microsoft mostrará un registro TXT (o MX) de verificación; copiarlo.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Entrar al panel DNS del proveedor donde está registrado el dominio (GoDaddy, Cloudflare, Namecheap, etc.) y agregar el registro TXT proporcionado.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Regresar al Centro de administración y presionar Verificar (la propagación puede tardar desde minutos hasta 48 horas).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Una vez verificado, Microsoft sugiere automáticamente los registros DNS necesarios para correo y servicios; agregarlos todos: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color w:val="262626"/>
          <w:sz w:val="21"/>
          <w:szCs w:val="21"/>
        </w:rPr>
        <w:t xml:space="preserve">MX — para el enrutamiento de correo a Exchange Online.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color w:val="262626"/>
          <w:sz w:val="21"/>
          <w:szCs w:val="21"/>
        </w:rPr>
        <w:t xml:space="preserve">SPF (registro TXT) — autoriza a Microsoft a enviar correo en nombre del dominio.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color w:val="262626"/>
          <w:sz w:val="21"/>
          <w:szCs w:val="21"/>
        </w:rPr>
        <w:t xml:space="preserve">DKIM (2 registros CNAME) — firma criptográfica de los mensajes salientes.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color w:val="262626"/>
          <w:sz w:val="21"/>
          <w:szCs w:val="21"/>
        </w:rPr>
        <w:t xml:space="preserve">Autodiscover (CNAME) — configuración automática de Outlook.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Marcar el dominio nuevo como Dominio predeterminado para que las cuentas nuevas usen @empresa.com en vez de @empresa.onmicrosoft.com.</w:t>
      </w:r>
    </w:p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💡 DKIM</w:t>
            </w:r>
          </w:p>
          <w:p>
            <w:r>
              <w:rPr>
                <w:color w:val="333333"/>
                <w:sz w:val="20"/>
                <w:szCs w:val="20"/>
              </w:rPr>
              <w:t xml:space="preserve">Después de verificar el dominio, entrar a Seguridad de Microsoft 365 (security.microsoft.com) → Directivas y reglas → Directiva de amenazas → Firma DKIM, y habilitarlo manualmente; no siempre se activa solo.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Crear cuentas de usuario y asignar licencias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 Alta individual</w:t>
      </w:r>
    </w:p>
    <w:p>
      <w:pPr>
        <w:spacing w:after="160"/>
      </w:pPr>
      <w:r>
        <w:rPr>
          <w:b/>
          <w:bCs/>
          <w:color w:val="595959"/>
          <w:sz w:val="19"/>
          <w:szCs w:val="19"/>
        </w:rPr>
        <w:t xml:space="preserve">Ruta: </w:t>
      </w:r>
      <w:r>
        <w:rPr>
          <w:i/>
          <w:iCs/>
          <w:color w:val="595959"/>
          <w:sz w:val="19"/>
          <w:szCs w:val="19"/>
        </w:rPr>
        <w:t xml:space="preserve">Usuarios → Usuarios activos → Agregar un usuario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Ir a Usuarios &gt; Usuarios activos y hacer clic en Agregar un usuario.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Capturar nombre, apellido, nombre para mostrar y nombre de usuario siguiendo la convención definida (ejemplo: juan.perez@empresa.com).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Completar los campos de perfil: puesto, departamento, oficina y número telefónico.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En la pantalla de contraseña, dejar la opción de "Requerir cambio de contraseña al iniciar sesión" activada.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Asignar la licencia correspondiente (Microsoft 365 Business Basic/Standard/Premium, según el puesto).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Definir los permisos de administrador solo si el usuario lo requiere; de lo contrario, dejar como usuario estándar.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Finalizar y enviar (o anotar) la contraseña temporal de forma segura al usuario.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 Alta masiva (varios usuarios)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En Usuarios activos, seleccionar Agregar varios usuarios.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Descargar la plantilla CSV proporcionada por Microsoft.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Llenar la plantilla respetando la convención de nombres de usuario y guardarla.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Subir el archivo CSV, asignar licencias en lote y confirmar.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3.3 Sincronización con Directorio Activo local (opcional)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Si existe un Active Directory local, instalar Azure AD Connect en un servidor miembro del dominio.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Seleccionar el tipo de inicio de sesión (recomendado: autenticación de paso a través o federación con ADFS).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Elegir los dominios/OUs a sincronizar y ejecutar la sincronización inicial.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Verificar en Entra ID que los usuarios aparezcan con el origen "Sincronizado con Active Directory local".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Configurar administradores y roles</w:t>
      </w:r>
    </w:p>
    <w:p>
      <w:pPr>
        <w:spacing w:after="160"/>
      </w:pPr>
      <w:r>
        <w:rPr>
          <w:b/>
          <w:bCs/>
          <w:color w:val="595959"/>
          <w:sz w:val="19"/>
          <w:szCs w:val="19"/>
        </w:rPr>
        <w:t xml:space="preserve">Ruta: </w:t>
      </w:r>
      <w:r>
        <w:rPr>
          <w:i/>
          <w:iCs/>
          <w:color w:val="595959"/>
          <w:sz w:val="19"/>
          <w:szCs w:val="19"/>
        </w:rPr>
        <w:t xml:space="preserve">Entra ID (entra.microsoft.com) → Roles y administradores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Crear al menos dos cuentas adicionales de Administrador Global de emergencia ("break-glass"), con nombres no obvios (evitar "admin").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Excluir estas cuentas de las políticas de Acceso Condicional y de expiración de contraseña, y guardar sus credenciales impresas o en una caja fuerte física.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Para el resto del personal de TI, ir a Roles y administradores y asignar roles específicos según su función: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color w:val="262626"/>
          <w:sz w:val="21"/>
          <w:szCs w:val="21"/>
        </w:rPr>
        <w:t xml:space="preserve">Administrador de usuarios — altas, bajas y restablecimiento de contraseñas.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color w:val="262626"/>
          <w:sz w:val="21"/>
          <w:szCs w:val="21"/>
        </w:rPr>
        <w:t xml:space="preserve">Administrador de Exchange — gestión de correo y buzones.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color w:val="262626"/>
          <w:sz w:val="21"/>
          <w:szCs w:val="21"/>
        </w:rPr>
        <w:t xml:space="preserve">Administrador de SharePoint — gestión de sitios y OneDrive.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color w:val="262626"/>
          <w:sz w:val="21"/>
          <w:szCs w:val="21"/>
        </w:rPr>
        <w:t xml:space="preserve">Lector de seguridad — solo consulta de alertas e informes.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Si se cuenta con licencia Azure AD Premium P2, activar Privileged Identity Management (PIM) para que los roles críticos se activen solo temporalmente y con aprobación.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Configurar seguridad (MFA y Acceso Condicional)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 Habilitar MFA</w:t>
      </w:r>
    </w:p>
    <w:p>
      <w:pPr>
        <w:spacing w:after="160"/>
      </w:pPr>
      <w:r>
        <w:rPr>
          <w:b/>
          <w:bCs/>
          <w:color w:val="595959"/>
          <w:sz w:val="19"/>
          <w:szCs w:val="19"/>
        </w:rPr>
        <w:t xml:space="preserve">Ruta: </w:t>
      </w:r>
      <w:r>
        <w:rPr>
          <w:i/>
          <w:iCs/>
          <w:color w:val="595959"/>
          <w:sz w:val="19"/>
          <w:szCs w:val="19"/>
        </w:rPr>
        <w:t xml:space="preserve">Entra ID → Seguridad → Métodos de autenticación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Ir a Entra ID &gt; Protección &gt; Métodos de autenticación y habilitar Microsoft Authenticator como método principal.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Deshabilitar SMS y llamada de voz como métodos primarios si es posible (dejarlos solo de respaldo).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Comunicar a los usuarios que, en su primer inicio de sesión, deberán registrar el método de autenticación desde aka.ms/mfasetup.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 Directivas de Acceso Condicional</w:t>
      </w:r>
    </w:p>
    <w:p>
      <w:pPr>
        <w:spacing w:after="160"/>
      </w:pPr>
      <w:r>
        <w:rPr>
          <w:b/>
          <w:bCs/>
          <w:color w:val="595959"/>
          <w:sz w:val="19"/>
          <w:szCs w:val="19"/>
        </w:rPr>
        <w:t xml:space="preserve">Ruta: </w:t>
      </w:r>
      <w:r>
        <w:rPr>
          <w:i/>
          <w:iCs/>
          <w:color w:val="595959"/>
          <w:sz w:val="19"/>
          <w:szCs w:val="19"/>
        </w:rPr>
        <w:t xml:space="preserve">Entra ID → Protección → Acceso Condicional → Nueva directiva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Crear una directiva que exija MFA para todos los usuarios al iniciar sesión (excluyendo las cuentas break-glass).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Crear una directiva que bloquee la autenticación heredada (POP, IMAP, SMTP básico).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Crear una directiva que exija dispositivo compatible o registrado (Intune) para acceder a Exchange y SharePoint desde equipos corporativos.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Probar cada directiva primero en modo "Solo informe" antes de activarla en "Habilitada", para evitar bloqueos accidentales.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 Protección contra amenazas</w:t>
      </w:r>
    </w:p>
    <w:p>
      <w:pPr>
        <w:spacing w:after="160"/>
      </w:pPr>
      <w:r>
        <w:rPr>
          <w:b/>
          <w:bCs/>
          <w:color w:val="595959"/>
          <w:sz w:val="19"/>
          <w:szCs w:val="19"/>
        </w:rPr>
        <w:t xml:space="preserve">Ruta: </w:t>
      </w:r>
      <w:r>
        <w:rPr>
          <w:i/>
          <w:iCs/>
          <w:color w:val="595959"/>
          <w:sz w:val="19"/>
          <w:szCs w:val="19"/>
        </w:rPr>
        <w:t xml:space="preserve">Seguridad de Microsoft 365 (security.microsoft.com)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Revisar y activar las directivas antiphishing, antimalware y de datos adjuntos seguros (Defender for Office 365, si está incluido en la licencia).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Configurar una directiva de prevención de pérdida de datos (DLP) básica para información como tarjetas de crédito o datos personales.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Revisar el Puntaje de seguridad (Secure Score) y atender las recomendaciones marcadas como prioritarias.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Configurar grupos, Teams y SharePoint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6.1 Grupos</w:t>
      </w:r>
    </w:p>
    <w:p>
      <w:pPr>
        <w:spacing w:after="160"/>
      </w:pPr>
      <w:r>
        <w:rPr>
          <w:b/>
          <w:bCs/>
          <w:color w:val="595959"/>
          <w:sz w:val="19"/>
          <w:szCs w:val="19"/>
        </w:rPr>
        <w:t xml:space="preserve">Ruta: </w:t>
      </w:r>
      <w:r>
        <w:rPr>
          <w:i/>
          <w:iCs/>
          <w:color w:val="595959"/>
          <w:sz w:val="19"/>
          <w:szCs w:val="19"/>
        </w:rPr>
        <w:t xml:space="preserve">Equipos y grupos → Grupos activos → Agregar un grupo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Crear los grupos de seguridad necesarios para permisos (ejemplo: grp-finanzas, grp-ti).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Crear los Grupos de Microsoft 365 para colaboración por departamento o proyecto.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Configurar en Configuración de grupos quién puede crear grupos nuevos (recomendado: restringir a TI o a un grupo aprobador).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6.2 Microsoft Teams</w:t>
      </w:r>
    </w:p>
    <w:p>
      <w:pPr>
        <w:spacing w:after="160"/>
      </w:pPr>
      <w:r>
        <w:rPr>
          <w:b/>
          <w:bCs/>
          <w:color w:val="595959"/>
          <w:sz w:val="19"/>
          <w:szCs w:val="19"/>
        </w:rPr>
        <w:t xml:space="preserve">Ruta: </w:t>
      </w:r>
      <w:r>
        <w:rPr>
          <w:i/>
          <w:iCs/>
          <w:color w:val="595959"/>
          <w:sz w:val="19"/>
          <w:szCs w:val="19"/>
        </w:rPr>
        <w:t xml:space="preserve">Centro de administración de Teams (admin.teams.microsoft.com)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Definir directivas de reuniones (grabación, transcripción, fondo difuminado) según las necesidades de la organización.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Configurar la directiva de mensajería (edición/eliminación de mensajes, GIFs, memes) según la cultura de la empresa.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Revisar la directiva de aplicaciones externas permitidas dentro de Teams.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6.3 SharePoint y OneDrive</w:t>
      </w:r>
    </w:p>
    <w:p>
      <w:pPr>
        <w:spacing w:after="160"/>
      </w:pPr>
      <w:r>
        <w:rPr>
          <w:b/>
          <w:bCs/>
          <w:color w:val="595959"/>
          <w:sz w:val="19"/>
          <w:szCs w:val="19"/>
        </w:rPr>
        <w:t xml:space="preserve">Ruta: </w:t>
      </w:r>
      <w:r>
        <w:rPr>
          <w:i/>
          <w:iCs/>
          <w:color w:val="595959"/>
          <w:sz w:val="19"/>
          <w:szCs w:val="19"/>
        </w:rPr>
        <w:t xml:space="preserve">Centro de administración de SharePoint (admin.microsoft.com/sharepoint)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Definir el nivel de uso compartido externo por defecto (recomendado: solo con invitación, no enlaces anónimos).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Crear la estructura inicial de sitios por departamento.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Configurar la retención y el límite de versiones de documentos en OneDrive.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Validación final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Enviar un correo de prueba entre dos usuarios internos y hacia un dominio externo, verificando entrega correcta.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Iniciar sesión con un usuario de prueba y confirmar que se solicita MFA.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Confirmar en Puntaje de seguridad que las recomendaciones críticas ya fueron aplicadas.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Validar que los registros DNS (SPF, DKIM, DMARC) estén correctamente publicados usando una herramienta como mxtoolbox.com.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1"/>
          <w:szCs w:val="21"/>
        </w:rPr>
        <w:t xml:space="preserve">Documentar toda la configuración realizada (dominios, roles asignados, directivas activas) para referencia futura del equipo de TI.</w:t>
      </w:r>
    </w:p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F0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✅ Listo para operar</w:t>
            </w:r>
          </w:p>
          <w:p>
            <w:r>
              <w:rPr>
                <w:color w:val="333333"/>
                <w:sz w:val="20"/>
                <w:szCs w:val="20"/>
              </w:rPr>
              <w:t xml:space="preserve">Con estos pasos completados, el tenant queda con una base segura para comenzar la migración de correo, la instalación de aplicaciones y la incorporación masiva de usuarios.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  <w:lvl w:ilvl="1" w15:tentative="1">
      <w:start w:val="1"/>
      <w:numFmt w:val="decimal"/>
      <w:lvlText w:val="%2.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Paso a paso — Configuración del tenant Microsoft 365</dc:title>
  <dc:creator>Guía M365</dc:creator>
  <cp:lastModifiedBy>Un-named</cp:lastModifiedBy>
  <cp:revision>1</cp:revision>
  <dcterms:created xsi:type="dcterms:W3CDTF">2026-07-21T06:07:29.389Z</dcterms:created>
  <dcterms:modified xsi:type="dcterms:W3CDTF">2026-07-21T06:07:29.390Z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