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80"/>
        <w:jc w:val="center"/>
      </w:pPr>
      <w:r>
        <w:rPr>
          <w:rFonts w:ascii="Arial" w:cs="Arial" w:eastAsia="Arial" w:hAnsi="Arial"/>
          <w:b/>
          <w:bCs/>
          <w:color w:val="1F3864"/>
          <w:sz w:val="52"/>
          <w:szCs w:val="52"/>
        </w:rPr>
        <w:t xml:space="preserve">PROPUESTA TÉCNICA</w:t>
      </w:r>
    </w:p>
    <w:p>
      <w:pPr>
        <w:spacing w:before="0" w:after="200"/>
        <w:jc w:val="center"/>
      </w:pPr>
      <w:r>
        <w:rPr>
          <w:rFonts w:ascii="Arial" w:cs="Arial" w:eastAsia="Arial" w:hAnsi="Arial"/>
          <w:color w:val="2E75B6"/>
          <w:sz w:val="28"/>
          <w:szCs w:val="28"/>
        </w:rPr>
        <w:t xml:space="preserve">Solución de Almacenamiento y Gestión de Accesos en Microsoft Azure</w:t>
      </w:r>
    </w:p>
    <w:p>
      <w:pPr>
        <w:pBdr>
          <w:bottom w:val="single" w:color="2E75B6" w:sz="8" w:space="8"/>
        </w:pBdr>
        <w:spacing w:before="0" w:after="400"/>
        <w:jc w:val="center"/>
      </w:pPr>
      <w:r>
        <w:rPr>
          <w:rFonts w:ascii="Arial" w:cs="Arial" w:eastAsia="Arial" w:hAnsi="Arial"/>
          <w:color w:val="555555"/>
          <w:sz w:val="22"/>
          <w:szCs w:val="22"/>
        </w:rPr>
        <w:t xml:space="preserve">Capacidad: 2 TB  |  Usuarios con Niveles de Acceso Diferenciados</w:t>
      </w:r>
    </w:p>
    <w:p>
      <w:pPr>
        <w:jc w:val="center"/>
      </w:pPr>
      <w:r>
        <w:rPr>
          <w:rFonts w:ascii="Arial" w:cs="Arial" w:eastAsia="Arial" w:hAnsi="Arial"/>
          <w:color w:val="888888"/>
          <w:sz w:val="20"/>
          <w:szCs w:val="20"/>
        </w:rPr>
        <w:t xml:space="preserve">Versión 1.0  –  2025</w:t>
      </w:r>
    </w:p>
    <w:p>
      <w:pPr>
        <w:spacing w:before="0" w:after="960"/>
      </w:pPr>
      <w:r>
        <w:t xml:space="preserve"/>
      </w:r>
    </w:p>
    <w:p>
      <w:pPr>
        <w:pStyle w:val="Heading1"/>
        <w:pBdr>
          <w:bottom w:val="single" w:color="2E75B6" w:sz="6" w:space="4"/>
        </w:pBdr>
        <w:spacing w:before="320" w:after="160"/>
      </w:pPr>
      <w:r>
        <w:rPr>
          <w:rFonts w:ascii="Arial" w:cs="Arial" w:eastAsia="Arial" w:hAnsi="Arial"/>
          <w:b/>
          <w:bCs/>
          <w:color w:val="1F3864"/>
          <w:sz w:val="28"/>
          <w:szCs w:val="28"/>
        </w:rPr>
        <w:t xml:space="preserve">1. Resumen Ejecutivo</w:t>
      </w:r>
    </w:p>
    <w:p>
      <w:pPr>
        <w:spacing w:before="80" w:after="80"/>
      </w:pPr>
      <w:r>
        <w:rPr>
          <w:rFonts w:ascii="Arial" w:cs="Arial" w:eastAsia="Arial" w:hAnsi="Arial"/>
          <w:sz w:val="22"/>
          <w:szCs w:val="22"/>
        </w:rPr>
        <w:t xml:space="preserve">Esta propuesta presenta una solución integral para el almacenamiento, gestión y acceso seguro de 2 TB de información corporativa en la nube de Microsoft Azure. La solución contempla datos de tipo documental (archivos de oficina), multimedia (imágenes y video) y datos mixtos, con un esquema de control de acceso basado en roles (RBAC) que garantiza seguridad, trazabilidad y cumplimiento.</w:t>
      </w:r>
    </w:p>
    <w:p>
      <w:pPr>
        <w:spacing w:before="0" w:after="120"/>
      </w:pPr>
      <w:r>
        <w:t xml:space="preserve"/>
      </w:r>
    </w:p>
    <w:p>
      <w:pPr>
        <w:spacing w:before="80" w:after="80"/>
      </w:pPr>
      <w:r>
        <w:rPr>
          <w:rFonts w:ascii="Arial" w:cs="Arial" w:eastAsia="Arial" w:hAnsi="Arial"/>
          <w:b/>
          <w:bCs/>
          <w:sz w:val="22"/>
          <w:szCs w:val="22"/>
        </w:rPr>
        <w:t xml:space="preserve">Los pilares de la propuesta son:</w:t>
      </w:r>
    </w:p>
    <w:p>
      <w:pPr>
        <w:pStyle w:val="ListParagraph"/>
        <w:numPr>
          <w:ilvl w:val="0"/>
          <w:numId w:val="2"/>
        </w:numPr>
        <w:spacing w:before="60" w:after="60"/>
      </w:pPr>
      <w:r>
        <w:rPr>
          <w:rFonts w:ascii="Arial" w:cs="Arial" w:eastAsia="Arial" w:hAnsi="Arial"/>
          <w:sz w:val="22"/>
          <w:szCs w:val="22"/>
        </w:rPr>
        <w:t xml:space="preserve">Almacenamiento escalable y seguro en la nube Azure</w:t>
      </w:r>
    </w:p>
    <w:p>
      <w:pPr>
        <w:pStyle w:val="ListParagraph"/>
        <w:numPr>
          <w:ilvl w:val="0"/>
          <w:numId w:val="2"/>
        </w:numPr>
        <w:spacing w:before="60" w:after="60"/>
      </w:pPr>
      <w:r>
        <w:rPr>
          <w:rFonts w:ascii="Arial" w:cs="Arial" w:eastAsia="Arial" w:hAnsi="Arial"/>
          <w:sz w:val="22"/>
          <w:szCs w:val="22"/>
        </w:rPr>
        <w:t xml:space="preserve">Control de acceso granular con Azure Active Directory (Entra ID)</w:t>
      </w:r>
    </w:p>
    <w:p>
      <w:pPr>
        <w:pStyle w:val="ListParagraph"/>
        <w:numPr>
          <w:ilvl w:val="0"/>
          <w:numId w:val="2"/>
        </w:numPr>
        <w:spacing w:before="60" w:after="60"/>
      </w:pPr>
      <w:r>
        <w:rPr>
          <w:rFonts w:ascii="Arial" w:cs="Arial" w:eastAsia="Arial" w:hAnsi="Arial"/>
          <w:sz w:val="22"/>
          <w:szCs w:val="22"/>
        </w:rPr>
        <w:t xml:space="preserve">Alta disponibilidad y redundancia de datos</w:t>
      </w:r>
    </w:p>
    <w:p>
      <w:pPr>
        <w:pStyle w:val="ListParagraph"/>
        <w:numPr>
          <w:ilvl w:val="0"/>
          <w:numId w:val="2"/>
        </w:numPr>
        <w:spacing w:before="60" w:after="60"/>
      </w:pPr>
      <w:r>
        <w:rPr>
          <w:rFonts w:ascii="Arial" w:cs="Arial" w:eastAsia="Arial" w:hAnsi="Arial"/>
          <w:sz w:val="22"/>
          <w:szCs w:val="22"/>
        </w:rPr>
        <w:t xml:space="preserve">Cumplimiento normativo y auditoría continua</w:t>
      </w:r>
    </w:p>
    <w:p>
      <w:pPr>
        <w:pStyle w:val="ListParagraph"/>
        <w:numPr>
          <w:ilvl w:val="0"/>
          <w:numId w:val="2"/>
        </w:numPr>
        <w:spacing w:before="60" w:after="60"/>
      </w:pPr>
      <w:r>
        <w:rPr>
          <w:rFonts w:ascii="Arial" w:cs="Arial" w:eastAsia="Arial" w:hAnsi="Arial"/>
          <w:sz w:val="22"/>
          <w:szCs w:val="22"/>
        </w:rPr>
        <w:t xml:space="preserve">Estimación de costos clara y optimizable</w:t>
      </w:r>
    </w:p>
    <w:p>
      <w:pPr>
        <w:spacing w:before="0" w:after="120"/>
      </w:pPr>
      <w:r>
        <w:t xml:space="preserve"/>
      </w:r>
    </w:p>
    <w:p>
      <w:pPr>
        <w:pStyle w:val="Heading1"/>
        <w:pBdr>
          <w:bottom w:val="single" w:color="2E75B6" w:sz="6" w:space="4"/>
        </w:pBdr>
        <w:spacing w:before="320" w:after="160"/>
      </w:pPr>
      <w:r>
        <w:rPr>
          <w:rFonts w:ascii="Arial" w:cs="Arial" w:eastAsia="Arial" w:hAnsi="Arial"/>
          <w:b/>
          <w:bCs/>
          <w:color w:val="1F3864"/>
          <w:sz w:val="28"/>
          <w:szCs w:val="28"/>
        </w:rPr>
        <w:t xml:space="preserve">2. Contexto y Alcance</w:t>
      </w:r>
    </w:p>
    <w:p>
      <w:pPr>
        <w:spacing w:before="80" w:after="80"/>
      </w:pPr>
      <w:r>
        <w:rPr>
          <w:rFonts w:ascii="Arial" w:cs="Arial" w:eastAsia="Arial" w:hAnsi="Arial"/>
          <w:sz w:val="22"/>
          <w:szCs w:val="22"/>
        </w:rPr>
        <w:t xml:space="preserve">La organización requiere migrar y gestionar 2 TB de información distribuida en tres categorías principales:</w:t>
      </w:r>
    </w:p>
    <w:p>
      <w:pPr>
        <w:spacing w:before="0" w:after="0"/>
      </w:pPr>
      <w:r>
        <w:t xml:space="preserve"/>
      </w:r>
    </w:p>
    <w:p>
      <w:pPr>
        <w:pStyle w:val="ListParagraph"/>
        <w:numPr>
          <w:ilvl w:val="0"/>
          <w:numId w:val="2"/>
        </w:numPr>
        <w:spacing w:before="60" w:after="60"/>
      </w:pPr>
      <w:r>
        <w:rPr>
          <w:rFonts w:ascii="Arial" w:cs="Arial" w:eastAsia="Arial" w:hAnsi="Arial"/>
          <w:sz w:val="22"/>
          <w:szCs w:val="22"/>
        </w:rPr>
        <w:t xml:space="preserve">Documentos y archivos de oficina (Word, Excel, PowerPoint, PDF)</w:t>
      </w:r>
    </w:p>
    <w:p>
      <w:pPr>
        <w:pStyle w:val="ListParagraph"/>
        <w:numPr>
          <w:ilvl w:val="0"/>
          <w:numId w:val="2"/>
        </w:numPr>
        <w:spacing w:before="60" w:after="60"/>
      </w:pPr>
      <w:r>
        <w:rPr>
          <w:rFonts w:ascii="Arial" w:cs="Arial" w:eastAsia="Arial" w:hAnsi="Arial"/>
          <w:sz w:val="22"/>
          <w:szCs w:val="22"/>
        </w:rPr>
        <w:t xml:space="preserve">Contenido multimedia: imágenes en alta resolución y archivos de video</w:t>
      </w:r>
    </w:p>
    <w:p>
      <w:pPr>
        <w:pStyle w:val="ListParagraph"/>
        <w:numPr>
          <w:ilvl w:val="0"/>
          <w:numId w:val="2"/>
        </w:numPr>
        <w:spacing w:before="60" w:after="60"/>
      </w:pPr>
      <w:r>
        <w:rPr>
          <w:rFonts w:ascii="Arial" w:cs="Arial" w:eastAsia="Arial" w:hAnsi="Arial"/>
          <w:sz w:val="22"/>
          <w:szCs w:val="22"/>
        </w:rPr>
        <w:t xml:space="preserve">Datos mixtos: combinaciones de los anteriores con potencial de crecimiento</w:t>
      </w:r>
    </w:p>
    <w:p>
      <w:pPr>
        <w:spacing w:before="0" w:after="120"/>
      </w:pPr>
      <w:r>
        <w:t xml:space="preserve"/>
      </w:r>
    </w:p>
    <w:p>
      <w:pPr>
        <w:spacing w:before="80" w:after="80"/>
      </w:pPr>
      <w:r>
        <w:rPr>
          <w:rFonts w:ascii="Arial" w:cs="Arial" w:eastAsia="Arial" w:hAnsi="Arial"/>
          <w:sz w:val="22"/>
          <w:szCs w:val="22"/>
        </w:rPr>
        <w:t xml:space="preserve">El alcance de esta propuesta incluye el diseño de la arquitectura de almacenamiento, la definición del modelo de acceso por roles, la estimación de costos y un plan de implementación por fases.</w:t>
      </w:r>
    </w:p>
    <w:p>
      <w:pPr>
        <w:spacing w:before="0" w:after="120"/>
      </w:pPr>
      <w:r>
        <w:t xml:space="preserve"/>
      </w:r>
    </w:p>
    <w:p>
      <w:pPr>
        <w:pStyle w:val="Heading1"/>
        <w:pBdr>
          <w:bottom w:val="single" w:color="2E75B6" w:sz="6" w:space="4"/>
        </w:pBdr>
        <w:spacing w:before="320" w:after="160"/>
      </w:pPr>
      <w:r>
        <w:rPr>
          <w:rFonts w:ascii="Arial" w:cs="Arial" w:eastAsia="Arial" w:hAnsi="Arial"/>
          <w:b/>
          <w:bCs/>
          <w:color w:val="1F3864"/>
          <w:sz w:val="28"/>
          <w:szCs w:val="28"/>
        </w:rPr>
        <w:t xml:space="preserve">3. Arquitectura de Almacenamiento Azure</w:t>
      </w:r>
    </w:p>
    <w:p>
      <w:pPr>
        <w:spacing w:before="80" w:after="80"/>
      </w:pPr>
      <w:r>
        <w:rPr>
          <w:rFonts w:ascii="Arial" w:cs="Arial" w:eastAsia="Arial" w:hAnsi="Arial"/>
          <w:sz w:val="22"/>
          <w:szCs w:val="22"/>
        </w:rPr>
        <w:t xml:space="preserve">Se propone una arquitectura multicapa que combina distintos servicios de Azure según el tipo de dato y el patrón de acceso:</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Servicio Azure</w:t>
            </w:r>
          </w:p>
        </w:tc>
        <w:tc>
          <w:tcPr>
            <w:tcW w:type="dxa" w:w="32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39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Caso de Uso</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Azure Blob Storage</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Almacenamiento de objetos escalable para datos no estructurados</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Documentos, imágenes, videos, backups</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Azure Files</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Recursos compartidos de archivos administrados en la nube (SMB/NFS)</w:t>
            </w:r>
          </w:p>
        </w:tc>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Archivos de oficina compartidos entre equipos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Azure Data Lake Storage Gen2</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Almacenamiento optimizado para análisis de big data</w:t>
            </w:r>
          </w:p>
        </w:tc>
        <w:tc>
          <w:tcPr>
            <w:tcW w:type="dxa" w:w="3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Datos estructurados y multimedia a gran escala</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Azure Media Services</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Codificación, transmisión y protección de contenido multimedia</w:t>
            </w:r>
          </w:p>
        </w:tc>
        <w:tc>
          <w:tcPr>
            <w:tcW w:type="dxa" w:w="39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Videos e imágenes con streaming seguro</w:t>
            </w:r>
          </w:p>
        </w:tc>
      </w:tr>
    </w:tbl>
    <w:p>
      <w:pPr>
        <w:spacing w:before="0" w:after="120"/>
      </w:pPr>
      <w:r>
        <w:t xml:space="preserve"/>
      </w:r>
    </w:p>
    <w:p>
      <w:pPr>
        <w:spacing w:before="80" w:after="80"/>
      </w:pPr>
      <w:r>
        <w:rPr>
          <w:rFonts w:ascii="Arial" w:cs="Arial" w:eastAsia="Arial" w:hAnsi="Arial"/>
          <w:i/>
          <w:iCs/>
          <w:color w:val="666666"/>
          <w:sz w:val="22"/>
          <w:szCs w:val="22"/>
        </w:rPr>
        <w:t xml:space="preserve">Nota: Los servicios pueden combinarse dentro de una misma cuenta de almacenamiento (Storage Account) organizada por contenedores y carpetas lógicas.</w:t>
      </w:r>
    </w:p>
    <w:p>
      <w:pPr>
        <w:spacing w:before="0" w:after="120"/>
      </w:pPr>
      <w:r>
        <w:t xml:space="preserve"/>
      </w:r>
    </w:p>
    <w:p>
      <w:pPr>
        <w:pStyle w:val="Heading2"/>
        <w:spacing w:before="240" w:after="120"/>
      </w:pPr>
      <w:r>
        <w:rPr>
          <w:rFonts w:ascii="Arial" w:cs="Arial" w:eastAsia="Arial" w:hAnsi="Arial"/>
          <w:b/>
          <w:bCs/>
          <w:color w:val="2E75B6"/>
          <w:sz w:val="24"/>
          <w:szCs w:val="24"/>
        </w:rPr>
        <w:t xml:space="preserve">3.1 Organización de Contenedores</w:t>
      </w:r>
    </w:p>
    <w:p>
      <w:pPr>
        <w:spacing w:before="80" w:after="80"/>
      </w:pPr>
      <w:r>
        <w:rPr>
          <w:rFonts w:ascii="Arial" w:cs="Arial" w:eastAsia="Arial" w:hAnsi="Arial"/>
          <w:sz w:val="22"/>
          <w:szCs w:val="22"/>
        </w:rPr>
        <w:t xml:space="preserve">Se recomienda la siguiente estructura lógica dentro de Azure Blob Storage:</w:t>
      </w:r>
    </w:p>
    <w:p>
      <w:pPr>
        <w:pStyle w:val="ListParagraph"/>
        <w:numPr>
          <w:ilvl w:val="0"/>
          <w:numId w:val="2"/>
        </w:numPr>
        <w:spacing w:before="60" w:after="60"/>
      </w:pPr>
      <w:r>
        <w:rPr>
          <w:rFonts w:ascii="Arial" w:cs="Arial" w:eastAsia="Arial" w:hAnsi="Arial"/>
          <w:sz w:val="22"/>
          <w:szCs w:val="22"/>
        </w:rPr>
        <w:t xml:space="preserve">/documentos-oficina  → Archivos de trabajo del día a día (Hot Tier)</w:t>
      </w:r>
    </w:p>
    <w:p>
      <w:pPr>
        <w:pStyle w:val="ListParagraph"/>
        <w:numPr>
          <w:ilvl w:val="0"/>
          <w:numId w:val="2"/>
        </w:numPr>
        <w:spacing w:before="60" w:after="60"/>
      </w:pPr>
      <w:r>
        <w:rPr>
          <w:rFonts w:ascii="Arial" w:cs="Arial" w:eastAsia="Arial" w:hAnsi="Arial"/>
          <w:sz w:val="22"/>
          <w:szCs w:val="22"/>
        </w:rPr>
        <w:t xml:space="preserve">/multimedia-imagenes → Imágenes de alta resolución (Cool Tier)</w:t>
      </w:r>
    </w:p>
    <w:p>
      <w:pPr>
        <w:pStyle w:val="ListParagraph"/>
        <w:numPr>
          <w:ilvl w:val="0"/>
          <w:numId w:val="2"/>
        </w:numPr>
        <w:spacing w:before="60" w:after="60"/>
      </w:pPr>
      <w:r>
        <w:rPr>
          <w:rFonts w:ascii="Arial" w:cs="Arial" w:eastAsia="Arial" w:hAnsi="Arial"/>
          <w:sz w:val="22"/>
          <w:szCs w:val="22"/>
        </w:rPr>
        <w:t xml:space="preserve">/multimedia-video    → Videos corporativos y de producción (Cool / Archive Tier)</w:t>
      </w:r>
    </w:p>
    <w:p>
      <w:pPr>
        <w:pStyle w:val="ListParagraph"/>
        <w:numPr>
          <w:ilvl w:val="0"/>
          <w:numId w:val="2"/>
        </w:numPr>
        <w:spacing w:before="60" w:after="60"/>
      </w:pPr>
      <w:r>
        <w:rPr>
          <w:rFonts w:ascii="Arial" w:cs="Arial" w:eastAsia="Arial" w:hAnsi="Arial"/>
          <w:sz w:val="22"/>
          <w:szCs w:val="22"/>
        </w:rPr>
        <w:t xml:space="preserve">/backups             → Copias de seguridad automáticas (Archive Tier)</w:t>
      </w:r>
    </w:p>
    <w:p>
      <w:pPr>
        <w:spacing w:before="0" w:after="120"/>
      </w:pPr>
      <w:r>
        <w:t xml:space="preserve"/>
      </w:r>
    </w:p>
    <w:p>
      <w:pPr>
        <w:pStyle w:val="Heading2"/>
        <w:spacing w:before="240" w:after="120"/>
      </w:pPr>
      <w:r>
        <w:rPr>
          <w:rFonts w:ascii="Arial" w:cs="Arial" w:eastAsia="Arial" w:hAnsi="Arial"/>
          <w:b/>
          <w:bCs/>
          <w:color w:val="2E75B6"/>
          <w:sz w:val="24"/>
          <w:szCs w:val="24"/>
        </w:rPr>
        <w:t xml:space="preserve">3.2 Redundancia y Disponibilidad</w:t>
      </w:r>
    </w:p>
    <w:p>
      <w:pPr>
        <w:pStyle w:val="ListParagraph"/>
        <w:numPr>
          <w:ilvl w:val="0"/>
          <w:numId w:val="2"/>
        </w:numPr>
        <w:spacing w:before="60" w:after="60"/>
      </w:pPr>
      <w:r>
        <w:rPr>
          <w:rFonts w:ascii="Arial" w:cs="Arial" w:eastAsia="Arial" w:hAnsi="Arial"/>
          <w:sz w:val="22"/>
          <w:szCs w:val="22"/>
        </w:rPr>
        <w:t xml:space="preserve">LRS (Locally Redundant Storage): 3 copias en el mismo datacenter. Ideal para datos no críticos.</w:t>
      </w:r>
    </w:p>
    <w:p>
      <w:pPr>
        <w:pStyle w:val="ListParagraph"/>
        <w:numPr>
          <w:ilvl w:val="0"/>
          <w:numId w:val="2"/>
        </w:numPr>
        <w:spacing w:before="60" w:after="60"/>
      </w:pPr>
      <w:r>
        <w:rPr>
          <w:rFonts w:ascii="Arial" w:cs="Arial" w:eastAsia="Arial" w:hAnsi="Arial"/>
          <w:sz w:val="22"/>
          <w:szCs w:val="22"/>
        </w:rPr>
        <w:t xml:space="preserve">ZRS (Zone Redundant Storage): Replicación en 3 zonas de disponibilidad. Recomendado para documentos críticos.</w:t>
      </w:r>
    </w:p>
    <w:p>
      <w:pPr>
        <w:pStyle w:val="ListParagraph"/>
        <w:numPr>
          <w:ilvl w:val="0"/>
          <w:numId w:val="2"/>
        </w:numPr>
        <w:spacing w:before="60" w:after="60"/>
      </w:pPr>
      <w:r>
        <w:rPr>
          <w:rFonts w:ascii="Arial" w:cs="Arial" w:eastAsia="Arial" w:hAnsi="Arial"/>
          <w:sz w:val="22"/>
          <w:szCs w:val="22"/>
        </w:rPr>
        <w:t xml:space="preserve">GRS (Geo-Redundant Storage): Replicación en región secundaria. Para datos de máxima importancia.</w:t>
      </w:r>
    </w:p>
    <w:p>
      <w:pPr>
        <w:spacing w:before="0" w:after="120"/>
      </w:pPr>
      <w:r>
        <w:t xml:space="preserve"/>
      </w:r>
    </w:p>
    <w:p>
      <w:pPr>
        <w:pStyle w:val="Heading1"/>
        <w:pBdr>
          <w:bottom w:val="single" w:color="2E75B6" w:sz="6" w:space="4"/>
        </w:pBdr>
        <w:spacing w:before="320" w:after="160"/>
      </w:pPr>
      <w:r>
        <w:rPr>
          <w:rFonts w:ascii="Arial" w:cs="Arial" w:eastAsia="Arial" w:hAnsi="Arial"/>
          <w:b/>
          <w:bCs/>
          <w:color w:val="1F3864"/>
          <w:sz w:val="28"/>
          <w:szCs w:val="28"/>
        </w:rPr>
        <w:t xml:space="preserve">4. Modelo de Acceso y Seguridad</w:t>
      </w:r>
    </w:p>
    <w:p>
      <w:pPr>
        <w:spacing w:before="80" w:after="80"/>
      </w:pPr>
      <w:r>
        <w:rPr>
          <w:rFonts w:ascii="Arial" w:cs="Arial" w:eastAsia="Arial" w:hAnsi="Arial"/>
          <w:sz w:val="22"/>
          <w:szCs w:val="22"/>
        </w:rPr>
        <w:t xml:space="preserve">Se propone un modelo de control de acceso basado en roles (RBAC) implementado con Azure Active Directory (Microsoft Entra ID). Dado que el número exacto de niveles aún está por definirse, se presenta un esquema flexible de 4 roles escalables que puede adaptarse a las necesidades de la organización: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60"/>
        <w:gridCol w:w="2800"/>
      </w:tblGrid>
      <w:tr>
        <w:tc>
          <w:tcPr>
            <w:tcW w:type="dxa" w:w="1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w:t>
            </w:r>
          </w:p>
        </w:tc>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Perfil</w:t>
            </w:r>
          </w:p>
        </w:tc>
        <w:tc>
          <w:tcPr>
            <w:tcW w:type="dxa" w:w="27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Permisos</w:t>
            </w:r>
          </w:p>
        </w:tc>
        <w:tc>
          <w:tcPr>
            <w:tcW w:type="dxa" w:w="28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Herramienta Azure</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Administrador Global</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 / Infraestructura</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Control total: crear, eliminar, configurar políticas, gestionar usuarios</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Azure AD – Rol: Owner / Contributor</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Editor / Colaborador</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Equipos de trabajo</w:t>
            </w:r>
          </w:p>
        </w:tc>
        <w:tc>
          <w:tcPr>
            <w:tcW w:type="dxa" w:w="2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Leer, cargar, modificar y eliminar archivos en sus contenedores asignados</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Azure AD – Rol: Storage Blob Data Contributor</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Lector / Visualizador</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Usuarios externos / auditores</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Solo lectura; sin capacidad de modificar o eliminar datos</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Azure AD – Rol: Storage Blob Data Reader</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Usuario Externo / Invitado</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Clientes / partners</w:t>
            </w:r>
          </w:p>
        </w:tc>
        <w:tc>
          <w:tcPr>
            <w:tcW w:type="dxa" w:w="2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Acceso temporal a recursos específicos mediante SAS tokens o Azure B2B</w:t>
            </w:r>
          </w:p>
        </w:tc>
        <w:tc>
          <w:tcPr>
            <w:tcW w:type="dxa" w:w="2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Azure AD B2B / Shared Access Signature</w:t>
            </w:r>
          </w:p>
        </w:tc>
      </w:tr>
    </w:tbl>
    <w:p>
      <w:pPr>
        <w:spacing w:before="0" w:after="120"/>
      </w:pPr>
      <w:r>
        <w:t xml:space="preserve"/>
      </w:r>
    </w:p>
    <w:p>
      <w:pPr>
        <w:pStyle w:val="Heading2"/>
        <w:spacing w:before="240" w:after="120"/>
      </w:pPr>
      <w:r>
        <w:rPr>
          <w:rFonts w:ascii="Arial" w:cs="Arial" w:eastAsia="Arial" w:hAnsi="Arial"/>
          <w:b/>
          <w:bCs/>
          <w:color w:val="2E75B6"/>
          <w:sz w:val="24"/>
          <w:szCs w:val="24"/>
        </w:rPr>
        <w:t xml:space="preserve">4.1 Mecanismos de Seguridad Recomendados</w:t>
      </w:r>
    </w:p>
    <w:p>
      <w:pPr>
        <w:pStyle w:val="ListParagraph"/>
        <w:numPr>
          <w:ilvl w:val="0"/>
          <w:numId w:val="2"/>
        </w:numPr>
        <w:spacing w:before="60" w:after="60"/>
      </w:pPr>
      <w:r>
        <w:rPr>
          <w:rFonts w:ascii="Arial" w:cs="Arial" w:eastAsia="Arial" w:hAnsi="Arial"/>
          <w:sz w:val="22"/>
          <w:szCs w:val="22"/>
        </w:rPr>
        <w:t xml:space="preserve">Autenticación multifactor (MFA) obligatoria para todos los usuarios</w:t>
      </w:r>
    </w:p>
    <w:p>
      <w:pPr>
        <w:pStyle w:val="ListParagraph"/>
        <w:numPr>
          <w:ilvl w:val="0"/>
          <w:numId w:val="2"/>
        </w:numPr>
        <w:spacing w:before="60" w:after="60"/>
      </w:pPr>
      <w:r>
        <w:rPr>
          <w:rFonts w:ascii="Arial" w:cs="Arial" w:eastAsia="Arial" w:hAnsi="Arial"/>
          <w:sz w:val="22"/>
          <w:szCs w:val="22"/>
        </w:rPr>
        <w:t xml:space="preserve">Conditional Access Policies: acceso solo desde dispositivos y ubicaciones autorizadas</w:t>
      </w:r>
    </w:p>
    <w:p>
      <w:pPr>
        <w:pStyle w:val="ListParagraph"/>
        <w:numPr>
          <w:ilvl w:val="0"/>
          <w:numId w:val="2"/>
        </w:numPr>
        <w:spacing w:before="60" w:after="60"/>
      </w:pPr>
      <w:r>
        <w:rPr>
          <w:rFonts w:ascii="Arial" w:cs="Arial" w:eastAsia="Arial" w:hAnsi="Arial"/>
          <w:sz w:val="22"/>
          <w:szCs w:val="22"/>
        </w:rPr>
        <w:t xml:space="preserve">Cifrado en reposo (AES-256) y en tránsito (TLS 1.2+) activado por defecto</w:t>
      </w:r>
    </w:p>
    <w:p>
      <w:pPr>
        <w:pStyle w:val="ListParagraph"/>
        <w:numPr>
          <w:ilvl w:val="0"/>
          <w:numId w:val="2"/>
        </w:numPr>
        <w:spacing w:before="60" w:after="60"/>
      </w:pPr>
      <w:r>
        <w:rPr>
          <w:rFonts w:ascii="Arial" w:cs="Arial" w:eastAsia="Arial" w:hAnsi="Arial"/>
          <w:sz w:val="22"/>
          <w:szCs w:val="22"/>
        </w:rPr>
        <w:t xml:space="preserve">Azure Private Endpoints para eliminar exposición a internet pública</w:t>
      </w:r>
    </w:p>
    <w:p>
      <w:pPr>
        <w:pStyle w:val="ListParagraph"/>
        <w:numPr>
          <w:ilvl w:val="0"/>
          <w:numId w:val="2"/>
        </w:numPr>
        <w:spacing w:before="60" w:after="60"/>
      </w:pPr>
      <w:r>
        <w:rPr>
          <w:rFonts w:ascii="Arial" w:cs="Arial" w:eastAsia="Arial" w:hAnsi="Arial"/>
          <w:sz w:val="22"/>
          <w:szCs w:val="22"/>
        </w:rPr>
        <w:t xml:space="preserve">Shared Access Signatures (SAS) con expiración para accesos temporales externos</w:t>
      </w:r>
    </w:p>
    <w:p>
      <w:pPr>
        <w:pStyle w:val="ListParagraph"/>
        <w:numPr>
          <w:ilvl w:val="0"/>
          <w:numId w:val="2"/>
        </w:numPr>
        <w:spacing w:before="60" w:after="60"/>
      </w:pPr>
      <w:r>
        <w:rPr>
          <w:rFonts w:ascii="Arial" w:cs="Arial" w:eastAsia="Arial" w:hAnsi="Arial"/>
          <w:sz w:val="22"/>
          <w:szCs w:val="22"/>
        </w:rPr>
        <w:t xml:space="preserve">Registros de auditoría con Azure Monitor y Microsoft Defender for Storage</w:t>
      </w:r>
    </w:p>
    <w:p>
      <w:pPr>
        <w:spacing w:before="0" w:after="120"/>
      </w:pPr>
      <w:r>
        <w:t xml:space="preserve"/>
      </w:r>
    </w:p>
    <w:p>
      <w:pPr>
        <w:pStyle w:val="Heading2"/>
        <w:spacing w:before="240" w:after="120"/>
      </w:pPr>
      <w:r>
        <w:rPr>
          <w:rFonts w:ascii="Arial" w:cs="Arial" w:eastAsia="Arial" w:hAnsi="Arial"/>
          <w:b/>
          <w:bCs/>
          <w:color w:val="2E75B6"/>
          <w:sz w:val="24"/>
          <w:szCs w:val="24"/>
        </w:rPr>
        <w:t xml:space="preserve">4.2 Gestión de Identidades</w:t>
      </w:r>
    </w:p>
    <w:p>
      <w:pPr>
        <w:spacing w:before="80" w:after="80"/>
      </w:pPr>
      <w:r>
        <w:rPr>
          <w:rFonts w:ascii="Arial" w:cs="Arial" w:eastAsia="Arial" w:hAnsi="Arial"/>
          <w:sz w:val="22"/>
          <w:szCs w:val="22"/>
        </w:rPr>
        <w:t xml:space="preserve">Se recomienda usar Azure AD grupos de seguridad para asignar permisos por departamento o proyecto, en lugar de asignar roles individualmente. Esto simplifica la administración cuando se incorporan o retiran usuarios.</w:t>
      </w:r>
    </w:p>
    <w:p>
      <w:pPr>
        <w:spacing w:before="0" w:after="120"/>
      </w:pPr>
      <w:r>
        <w:t xml:space="preserve"/>
      </w:r>
    </w:p>
    <w:p>
      <w:pPr>
        <w:pStyle w:val="Heading1"/>
        <w:pBdr>
          <w:bottom w:val="single" w:color="2E75B6" w:sz="6" w:space="4"/>
        </w:pBdr>
        <w:spacing w:before="320" w:after="160"/>
      </w:pPr>
      <w:r>
        <w:rPr>
          <w:rFonts w:ascii="Arial" w:cs="Arial" w:eastAsia="Arial" w:hAnsi="Arial"/>
          <w:b/>
          <w:bCs/>
          <w:color w:val="1F3864"/>
          <w:sz w:val="28"/>
          <w:szCs w:val="28"/>
        </w:rPr>
        <w:t xml:space="preserve">5. Estimación de Costos</w:t>
      </w:r>
    </w:p>
    <w:p>
      <w:pPr>
        <w:spacing w:before="80" w:after="80"/>
      </w:pPr>
      <w:r>
        <w:rPr>
          <w:rFonts w:ascii="Arial" w:cs="Arial" w:eastAsia="Arial" w:hAnsi="Arial"/>
          <w:sz w:val="22"/>
          <w:szCs w:val="22"/>
        </w:rPr>
        <w:t xml:space="preserve">Los valores a continuación son estimaciones referenciales basadas en precios públicos de Microsoft Azure (región East US / South Central US). Los costos finales dependerán de la región seleccionada, la frecuencia de acceso y el número de usuarios con licencia Azure AD.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360"/>
        <w:gridCol w:w="2000"/>
      </w:tblGrid>
      <w:tr>
        <w:tc>
          <w:tcPr>
            <w:tcW w:type="dxa" w:w="3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Componente</w:t>
            </w:r>
          </w:p>
        </w:tc>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 recomendado</w:t>
            </w:r>
          </w:p>
        </w:tc>
        <w:tc>
          <w:tcPr>
            <w:tcW w:type="dxa" w:w="23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Estimado mensual (USD)</w:t>
            </w:r>
          </w:p>
        </w:tc>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Notas</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Blob Storage – 2 TB</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Hot / Cool</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~$40 – $80</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Depende de frecuencia de acceso</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Azure Files – 2 TB</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Standard (LRS)</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~$61 – $120</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 redundancia local</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Azure AD (usuarios)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P1 / P2</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 – $9 / usuario/mes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Para MFA y Conditional Access</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Transferencia de datos salientes</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Standard</w:t>
            </w:r>
          </w:p>
        </w:tc>
        <w:tc>
          <w:tcPr>
            <w:tcW w:type="dxa" w:w="2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~$0.087 / GB</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Primeros 100 GB gratis</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Azure Backup (opcional)</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Standard</w:t>
            </w:r>
          </w:p>
        </w:tc>
        <w:tc>
          <w:tcPr>
            <w:tcW w:type="dxa" w:w="2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~$25 – $50</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Retención 30 días</w:t>
            </w:r>
          </w:p>
        </w:tc>
      </w:tr>
    </w:tbl>
    <w:p>
      <w:pPr>
        <w:spacing w:before="0" w:after="120"/>
      </w:pPr>
      <w:r>
        <w:t xml:space="preserve"/>
      </w:r>
    </w:p>
    <w:p>
      <w:pPr>
        <w:spacing w:before="80" w:after="80"/>
      </w:pPr>
      <w:r>
        <w:rPr>
          <w:rFonts w:ascii="Arial" w:cs="Arial" w:eastAsia="Arial" w:hAnsi="Arial"/>
          <w:b/>
          <w:bCs/>
          <w:sz w:val="22"/>
          <w:szCs w:val="22"/>
        </w:rPr>
        <w:t xml:space="preserve">Estimado total mensual (sin usuarios): $126 – $250 USD/mes (sin contar licencias de Azure AD por usuario).</w:t>
      </w:r>
    </w:p>
    <w:p>
      <w:pPr>
        <w:spacing w:before="80" w:after="80"/>
      </w:pPr>
      <w:r>
        <w:rPr>
          <w:rFonts w:ascii="Arial" w:cs="Arial" w:eastAsia="Arial" w:hAnsi="Arial"/>
          <w:color w:val="555555"/>
          <w:sz w:val="22"/>
          <w:szCs w:val="22"/>
        </w:rPr>
        <w:t xml:space="preserve">Con Azure AD P1 para 50 usuarios: +$300 USD/mes adicionales.</w:t>
      </w:r>
    </w:p>
    <w:p>
      <w:pPr>
        <w:spacing w:before="0" w:after="120"/>
      </w:pPr>
      <w:r>
        <w:t xml:space="preserve"/>
      </w:r>
    </w:p>
    <w:p>
      <w:pPr>
        <w:spacing w:before="80" w:after="80"/>
      </w:pPr>
      <w:r>
        <w:rPr>
          <w:rFonts w:ascii="Arial" w:cs="Arial" w:eastAsia="Arial" w:hAnsi="Arial"/>
          <w:i/>
          <w:iCs/>
          <w:color w:val="555555"/>
          <w:sz w:val="22"/>
          <w:szCs w:val="22"/>
        </w:rPr>
        <w:t xml:space="preserve">Recomendación: Usar Azure Cost Management + Budgets para establecer alertas de gasto y optimizar tiers de almacenamiento según el patrón de acceso real.</w:t>
      </w:r>
    </w:p>
    <w:p>
      <w:pPr>
        <w:spacing w:before="0" w:after="120"/>
      </w:pPr>
      <w:r>
        <w:t xml:space="preserve"/>
      </w:r>
    </w:p>
    <w:p>
      <w:pPr>
        <w:pStyle w:val="Heading1"/>
        <w:pBdr>
          <w:bottom w:val="single" w:color="2E75B6" w:sz="6" w:space="4"/>
        </w:pBdr>
        <w:spacing w:before="320" w:after="160"/>
      </w:pPr>
      <w:r>
        <w:rPr>
          <w:rFonts w:ascii="Arial" w:cs="Arial" w:eastAsia="Arial" w:hAnsi="Arial"/>
          <w:b/>
          <w:bCs/>
          <w:color w:val="1F3864"/>
          <w:sz w:val="28"/>
          <w:szCs w:val="28"/>
        </w:rPr>
        <w:t xml:space="preserve">6. Plan de Implementación por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560"/>
        <w:gridCol w:w="2000"/>
      </w:tblGrid>
      <w:tr>
        <w:tc>
          <w:tcPr>
            <w:tcW w:type="dxa" w:w="14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Fase</w:t>
            </w:r>
          </w:p>
        </w:tc>
        <w:tc>
          <w:tcPr>
            <w:tcW w:type="dxa" w:w="24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Nombre</w:t>
            </w:r>
          </w:p>
        </w:tc>
        <w:tc>
          <w:tcPr>
            <w:tcW w:type="dxa" w:w="35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Actividades</w:t>
            </w:r>
          </w:p>
        </w:tc>
        <w:tc>
          <w:tcPr>
            <w:tcW w:type="dxa" w:w="20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Duración</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Fase 1</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Diseño y Planificación</w:t>
            </w:r>
          </w:p>
        </w:tc>
        <w:tc>
          <w:tcPr>
            <w:tcW w:type="dxa" w:w="3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Definir arquitectura, niveles de acceso, políticas de retención y seguridad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 – 2 semanas</w:t>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Fase 2</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Configuración Azure</w:t>
            </w:r>
          </w:p>
        </w:tc>
        <w:tc>
          <w:tcPr>
            <w:tcW w:type="dxa" w:w="3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Crear Storage Accounts, contenedores, grupos de recursos y Azure AD</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 – 2 semanas</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Fase 3</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Migración de Datos</w:t>
            </w:r>
          </w:p>
        </w:tc>
        <w:tc>
          <w:tcPr>
            <w:tcW w:type="dxa" w:w="3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Carga de los 2 TB usando AzCopy, Azure Data Box o Azure Migrate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 – 4 semanas</w:t>
            </w:r>
          </w:p>
        </w:tc>
      </w:tr>
      <w:tr>
        <w:tc>
          <w:tcPr>
            <w:tcW w:type="dxa" w:w="1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Fase 4</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Gestión de Accesos</w:t>
            </w:r>
          </w:p>
        </w:tc>
        <w:tc>
          <w:tcPr>
            <w:tcW w:type="dxa" w:w="3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Asignar roles RBAC, configurar MFA, políticas de Conditional Access</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 semana</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Fase 5</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Pruebas y Go-Live</w:t>
            </w:r>
          </w:p>
        </w:tc>
        <w:tc>
          <w:tcPr>
            <w:tcW w:type="dxa" w:w="3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Validación de accesos, pruebas de seguridad, capacitación a usuarios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 semana</w:t>
            </w:r>
          </w:p>
        </w:tc>
      </w:tr>
    </w:tbl>
    <w:p>
      <w:pPr>
        <w:spacing w:before="0" w:after="120"/>
      </w:pPr>
      <w:r>
        <w:t xml:space="preserve"/>
      </w:r>
    </w:p>
    <w:p>
      <w:pPr>
        <w:pStyle w:val="Heading1"/>
        <w:pBdr>
          <w:bottom w:val="single" w:color="2E75B6" w:sz="6" w:space="4"/>
        </w:pBdr>
        <w:spacing w:before="320" w:after="160"/>
      </w:pPr>
      <w:r>
        <w:rPr>
          <w:rFonts w:ascii="Arial" w:cs="Arial" w:eastAsia="Arial" w:hAnsi="Arial"/>
          <w:b/>
          <w:bCs/>
          <w:color w:val="1F3864"/>
          <w:sz w:val="28"/>
          <w:szCs w:val="28"/>
        </w:rPr>
        <w:t xml:space="preserve">7. Herramientas de Gestión y Monitoreo</w:t>
      </w:r>
    </w:p>
    <w:p>
      <w:pPr>
        <w:pStyle w:val="ListParagraph"/>
        <w:numPr>
          <w:ilvl w:val="0"/>
          <w:numId w:val="2"/>
        </w:numPr>
        <w:spacing w:before="60" w:after="60"/>
      </w:pPr>
      <w:r>
        <w:rPr>
          <w:rFonts w:ascii="Arial" w:cs="Arial" w:eastAsia="Arial" w:hAnsi="Arial"/>
          <w:b/>
          <w:bCs/>
          <w:sz w:val="22"/>
          <w:szCs w:val="22"/>
        </w:rPr>
        <w:t xml:space="preserve">Administración central de todos los recursos: </w:t>
      </w:r>
      <w:r>
        <w:rPr>
          <w:rFonts w:ascii="Arial" w:cs="Arial" w:eastAsia="Arial" w:hAnsi="Arial"/>
          <w:sz w:val="22"/>
          <w:szCs w:val="22"/>
        </w:rPr>
        <w:t xml:space="preserve">Azure Portal</w:t>
      </w:r>
    </w:p>
    <w:p>
      <w:pPr>
        <w:pStyle w:val="ListParagraph"/>
        <w:numPr>
          <w:ilvl w:val="0"/>
          <w:numId w:val="2"/>
        </w:numPr>
        <w:spacing w:before="60" w:after="60"/>
      </w:pPr>
      <w:r>
        <w:rPr>
          <w:rFonts w:ascii="Arial" w:cs="Arial" w:eastAsia="Arial" w:hAnsi="Arial"/>
          <w:b/>
          <w:bCs/>
          <w:sz w:val="22"/>
          <w:szCs w:val="22"/>
        </w:rPr>
        <w:t xml:space="preserve">Gestión visual de archivos y contenedores: </w:t>
      </w:r>
      <w:r>
        <w:rPr>
          <w:rFonts w:ascii="Arial" w:cs="Arial" w:eastAsia="Arial" w:hAnsi="Arial"/>
          <w:sz w:val="22"/>
          <w:szCs w:val="22"/>
        </w:rPr>
        <w:t xml:space="preserve">Azure Storage Explorer</w:t>
      </w:r>
    </w:p>
    <w:p>
      <w:pPr>
        <w:pStyle w:val="ListParagraph"/>
        <w:numPr>
          <w:ilvl w:val="0"/>
          <w:numId w:val="2"/>
        </w:numPr>
        <w:spacing w:before="60" w:after="60"/>
      </w:pPr>
      <w:r>
        <w:rPr>
          <w:rFonts w:ascii="Arial" w:cs="Arial" w:eastAsia="Arial" w:hAnsi="Arial"/>
          <w:b/>
          <w:bCs/>
          <w:sz w:val="22"/>
          <w:szCs w:val="22"/>
        </w:rPr>
        <w:t xml:space="preserve">Control de identidades y accesos: </w:t>
      </w:r>
      <w:r>
        <w:rPr>
          <w:rFonts w:ascii="Arial" w:cs="Arial" w:eastAsia="Arial" w:hAnsi="Arial"/>
          <w:sz w:val="22"/>
          <w:szCs w:val="22"/>
        </w:rPr>
        <w:t xml:space="preserve">Microsoft Entra ID (Azure AD)</w:t>
      </w:r>
    </w:p>
    <w:p>
      <w:pPr>
        <w:pStyle w:val="ListParagraph"/>
        <w:numPr>
          <w:ilvl w:val="0"/>
          <w:numId w:val="2"/>
        </w:numPr>
        <w:spacing w:before="60" w:after="60"/>
      </w:pPr>
      <w:r>
        <w:rPr>
          <w:rFonts w:ascii="Arial" w:cs="Arial" w:eastAsia="Arial" w:hAnsi="Arial"/>
          <w:b/>
          <w:bCs/>
          <w:sz w:val="22"/>
          <w:szCs w:val="22"/>
        </w:rPr>
        <w:t xml:space="preserve">Métricas de uso, alertas y diagnósticos: </w:t>
      </w:r>
      <w:r>
        <w:rPr>
          <w:rFonts w:ascii="Arial" w:cs="Arial" w:eastAsia="Arial" w:hAnsi="Arial"/>
          <w:sz w:val="22"/>
          <w:szCs w:val="22"/>
        </w:rPr>
        <w:t xml:space="preserve">Azure Monitor</w:t>
      </w:r>
    </w:p>
    <w:p>
      <w:pPr>
        <w:pStyle w:val="ListParagraph"/>
        <w:numPr>
          <w:ilvl w:val="0"/>
          <w:numId w:val="2"/>
        </w:numPr>
        <w:spacing w:before="60" w:after="60"/>
      </w:pPr>
      <w:r>
        <w:rPr>
          <w:rFonts w:ascii="Arial" w:cs="Arial" w:eastAsia="Arial" w:hAnsi="Arial"/>
          <w:b/>
          <w:bCs/>
          <w:sz w:val="22"/>
          <w:szCs w:val="22"/>
        </w:rPr>
        <w:t xml:space="preserve">Detección de amenazas y malware en tiempo real: </w:t>
      </w:r>
      <w:r>
        <w:rPr>
          <w:rFonts w:ascii="Arial" w:cs="Arial" w:eastAsia="Arial" w:hAnsi="Arial"/>
          <w:sz w:val="22"/>
          <w:szCs w:val="22"/>
        </w:rPr>
        <w:t xml:space="preserve">Microsoft Defender for Storage</w:t>
      </w:r>
    </w:p>
    <w:p>
      <w:pPr>
        <w:pStyle w:val="ListParagraph"/>
        <w:numPr>
          <w:ilvl w:val="0"/>
          <w:numId w:val="2"/>
        </w:numPr>
        <w:spacing w:before="60" w:after="60"/>
      </w:pPr>
      <w:r>
        <w:rPr>
          <w:rFonts w:ascii="Arial" w:cs="Arial" w:eastAsia="Arial" w:hAnsi="Arial"/>
          <w:b/>
          <w:bCs/>
          <w:sz w:val="22"/>
          <w:szCs w:val="22"/>
        </w:rPr>
        <w:t xml:space="preserve">Control presupuestario y optimización de costos: </w:t>
      </w:r>
      <w:r>
        <w:rPr>
          <w:rFonts w:ascii="Arial" w:cs="Arial" w:eastAsia="Arial" w:hAnsi="Arial"/>
          <w:sz w:val="22"/>
          <w:szCs w:val="22"/>
        </w:rPr>
        <w:t xml:space="preserve">Azure Cost Management</w:t>
      </w:r>
    </w:p>
    <w:p>
      <w:pPr>
        <w:spacing w:before="0" w:after="120"/>
      </w:pPr>
      <w:r>
        <w:t xml:space="preserve"/>
      </w:r>
    </w:p>
    <w:p>
      <w:pPr>
        <w:pStyle w:val="Heading1"/>
        <w:pBdr>
          <w:bottom w:val="single" w:color="2E75B6" w:sz="6" w:space="4"/>
        </w:pBdr>
        <w:spacing w:before="320" w:after="160"/>
      </w:pPr>
      <w:r>
        <w:rPr>
          <w:rFonts w:ascii="Arial" w:cs="Arial" w:eastAsia="Arial" w:hAnsi="Arial"/>
          <w:b/>
          <w:bCs/>
          <w:color w:val="1F3864"/>
          <w:sz w:val="28"/>
          <w:szCs w:val="28"/>
        </w:rPr>
        <w:t xml:space="preserve">8. Recomendaciones Finales</w:t>
      </w:r>
    </w:p>
    <w:p>
      <w:pPr>
        <w:spacing w:before="80" w:after="80"/>
      </w:pPr>
      <w:r>
        <w:rPr>
          <w:rFonts w:ascii="Arial" w:cs="Arial" w:eastAsia="Arial" w:hAnsi="Arial"/>
          <w:sz w:val="22"/>
          <w:szCs w:val="22"/>
        </w:rPr>
        <w:t xml:space="preserve">Para garantizar el éxito de la implementación, se sugiere:</w:t>
      </w:r>
    </w:p>
    <w:p>
      <w:pPr>
        <w:pStyle w:val="ListParagraph"/>
        <w:numPr>
          <w:ilvl w:val="0"/>
          <w:numId w:val="2"/>
        </w:numPr>
        <w:spacing w:before="60" w:after="60"/>
      </w:pPr>
      <w:r>
        <w:rPr>
          <w:rFonts w:ascii="Arial" w:cs="Arial" w:eastAsia="Arial" w:hAnsi="Arial"/>
          <w:sz w:val="22"/>
          <w:szCs w:val="22"/>
        </w:rPr>
        <w:t xml:space="preserve">Definir formalmente los niveles de acceso con los responsables de cada área antes de iniciar la configuración.</w:t>
      </w:r>
    </w:p>
    <w:p>
      <w:pPr>
        <w:pStyle w:val="ListParagraph"/>
        <w:numPr>
          <w:ilvl w:val="0"/>
          <w:numId w:val="2"/>
        </w:numPr>
        <w:spacing w:before="60" w:after="60"/>
      </w:pPr>
      <w:r>
        <w:rPr>
          <w:rFonts w:ascii="Arial" w:cs="Arial" w:eastAsia="Arial" w:hAnsi="Arial"/>
          <w:sz w:val="22"/>
          <w:szCs w:val="22"/>
        </w:rPr>
        <w:t xml:space="preserve">Comenzar con un piloto de 100 GB antes de la migración total de 2 TB.</w:t>
      </w:r>
    </w:p>
    <w:p>
      <w:pPr>
        <w:pStyle w:val="ListParagraph"/>
        <w:numPr>
          <w:ilvl w:val="0"/>
          <w:numId w:val="2"/>
        </w:numPr>
        <w:spacing w:before="60" w:after="60"/>
      </w:pPr>
      <w:r>
        <w:rPr>
          <w:rFonts w:ascii="Arial" w:cs="Arial" w:eastAsia="Arial" w:hAnsi="Arial"/>
          <w:sz w:val="22"/>
          <w:szCs w:val="22"/>
        </w:rPr>
        <w:t xml:space="preserve">Clasificar los datos por sensibilidad (pública, interna, confidencial) para aplicar políticas de retención adecuadas.</w:t>
      </w:r>
    </w:p>
    <w:p>
      <w:pPr>
        <w:pStyle w:val="ListParagraph"/>
        <w:numPr>
          <w:ilvl w:val="0"/>
          <w:numId w:val="2"/>
        </w:numPr>
        <w:spacing w:before="60" w:after="60"/>
      </w:pPr>
      <w:r>
        <w:rPr>
          <w:rFonts w:ascii="Arial" w:cs="Arial" w:eastAsia="Arial" w:hAnsi="Arial"/>
          <w:sz w:val="22"/>
          <w:szCs w:val="22"/>
        </w:rPr>
        <w:t xml:space="preserve">Revisar y auditar los permisos de acceso trimestralmente.</w:t>
      </w:r>
    </w:p>
    <w:p>
      <w:pPr>
        <w:pStyle w:val="ListParagraph"/>
        <w:numPr>
          <w:ilvl w:val="0"/>
          <w:numId w:val="2"/>
        </w:numPr>
        <w:spacing w:before="60" w:after="60"/>
      </w:pPr>
      <w:r>
        <w:rPr>
          <w:rFonts w:ascii="Arial" w:cs="Arial" w:eastAsia="Arial" w:hAnsi="Arial"/>
          <w:sz w:val="22"/>
          <w:szCs w:val="22"/>
        </w:rPr>
        <w:t xml:space="preserve">Evaluar el uso de Azure Information Protection (AIP) para etiquetar y cifrar documentos sensibles.</w:t>
      </w:r>
    </w:p>
    <w:p>
      <w:pPr>
        <w:spacing w:before="0" w:after="120"/>
      </w:pPr>
      <w:r>
        <w:t xml:space="preserve"/>
      </w:r>
    </w:p>
    <w:p>
      <w:pPr>
        <w:pBdr>
          <w:top w:val="single" w:color="2E75B6" w:sz="6" w:space="8"/>
        </w:pBdr>
        <w:spacing w:before="400" w:after="80"/>
        <w:jc w:val="center"/>
      </w:pPr>
      <w:r>
        <w:rPr>
          <w:rFonts w:ascii="Arial" w:cs="Arial" w:eastAsia="Arial" w:hAnsi="Arial"/>
          <w:i/>
          <w:iCs/>
          <w:color w:val="666666"/>
          <w:sz w:val="20"/>
          <w:szCs w:val="20"/>
        </w:rPr>
        <w:t xml:space="preserve">Esta propuesta es un punto de partida y puede ajustarse según los requerimientos específicos del negocio.</w:t>
      </w:r>
    </w:p>
    <w:p>
      <w:pPr>
        <w:jc w:val="center"/>
      </w:pPr>
      <w:r>
        <w:rPr>
          <w:rFonts w:ascii="Arial" w:cs="Arial" w:eastAsia="Arial" w:hAnsi="Arial"/>
          <w:color w:val="888888"/>
          <w:sz w:val="20"/>
          <w:szCs w:val="20"/>
        </w:rPr>
        <w:t xml:space="preserve">Para más información o ajustes, contacte al equipo de arquitectura de soluciones.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6"/>
        <w:szCs w:val="16"/>
      </w:rPr>
      <w:t xml:space="preserve">Confidencial | </w:t>
    </w: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888888"/>
        <w:sz w:val="18"/>
        <w:szCs w:val="18"/>
      </w:rPr>
      <w:t xml:space="preserve">Propuesta Técnica – Almacenamiento Azure 2 TB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2026-03-04T04:04:41.126Z</dcterms:created>
  <dcterms:modified xsi:type="dcterms:W3CDTF">2026-03-04T04:04:41.127Z</dcterms:modified>
</cp:coreProperties>
</file>

<file path=docProps/custom.xml><?xml version="1.0" encoding="utf-8"?>
<Properties xmlns="http://schemas.openxmlformats.org/officeDocument/2006/custom-properties" xmlns:vt="http://schemas.openxmlformats.org/officeDocument/2006/docPropsVTypes"/>
</file>