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bCs/>
          <w:color w:val="003A6C"/>
          <w:sz w:val="48"/>
          <w:szCs w:val="48"/>
        </w:rPr>
        <w:t xml:space="preserve">PROPUESTA DE SERVICIOS</w:t>
      </w:r>
    </w:p>
    <w:p>
      <w:pPr>
        <w:spacing w:before="0" w:after="100"/>
      </w:pPr>
      <w:r>
        <w:rPr>
          <w:rFonts w:ascii="Arial" w:cs="Arial" w:eastAsia="Arial" w:hAnsi="Arial"/>
          <w:color w:val="444444"/>
          <w:sz w:val="30"/>
          <w:szCs w:val="30"/>
        </w:rPr>
        <w:t xml:space="preserve">Soluciones de Inteligencia Artificial con</w:t>
      </w:r>
    </w:p>
    <w:p>
      <w:pPr>
        <w:spacing w:before="0" w:after="300"/>
      </w:pPr>
      <w:r>
        <w:rPr>
          <w:rFonts w:ascii="Arial" w:cs="Arial" w:eastAsia="Arial" w:hAnsi="Arial"/>
          <w:b/>
          <w:bCs/>
          <w:color w:val="0078D4"/>
          <w:sz w:val="36"/>
          <w:szCs w:val="36"/>
        </w:rPr>
        <w:t xml:space="preserve">Microsoft Azure AI Foundry</w:t>
      </w:r>
    </w:p>
    <w:p>
      <w:pPr>
        <w:pBdr>
          <w:bottom w:val="single" w:color="50E6FF" w:sz="12" w:space="1"/>
        </w:pBdr>
        <w:spacing w:before="0" w:after="0"/>
      </w:pPr>
      <w:r>
        <w:t xml:space="preserve"/>
      </w:r>
    </w:p>
    <w:p>
      <w:pPr>
        <w:spacing w:before="0" w:after="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none" w:color="FFFFFF" w:sz="0"/>
              <w:left w:val="none" w:color="FFFFFF" w:sz="0"/>
              <w:bottom w:val="none" w:color="FFFFFF" w:sz="0"/>
              <w:right w:val="none" w:color="FFFFFF" w:sz="0"/>
            </w:tcBorders>
          </w:tcPr>
          <w:p>
            <w:r>
              <w:rPr>
                <w:rFonts w:ascii="Arial" w:cs="Arial" w:eastAsia="Arial" w:hAnsi="Arial"/>
                <w:color w:val="444444"/>
                <w:sz w:val="18"/>
                <w:szCs w:val="18"/>
              </w:rPr>
              <w:t xml:space="preserve">Preparado para:</w:t>
            </w:r>
          </w:p>
          <w:p>
            <w:r>
              <w:rPr>
                <w:rFonts w:ascii="Arial" w:cs="Arial" w:eastAsia="Arial" w:hAnsi="Arial"/>
                <w:b/>
                <w:bCs/>
                <w:color w:val="003A6C"/>
                <w:sz w:val="22"/>
                <w:szCs w:val="22"/>
              </w:rPr>
              <w:t xml:space="preserve">[Nombre de la Empresa Cliente]</w:t>
            </w:r>
          </w:p>
          <w:p>
            <w:pPr>
              <w:spacing w:before="0" w:after="0"/>
            </w:pPr>
            <w:r>
              <w:t xml:space="preserve"/>
            </w:r>
          </w:p>
          <w:p>
            <w:r>
              <w:rPr>
                <w:rFonts w:ascii="Arial" w:cs="Arial" w:eastAsia="Arial" w:hAnsi="Arial"/>
                <w:color w:val="444444"/>
                <w:sz w:val="18"/>
                <w:szCs w:val="18"/>
              </w:rPr>
              <w:t xml:space="preserve">Preparado por:</w:t>
            </w:r>
          </w:p>
          <w:p>
            <w:r>
              <w:rPr>
                <w:rFonts w:ascii="Arial" w:cs="Arial" w:eastAsia="Arial" w:hAnsi="Arial"/>
                <w:b/>
                <w:bCs/>
                <w:color w:val="003A6C"/>
                <w:sz w:val="22"/>
                <w:szCs w:val="22"/>
              </w:rPr>
              <w:t xml:space="preserve">[Nombre del Consultor / Empresa]</w:t>
            </w:r>
          </w:p>
        </w:tc>
        <w:tc>
          <w:tcPr>
            <w:tcW w:type="dxa" w:w="4920"/>
            <w:tcBorders>
              <w:top w:val="none" w:color="FFFFFF" w:sz="0"/>
              <w:left w:val="none" w:color="FFFFFF" w:sz="0"/>
              <w:bottom w:val="none" w:color="FFFFFF" w:sz="0"/>
              <w:right w:val="none" w:color="FFFFFF" w:sz="0"/>
            </w:tcBorders>
          </w:tcPr>
          <w:p>
            <w:pPr>
              <w:jc w:val="right"/>
            </w:pPr>
            <w:r>
              <w:rPr>
                <w:rFonts w:ascii="Arial" w:cs="Arial" w:eastAsia="Arial" w:hAnsi="Arial"/>
                <w:color w:val="444444"/>
                <w:sz w:val="18"/>
                <w:szCs w:val="18"/>
              </w:rPr>
              <w:t xml:space="preserve">Fecha: [DD/MM/2025]</w:t>
            </w:r>
          </w:p>
          <w:p>
            <w:pPr>
              <w:jc w:val="right"/>
            </w:pPr>
            <w:r>
              <w:rPr>
                <w:rFonts w:ascii="Arial" w:cs="Arial" w:eastAsia="Arial" w:hAnsi="Arial"/>
                <w:color w:val="444444"/>
                <w:sz w:val="18"/>
                <w:szCs w:val="18"/>
              </w:rPr>
              <w:t xml:space="preserve">Versión: 1.0</w:t>
            </w:r>
          </w:p>
          <w:p>
            <w:pPr>
              <w:jc w:val="right"/>
            </w:pPr>
            <w:r>
              <w:rPr>
                <w:rFonts w:ascii="Arial" w:cs="Arial" w:eastAsia="Arial" w:hAnsi="Arial"/>
                <w:color w:val="444444"/>
                <w:sz w:val="18"/>
                <w:szCs w:val="18"/>
              </w:rPr>
              <w:t xml:space="preserve">Válida por: 30 días</w:t>
            </w:r>
          </w:p>
        </w:tc>
      </w:tr>
    </w:tbl>
    <w:p>
      <w:pPr>
        <w:spacing w:before="0" w:after="240"/>
      </w:pPr>
      <w:r>
        <w:t xml:space="preserve"/>
      </w:r>
    </w:p>
    <w:p>
      <w:r>
        <w:br w:type="page"/>
      </w:r>
    </w:p>
    <w:p>
      <w:pPr>
        <w:pStyle w:val="Heading1"/>
        <w:spacing w:before="400" w:after="200"/>
      </w:pPr>
      <w:r>
        <w:rPr>
          <w:rFonts w:ascii="Arial" w:cs="Arial" w:eastAsia="Arial" w:hAnsi="Arial"/>
          <w:b/>
          <w:bCs/>
          <w:color w:val="003A6C"/>
          <w:sz w:val="32"/>
          <w:szCs w:val="32"/>
        </w:rPr>
        <w:t xml:space="preserve">1. Resumen Ejecutivo</w:t>
      </w:r>
    </w:p>
    <w:p>
      <w:pPr>
        <w:pBdr>
          <w:bottom w:val="single" w:color="0078D4" w:sz="4" w:space="1"/>
        </w:pBdr>
        <w:spacing w:before="160" w:after="160"/>
      </w:pPr>
      <w:r>
        <w:t xml:space="preserve"/>
      </w:r>
    </w:p>
    <w:p>
      <w:pPr>
        <w:spacing w:before="80" w:after="80"/>
      </w:pPr>
      <w:r>
        <w:rPr>
          <w:rFonts w:ascii="Arial" w:cs="Arial" w:eastAsia="Arial" w:hAnsi="Arial"/>
          <w:color w:val="444444"/>
          <w:sz w:val="22"/>
          <w:szCs w:val="22"/>
        </w:rPr>
        <w:t xml:space="preserve">La transformación digital impulsada por la Inteligencia Artificial es hoy una ventaja competitiva esencial para las grandes corporaciones. Esta propuesta presenta una solución integral de IA empresarial basada en Microsoft Azure AI Foundry, diseñada para acelerar la innovación, automatizar procesos críticos y extraer valor de los datos de su organización de manera segura y escalable.</w:t>
      </w:r>
    </w:p>
    <w:p>
      <w:pPr>
        <w:spacing w:before="0" w:after="120"/>
      </w:pPr>
      <w:r>
        <w:t xml:space="preserve"/>
      </w:r>
    </w:p>
    <w:p>
      <w:pPr>
        <w:spacing w:before="80" w:after="80"/>
      </w:pPr>
      <w:r>
        <w:rPr>
          <w:rFonts w:ascii="Arial" w:cs="Arial" w:eastAsia="Arial" w:hAnsi="Arial"/>
          <w:color w:val="444444"/>
          <w:sz w:val="22"/>
          <w:szCs w:val="22"/>
        </w:rPr>
        <w:t xml:space="preserve">Azure AI Foundry es la plataforma unificada de Microsoft para diseñar, personalizar y desplegar soluciones de IA avanzadas. Integra modelos de lenguaje de última generación, búsqueda semántica, procesamiento de documentos y capacidades de visión e IA conversacional, todo bajo los estándares de seguridad, cumplimiento y gobernanza que demanda el entorno corporativo.</w:t>
      </w:r>
    </w:p>
    <w:p>
      <w:pPr>
        <w:spacing w:before="0" w:after="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DDDDDD" w:sz="1"/>
              <w:left w:val="single" w:color="DDDDDD" w:sz="1"/>
              <w:bottom w:val="single" w:color="DDDDDD" w:sz="1"/>
              <w:right w:val="single" w:color="DDDDDD" w:sz="1"/>
            </w:tcBorders>
            <w:shd w:fill="E8F4FD" w:val="clear"/>
            <w:tcMar>
              <w:top w:type="dxa" w:w="140"/>
              <w:left w:type="dxa" w:w="140"/>
              <w:bottom w:type="dxa" w:w="140"/>
              <w:right w:type="dxa" w:w="140"/>
            </w:tcMar>
          </w:tcPr>
          <w:p>
            <w:pPr>
              <w:jc w:val="center"/>
            </w:pPr>
            <w:r>
              <w:rPr>
                <w:rFonts w:ascii="Arial" w:cs="Arial" w:eastAsia="Arial" w:hAnsi="Arial"/>
                <w:b/>
                <w:bCs/>
                <w:color w:val="0078D4"/>
                <w:sz w:val="22"/>
                <w:szCs w:val="22"/>
              </w:rPr>
              <w:t xml:space="preserve">Productividad</w:t>
            </w:r>
          </w:p>
          <w:p>
            <w:pPr>
              <w:spacing w:before="60"/>
              <w:jc w:val="center"/>
            </w:pPr>
            <w:r>
              <w:rPr>
                <w:rFonts w:ascii="Arial" w:cs="Arial" w:eastAsia="Arial" w:hAnsi="Arial"/>
                <w:color w:val="444444"/>
                <w:sz w:val="18"/>
                <w:szCs w:val="18"/>
              </w:rPr>
              <w:t xml:space="preserve">Reducción de tareas manuales hasta en un 60%</w:t>
            </w:r>
          </w:p>
        </w:tc>
        <w:tc>
          <w:tcPr>
            <w:tcW w:type="dxa" w:w="2460"/>
            <w:tcBorders>
              <w:top w:val="single" w:color="DDDDDD" w:sz="1"/>
              <w:left w:val="single" w:color="DDDDDD" w:sz="1"/>
              <w:bottom w:val="single" w:color="DDDDDD" w:sz="1"/>
              <w:right w:val="single" w:color="DDDDDD" w:sz="1"/>
            </w:tcBorders>
            <w:shd w:fill="E8F4FD" w:val="clear"/>
            <w:tcMar>
              <w:top w:type="dxa" w:w="140"/>
              <w:left w:type="dxa" w:w="140"/>
              <w:bottom w:type="dxa" w:w="140"/>
              <w:right w:type="dxa" w:w="140"/>
            </w:tcMar>
          </w:tcPr>
          <w:p>
            <w:pPr>
              <w:jc w:val="center"/>
            </w:pPr>
            <w:r>
              <w:rPr>
                <w:rFonts w:ascii="Arial" w:cs="Arial" w:eastAsia="Arial" w:hAnsi="Arial"/>
                <w:b/>
                <w:bCs/>
                <w:color w:val="0078D4"/>
                <w:sz w:val="22"/>
                <w:szCs w:val="22"/>
              </w:rPr>
              <w:t xml:space="preserve">Escalabilidad</w:t>
            </w:r>
          </w:p>
          <w:p>
            <w:pPr>
              <w:spacing w:before="60"/>
              <w:jc w:val="center"/>
            </w:pPr>
            <w:r>
              <w:rPr>
                <w:rFonts w:ascii="Arial" w:cs="Arial" w:eastAsia="Arial" w:hAnsi="Arial"/>
                <w:color w:val="444444"/>
                <w:sz w:val="18"/>
                <w:szCs w:val="18"/>
              </w:rPr>
              <w:t xml:space="preserve">Arquitectura cloud-native lista para crecer</w:t>
            </w:r>
          </w:p>
        </w:tc>
        <w:tc>
          <w:tcPr>
            <w:tcW w:type="dxa" w:w="2460"/>
            <w:tcBorders>
              <w:top w:val="single" w:color="DDDDDD" w:sz="1"/>
              <w:left w:val="single" w:color="DDDDDD" w:sz="1"/>
              <w:bottom w:val="single" w:color="DDDDDD" w:sz="1"/>
              <w:right w:val="single" w:color="DDDDDD" w:sz="1"/>
            </w:tcBorders>
            <w:shd w:fill="E8F4FD" w:val="clear"/>
            <w:tcMar>
              <w:top w:type="dxa" w:w="140"/>
              <w:left w:type="dxa" w:w="140"/>
              <w:bottom w:type="dxa" w:w="140"/>
              <w:right w:type="dxa" w:w="140"/>
            </w:tcMar>
          </w:tcPr>
          <w:p>
            <w:pPr>
              <w:jc w:val="center"/>
            </w:pPr>
            <w:r>
              <w:rPr>
                <w:rFonts w:ascii="Arial" w:cs="Arial" w:eastAsia="Arial" w:hAnsi="Arial"/>
                <w:b/>
                <w:bCs/>
                <w:color w:val="0078D4"/>
                <w:sz w:val="22"/>
                <w:szCs w:val="22"/>
              </w:rPr>
              <w:t xml:space="preserve">Seguridad</w:t>
            </w:r>
          </w:p>
          <w:p>
            <w:pPr>
              <w:spacing w:before="60"/>
              <w:jc w:val="center"/>
            </w:pPr>
            <w:r>
              <w:rPr>
                <w:rFonts w:ascii="Arial" w:cs="Arial" w:eastAsia="Arial" w:hAnsi="Arial"/>
                <w:color w:val="444444"/>
                <w:sz w:val="18"/>
                <w:szCs w:val="18"/>
              </w:rPr>
              <w:t xml:space="preserve">Gobernanza y cumplimiento regulatorio integrado</w:t>
            </w:r>
          </w:p>
        </w:tc>
        <w:tc>
          <w:tcPr>
            <w:tcW w:type="dxa" w:w="2460"/>
            <w:tcBorders>
              <w:top w:val="single" w:color="DDDDDD" w:sz="1"/>
              <w:left w:val="single" w:color="DDDDDD" w:sz="1"/>
              <w:bottom w:val="single" w:color="DDDDDD" w:sz="1"/>
              <w:right w:val="single" w:color="DDDDDD" w:sz="1"/>
            </w:tcBorders>
            <w:shd w:fill="E8F4FD" w:val="clear"/>
            <w:tcMar>
              <w:top w:type="dxa" w:w="140"/>
              <w:left w:type="dxa" w:w="140"/>
              <w:bottom w:type="dxa" w:w="140"/>
              <w:right w:type="dxa" w:w="140"/>
            </w:tcMar>
          </w:tcPr>
          <w:p>
            <w:pPr>
              <w:jc w:val="center"/>
            </w:pPr>
            <w:r>
              <w:rPr>
                <w:rFonts w:ascii="Arial" w:cs="Arial" w:eastAsia="Arial" w:hAnsi="Arial"/>
                <w:b/>
                <w:bCs/>
                <w:color w:val="0078D4"/>
                <w:sz w:val="22"/>
                <w:szCs w:val="22"/>
              </w:rPr>
              <w:t xml:space="preserve">Tiempo al mercado</w:t>
            </w:r>
          </w:p>
          <w:p>
            <w:pPr>
              <w:spacing w:before="60"/>
              <w:jc w:val="center"/>
            </w:pPr>
            <w:r>
              <w:rPr>
                <w:rFonts w:ascii="Arial" w:cs="Arial" w:eastAsia="Arial" w:hAnsi="Arial"/>
                <w:color w:val="444444"/>
                <w:sz w:val="18"/>
                <w:szCs w:val="18"/>
              </w:rPr>
              <w:t xml:space="preserve">Despliegue acelerado con modelos preentrenados</w:t>
            </w:r>
          </w:p>
        </w:tc>
      </w:tr>
    </w:tbl>
    <w:p>
      <w:pPr>
        <w:spacing w:before="0" w:after="240"/>
      </w:pPr>
      <w:r>
        <w:t xml:space="preserve"/>
      </w:r>
    </w:p>
    <w:p>
      <w:pPr>
        <w:pStyle w:val="Heading1"/>
        <w:spacing w:before="400" w:after="200"/>
      </w:pPr>
      <w:r>
        <w:rPr>
          <w:rFonts w:ascii="Arial" w:cs="Arial" w:eastAsia="Arial" w:hAnsi="Arial"/>
          <w:b/>
          <w:bCs/>
          <w:color w:val="003A6C"/>
          <w:sz w:val="32"/>
          <w:szCs w:val="32"/>
        </w:rPr>
        <w:t xml:space="preserve">2. Servicios Propuestos</w:t>
      </w:r>
    </w:p>
    <w:p>
      <w:pPr>
        <w:pBdr>
          <w:bottom w:val="single" w:color="0078D4" w:sz="4" w:space="1"/>
        </w:pBdr>
        <w:spacing w:before="160" w:after="160"/>
      </w:pPr>
      <w:r>
        <w:t xml:space="preserve"/>
      </w:r>
    </w:p>
    <w:p>
      <w:pPr>
        <w:spacing w:before="80" w:after="80"/>
      </w:pPr>
      <w:r>
        <w:rPr>
          <w:rFonts w:ascii="Arial" w:cs="Arial" w:eastAsia="Arial" w:hAnsi="Arial"/>
          <w:color w:val="444444"/>
          <w:sz w:val="22"/>
          <w:szCs w:val="22"/>
        </w:rPr>
        <w:t xml:space="preserve">La propuesta contempla cuatro pilares de servicios que se integran de forma cohesiva dentro del ecosistema de Azure AI Foundry, adaptándose a los procesos y requerimientos específicos de su organización.</w:t>
      </w:r>
    </w:p>
    <w:p>
      <w:pPr>
        <w:spacing w:before="0" w:after="120"/>
      </w:pPr>
      <w:r>
        <w:t xml:space="preserve"/>
      </w:r>
    </w:p>
    <w:p>
      <w:pPr>
        <w:pStyle w:val="Heading2"/>
        <w:spacing w:before="300" w:after="120"/>
      </w:pPr>
      <w:r>
        <w:rPr>
          <w:rFonts w:ascii="Arial" w:cs="Arial" w:eastAsia="Arial" w:hAnsi="Arial"/>
          <w:b/>
          <w:bCs/>
          <w:color w:val="0078D4"/>
          <w:sz w:val="26"/>
          <w:szCs w:val="26"/>
        </w:rPr>
        <w:t xml:space="preserve">2.1 Modelos de Lenguaje — GPT-4 / Azure OpenAI Service</w:t>
      </w:r>
    </w:p>
    <w:p>
      <w:pPr>
        <w:spacing w:before="80" w:after="80"/>
      </w:pPr>
      <w:r>
        <w:rPr>
          <w:rFonts w:ascii="Arial" w:cs="Arial" w:eastAsia="Arial" w:hAnsi="Arial"/>
          <w:color w:val="444444"/>
          <w:sz w:val="22"/>
          <w:szCs w:val="22"/>
        </w:rPr>
        <w:t xml:space="preserve">Implementación de modelos de lenguaje de gran escala (LLM) para automatizar y potenciar interacciones con datos no estructurados, generación de contenido, asistentes virtuales corporativos y análisis avanzado de texto.</w:t>
      </w:r>
    </w:p>
    <w:p>
      <w:pPr>
        <w:spacing w:before="0" w:after="120"/>
      </w:pPr>
      <w:r>
        <w:t xml:space="preserve"/>
      </w:r>
    </w:p>
    <w:p>
      <w:pPr>
        <w:spacing w:before="240" w:after="100"/>
      </w:pPr>
      <w:r>
        <w:rPr>
          <w:rFonts w:ascii="Arial" w:cs="Arial" w:eastAsia="Arial" w:hAnsi="Arial"/>
          <w:b/>
          <w:bCs/>
          <w:color w:val="003A6C"/>
          <w:sz w:val="22"/>
          <w:szCs w:val="22"/>
        </w:rPr>
        <w:t xml:space="preserve">Casos de uso principales:</w:t>
      </w:r>
    </w:p>
    <w:p>
      <w:pPr>
        <w:pStyle w:val="ListParagraph"/>
        <w:numPr>
          <w:ilvl w:val="0"/>
          <w:numId w:val="2"/>
        </w:numPr>
        <w:spacing w:before="60" w:after="60"/>
      </w:pPr>
      <w:r>
        <w:rPr>
          <w:rFonts w:ascii="Arial" w:cs="Arial" w:eastAsia="Arial" w:hAnsi="Arial"/>
          <w:color w:val="444444"/>
          <w:sz w:val="22"/>
          <w:szCs w:val="22"/>
        </w:rPr>
        <w:t xml:space="preserve">Asistente virtual corporativo para soporte interno y atención al cliente</w:t>
      </w:r>
    </w:p>
    <w:p>
      <w:pPr>
        <w:pStyle w:val="ListParagraph"/>
        <w:numPr>
          <w:ilvl w:val="0"/>
          <w:numId w:val="2"/>
        </w:numPr>
        <w:spacing w:before="60" w:after="60"/>
      </w:pPr>
      <w:r>
        <w:rPr>
          <w:rFonts w:ascii="Arial" w:cs="Arial" w:eastAsia="Arial" w:hAnsi="Arial"/>
          <w:color w:val="444444"/>
          <w:sz w:val="22"/>
          <w:szCs w:val="22"/>
        </w:rPr>
        <w:t xml:space="preserve">Resumen automático de reportes, contratos y documentos legales</w:t>
      </w:r>
    </w:p>
    <w:p>
      <w:pPr>
        <w:pStyle w:val="ListParagraph"/>
        <w:numPr>
          <w:ilvl w:val="0"/>
          <w:numId w:val="2"/>
        </w:numPr>
        <w:spacing w:before="60" w:after="60"/>
      </w:pPr>
      <w:r>
        <w:rPr>
          <w:rFonts w:ascii="Arial" w:cs="Arial" w:eastAsia="Arial" w:hAnsi="Arial"/>
          <w:color w:val="444444"/>
          <w:sz w:val="22"/>
          <w:szCs w:val="22"/>
        </w:rPr>
        <w:t xml:space="preserve">Generación de contenido y automatización de comunicaciones</w:t>
      </w:r>
    </w:p>
    <w:p>
      <w:pPr>
        <w:pStyle w:val="ListParagraph"/>
        <w:numPr>
          <w:ilvl w:val="0"/>
          <w:numId w:val="2"/>
        </w:numPr>
        <w:spacing w:before="60" w:after="60"/>
      </w:pPr>
      <w:r>
        <w:rPr>
          <w:rFonts w:ascii="Arial" w:cs="Arial" w:eastAsia="Arial" w:hAnsi="Arial"/>
          <w:color w:val="444444"/>
          <w:sz w:val="22"/>
          <w:szCs w:val="22"/>
        </w:rPr>
        <w:t xml:space="preserve">Análisis de sentimiento y clasificación de feedback de clientes</w:t>
      </w:r>
    </w:p>
    <w:p>
      <w:pPr>
        <w:pStyle w:val="ListParagraph"/>
        <w:numPr>
          <w:ilvl w:val="0"/>
          <w:numId w:val="2"/>
        </w:numPr>
        <w:spacing w:before="60" w:after="60"/>
      </w:pPr>
      <w:r>
        <w:rPr>
          <w:rFonts w:ascii="Arial" w:cs="Arial" w:eastAsia="Arial" w:hAnsi="Arial"/>
          <w:color w:val="444444"/>
          <w:sz w:val="22"/>
          <w:szCs w:val="22"/>
        </w:rPr>
        <w:t xml:space="preserve">Chatbots especializados entrenados con datos internos (RAG)</w:t>
      </w:r>
    </w:p>
    <w:p>
      <w:pPr>
        <w:spacing w:before="0" w:after="120"/>
      </w:pPr>
      <w:r>
        <w:t xml:space="preserve"/>
      </w:r>
    </w:p>
    <w:p>
      <w:pPr>
        <w:spacing w:before="240" w:after="100"/>
      </w:pPr>
      <w:r>
        <w:rPr>
          <w:rFonts w:ascii="Arial" w:cs="Arial" w:eastAsia="Arial" w:hAnsi="Arial"/>
          <w:b/>
          <w:bCs/>
          <w:color w:val="003A6C"/>
          <w:sz w:val="22"/>
          <w:szCs w:val="22"/>
        </w:rPr>
        <w:t xml:space="preserve">Características técnicas:</w:t>
      </w:r>
    </w:p>
    <w:p>
      <w:pPr>
        <w:pStyle w:val="ListParagraph"/>
        <w:numPr>
          <w:ilvl w:val="0"/>
          <w:numId w:val="2"/>
        </w:numPr>
        <w:spacing w:before="60" w:after="60"/>
      </w:pPr>
      <w:r>
        <w:rPr>
          <w:rFonts w:ascii="Arial" w:cs="Arial" w:eastAsia="Arial" w:hAnsi="Arial"/>
          <w:color w:val="444444"/>
          <w:sz w:val="22"/>
          <w:szCs w:val="22"/>
        </w:rPr>
        <w:t xml:space="preserve">Acceso a GPT-4o, GPT-4 Turbo y modelos open-source vía Azure AI Model Catalog</w:t>
      </w:r>
    </w:p>
    <w:p>
      <w:pPr>
        <w:pStyle w:val="ListParagraph"/>
        <w:numPr>
          <w:ilvl w:val="0"/>
          <w:numId w:val="2"/>
        </w:numPr>
        <w:spacing w:before="60" w:after="60"/>
      </w:pPr>
      <w:r>
        <w:rPr>
          <w:rFonts w:ascii="Arial" w:cs="Arial" w:eastAsia="Arial" w:hAnsi="Arial"/>
          <w:color w:val="444444"/>
          <w:sz w:val="22"/>
          <w:szCs w:val="22"/>
        </w:rPr>
        <w:t xml:space="preserve">Fine-tuning y personalización con datos propios de la empresa</w:t>
      </w:r>
    </w:p>
    <w:p>
      <w:pPr>
        <w:pStyle w:val="ListParagraph"/>
        <w:numPr>
          <w:ilvl w:val="0"/>
          <w:numId w:val="2"/>
        </w:numPr>
        <w:spacing w:before="60" w:after="60"/>
      </w:pPr>
      <w:r>
        <w:rPr>
          <w:rFonts w:ascii="Arial" w:cs="Arial" w:eastAsia="Arial" w:hAnsi="Arial"/>
          <w:color w:val="444444"/>
          <w:sz w:val="22"/>
          <w:szCs w:val="22"/>
        </w:rPr>
        <w:t xml:space="preserve">Despliegue en entorno privado con datos que no salen del tenant de Azure</w:t>
      </w:r>
    </w:p>
    <w:p>
      <w:pPr>
        <w:pStyle w:val="ListParagraph"/>
        <w:numPr>
          <w:ilvl w:val="0"/>
          <w:numId w:val="2"/>
        </w:numPr>
        <w:spacing w:before="60" w:after="60"/>
      </w:pPr>
      <w:r>
        <w:rPr>
          <w:rFonts w:ascii="Arial" w:cs="Arial" w:eastAsia="Arial" w:hAnsi="Arial"/>
          <w:color w:val="444444"/>
          <w:sz w:val="22"/>
          <w:szCs w:val="22"/>
        </w:rPr>
        <w:t xml:space="preserve">Integración con Azure AD, Power Platform y APIs corporativas</w:t>
      </w:r>
    </w:p>
    <w:p>
      <w:pPr>
        <w:spacing w:before="0" w:after="120"/>
      </w:pPr>
      <w:r>
        <w:t xml:space="preserve"/>
      </w:r>
    </w:p>
    <w:p>
      <w:pPr>
        <w:pStyle w:val="Heading2"/>
        <w:spacing w:before="300" w:after="120"/>
      </w:pPr>
      <w:r>
        <w:rPr>
          <w:rFonts w:ascii="Arial" w:cs="Arial" w:eastAsia="Arial" w:hAnsi="Arial"/>
          <w:b/>
          <w:bCs/>
          <w:color w:val="0078D4"/>
          <w:sz w:val="26"/>
          <w:szCs w:val="26"/>
        </w:rPr>
        <w:t xml:space="preserve">2.2 Azure AI Search — Búsqueda Semántica Empresarial</w:t>
      </w:r>
    </w:p>
    <w:p>
      <w:pPr>
        <w:spacing w:before="80" w:after="80"/>
      </w:pPr>
      <w:r>
        <w:rPr>
          <w:rFonts w:ascii="Arial" w:cs="Arial" w:eastAsia="Arial" w:hAnsi="Arial"/>
          <w:color w:val="444444"/>
          <w:sz w:val="22"/>
          <w:szCs w:val="22"/>
        </w:rPr>
        <w:t xml:space="preserve">Motor de búsqueda inteligente que combina búsqueda vectorial, semántica y de texto completo para encontrar información relevante en repositorios masivos de datos no estructurados con precisión sin precedentes.</w:t>
      </w:r>
    </w:p>
    <w:p>
      <w:pPr>
        <w:spacing w:before="0" w:after="120"/>
      </w:pPr>
      <w:r>
        <w:t xml:space="preserve"/>
      </w:r>
    </w:p>
    <w:p>
      <w:pPr>
        <w:spacing w:before="240" w:after="100"/>
      </w:pPr>
      <w:r>
        <w:rPr>
          <w:rFonts w:ascii="Arial" w:cs="Arial" w:eastAsia="Arial" w:hAnsi="Arial"/>
          <w:b/>
          <w:bCs/>
          <w:color w:val="003A6C"/>
          <w:sz w:val="22"/>
          <w:szCs w:val="22"/>
        </w:rPr>
        <w:t xml:space="preserve">Casos de uso principales:</w:t>
      </w:r>
    </w:p>
    <w:p>
      <w:pPr>
        <w:pStyle w:val="ListParagraph"/>
        <w:numPr>
          <w:ilvl w:val="0"/>
          <w:numId w:val="2"/>
        </w:numPr>
        <w:spacing w:before="60" w:after="60"/>
      </w:pPr>
      <w:r>
        <w:rPr>
          <w:rFonts w:ascii="Arial" w:cs="Arial" w:eastAsia="Arial" w:hAnsi="Arial"/>
          <w:color w:val="444444"/>
          <w:sz w:val="22"/>
          <w:szCs w:val="22"/>
        </w:rPr>
        <w:t xml:space="preserve">Búsqueda inteligente en bases de conocimiento internas y documentación</w:t>
      </w:r>
    </w:p>
    <w:p>
      <w:pPr>
        <w:pStyle w:val="ListParagraph"/>
        <w:numPr>
          <w:ilvl w:val="0"/>
          <w:numId w:val="2"/>
        </w:numPr>
        <w:spacing w:before="60" w:after="60"/>
      </w:pPr>
      <w:r>
        <w:rPr>
          <w:rFonts w:ascii="Arial" w:cs="Arial" w:eastAsia="Arial" w:hAnsi="Arial"/>
          <w:color w:val="444444"/>
          <w:sz w:val="22"/>
          <w:szCs w:val="22"/>
        </w:rPr>
        <w:t xml:space="preserve">Motor de recuperación de información para sistemas RAG con LLMs</w:t>
      </w:r>
    </w:p>
    <w:p>
      <w:pPr>
        <w:pStyle w:val="ListParagraph"/>
        <w:numPr>
          <w:ilvl w:val="0"/>
          <w:numId w:val="2"/>
        </w:numPr>
        <w:spacing w:before="60" w:after="60"/>
      </w:pPr>
      <w:r>
        <w:rPr>
          <w:rFonts w:ascii="Arial" w:cs="Arial" w:eastAsia="Arial" w:hAnsi="Arial"/>
          <w:color w:val="444444"/>
          <w:sz w:val="22"/>
          <w:szCs w:val="22"/>
        </w:rPr>
        <w:t xml:space="preserve">Búsqueda en catálogos de productos, políticas y procedimientos</w:t>
      </w:r>
    </w:p>
    <w:p>
      <w:pPr>
        <w:pStyle w:val="ListParagraph"/>
        <w:numPr>
          <w:ilvl w:val="0"/>
          <w:numId w:val="2"/>
        </w:numPr>
        <w:spacing w:before="60" w:after="60"/>
      </w:pPr>
      <w:r>
        <w:rPr>
          <w:rFonts w:ascii="Arial" w:cs="Arial" w:eastAsia="Arial" w:hAnsi="Arial"/>
          <w:color w:val="444444"/>
          <w:sz w:val="22"/>
          <w:szCs w:val="22"/>
        </w:rPr>
        <w:t xml:space="preserve">Indexación automática de SharePoint, Blob Storage y bases de datos</w:t>
      </w:r>
    </w:p>
    <w:p>
      <w:pPr>
        <w:spacing w:before="0" w:after="120"/>
      </w:pPr>
      <w:r>
        <w:t xml:space="preserve"/>
      </w:r>
    </w:p>
    <w:p>
      <w:pPr>
        <w:spacing w:before="240" w:after="100"/>
      </w:pPr>
      <w:r>
        <w:rPr>
          <w:rFonts w:ascii="Arial" w:cs="Arial" w:eastAsia="Arial" w:hAnsi="Arial"/>
          <w:b/>
          <w:bCs/>
          <w:color w:val="003A6C"/>
          <w:sz w:val="22"/>
          <w:szCs w:val="22"/>
        </w:rPr>
        <w:t xml:space="preserve">Características técnicas:</w:t>
      </w:r>
    </w:p>
    <w:p>
      <w:pPr>
        <w:pStyle w:val="ListParagraph"/>
        <w:numPr>
          <w:ilvl w:val="0"/>
          <w:numId w:val="2"/>
        </w:numPr>
        <w:spacing w:before="60" w:after="60"/>
      </w:pPr>
      <w:r>
        <w:rPr>
          <w:rFonts w:ascii="Arial" w:cs="Arial" w:eastAsia="Arial" w:hAnsi="Arial"/>
          <w:color w:val="444444"/>
          <w:sz w:val="22"/>
          <w:szCs w:val="22"/>
        </w:rPr>
        <w:t xml:space="preserve">Búsqueda vectorial con embeddings de Azure OpenAI</w:t>
      </w:r>
    </w:p>
    <w:p>
      <w:pPr>
        <w:pStyle w:val="ListParagraph"/>
        <w:numPr>
          <w:ilvl w:val="0"/>
          <w:numId w:val="2"/>
        </w:numPr>
        <w:spacing w:before="60" w:after="60"/>
      </w:pPr>
      <w:r>
        <w:rPr>
          <w:rFonts w:ascii="Arial" w:cs="Arial" w:eastAsia="Arial" w:hAnsi="Arial"/>
          <w:color w:val="444444"/>
          <w:sz w:val="22"/>
          <w:szCs w:val="22"/>
        </w:rPr>
        <w:t xml:space="preserve">Integración nativa con Azure Blob, SharePoint, SQL y Cosmos DB</w:t>
      </w:r>
    </w:p>
    <w:p>
      <w:pPr>
        <w:pStyle w:val="ListParagraph"/>
        <w:numPr>
          <w:ilvl w:val="0"/>
          <w:numId w:val="2"/>
        </w:numPr>
        <w:spacing w:before="60" w:after="60"/>
      </w:pPr>
      <w:r>
        <w:rPr>
          <w:rFonts w:ascii="Arial" w:cs="Arial" w:eastAsia="Arial" w:hAnsi="Arial"/>
          <w:color w:val="444444"/>
          <w:sz w:val="22"/>
          <w:szCs w:val="22"/>
        </w:rPr>
        <w:t xml:space="preserve">Filtros de seguridad a nivel de documento (row-level security)</w:t>
      </w:r>
    </w:p>
    <w:p>
      <w:pPr>
        <w:pStyle w:val="ListParagraph"/>
        <w:numPr>
          <w:ilvl w:val="0"/>
          <w:numId w:val="2"/>
        </w:numPr>
        <w:spacing w:before="60" w:after="60"/>
      </w:pPr>
      <w:r>
        <w:rPr>
          <w:rFonts w:ascii="Arial" w:cs="Arial" w:eastAsia="Arial" w:hAnsi="Arial"/>
          <w:color w:val="444444"/>
          <w:sz w:val="22"/>
          <w:szCs w:val="22"/>
        </w:rPr>
        <w:t xml:space="preserve">Capacidades de enriquecimiento con IA (OCR, entidades, traducción)</w:t>
      </w:r>
    </w:p>
    <w:p>
      <w:pPr>
        <w:spacing w:before="0" w:after="120"/>
      </w:pPr>
      <w:r>
        <w:t xml:space="preserve"/>
      </w:r>
    </w:p>
    <w:p>
      <w:pPr>
        <w:pStyle w:val="Heading2"/>
        <w:spacing w:before="300" w:after="120"/>
      </w:pPr>
      <w:r>
        <w:rPr>
          <w:rFonts w:ascii="Arial" w:cs="Arial" w:eastAsia="Arial" w:hAnsi="Arial"/>
          <w:b/>
          <w:bCs/>
          <w:color w:val="0078D4"/>
          <w:sz w:val="26"/>
          <w:szCs w:val="26"/>
        </w:rPr>
        <w:t xml:space="preserve">2.3 Azure Document Intelligence — Procesamiento de Documentos</w:t>
      </w:r>
    </w:p>
    <w:p>
      <w:pPr>
        <w:spacing w:before="80" w:after="80"/>
      </w:pPr>
      <w:r>
        <w:rPr>
          <w:rFonts w:ascii="Arial" w:cs="Arial" w:eastAsia="Arial" w:hAnsi="Arial"/>
          <w:color w:val="444444"/>
          <w:sz w:val="22"/>
          <w:szCs w:val="22"/>
        </w:rPr>
        <w:t xml:space="preserve">Solución avanzada de extracción y análisis de datos desde documentos estructurados y no estructurados: facturas, contratos, formularios, reportes financieros y expedientes, eliminando la captura manual de información.</w:t>
      </w:r>
    </w:p>
    <w:p>
      <w:pPr>
        <w:spacing w:before="0" w:after="120"/>
      </w:pPr>
      <w:r>
        <w:t xml:space="preserve"/>
      </w:r>
    </w:p>
    <w:p>
      <w:pPr>
        <w:spacing w:before="240" w:after="100"/>
      </w:pPr>
      <w:r>
        <w:rPr>
          <w:rFonts w:ascii="Arial" w:cs="Arial" w:eastAsia="Arial" w:hAnsi="Arial"/>
          <w:b/>
          <w:bCs/>
          <w:color w:val="003A6C"/>
          <w:sz w:val="22"/>
          <w:szCs w:val="22"/>
        </w:rPr>
        <w:t xml:space="preserve">Casos de uso principales:</w:t>
      </w:r>
    </w:p>
    <w:p>
      <w:pPr>
        <w:pStyle w:val="ListParagraph"/>
        <w:numPr>
          <w:ilvl w:val="0"/>
          <w:numId w:val="2"/>
        </w:numPr>
        <w:spacing w:before="60" w:after="60"/>
      </w:pPr>
      <w:r>
        <w:rPr>
          <w:rFonts w:ascii="Arial" w:cs="Arial" w:eastAsia="Arial" w:hAnsi="Arial"/>
          <w:color w:val="444444"/>
          <w:sz w:val="22"/>
          <w:szCs w:val="22"/>
        </w:rPr>
        <w:t xml:space="preserve">Automatización de cuentas por pagar con extracción de facturas</w:t>
      </w:r>
    </w:p>
    <w:p>
      <w:pPr>
        <w:pStyle w:val="ListParagraph"/>
        <w:numPr>
          <w:ilvl w:val="0"/>
          <w:numId w:val="2"/>
        </w:numPr>
        <w:spacing w:before="60" w:after="60"/>
      </w:pPr>
      <w:r>
        <w:rPr>
          <w:rFonts w:ascii="Arial" w:cs="Arial" w:eastAsia="Arial" w:hAnsi="Arial"/>
          <w:color w:val="444444"/>
          <w:sz w:val="22"/>
          <w:szCs w:val="22"/>
        </w:rPr>
        <w:t xml:space="preserve">Digitalización y clasificación de expedientes y contratos</w:t>
      </w:r>
    </w:p>
    <w:p>
      <w:pPr>
        <w:pStyle w:val="ListParagraph"/>
        <w:numPr>
          <w:ilvl w:val="0"/>
          <w:numId w:val="2"/>
        </w:numPr>
        <w:spacing w:before="60" w:after="60"/>
      </w:pPr>
      <w:r>
        <w:rPr>
          <w:rFonts w:ascii="Arial" w:cs="Arial" w:eastAsia="Arial" w:hAnsi="Arial"/>
          <w:color w:val="444444"/>
          <w:sz w:val="22"/>
          <w:szCs w:val="22"/>
        </w:rPr>
        <w:t xml:space="preserve">Procesamiento de formularios de RRHH, compliance y regulatorios</w:t>
      </w:r>
    </w:p>
    <w:p>
      <w:pPr>
        <w:pStyle w:val="ListParagraph"/>
        <w:numPr>
          <w:ilvl w:val="0"/>
          <w:numId w:val="2"/>
        </w:numPr>
        <w:spacing w:before="60" w:after="60"/>
      </w:pPr>
      <w:r>
        <w:rPr>
          <w:rFonts w:ascii="Arial" w:cs="Arial" w:eastAsia="Arial" w:hAnsi="Arial"/>
          <w:color w:val="444444"/>
          <w:sz w:val="22"/>
          <w:szCs w:val="22"/>
        </w:rPr>
        <w:t xml:space="preserve">Integración con ERP (SAP, Oracle) para captura automática de datos</w:t>
      </w:r>
    </w:p>
    <w:p>
      <w:pPr>
        <w:spacing w:before="0" w:after="120"/>
      </w:pPr>
      <w:r>
        <w:t xml:space="preserve"/>
      </w:r>
    </w:p>
    <w:p>
      <w:pPr>
        <w:spacing w:before="240" w:after="100"/>
      </w:pPr>
      <w:r>
        <w:rPr>
          <w:rFonts w:ascii="Arial" w:cs="Arial" w:eastAsia="Arial" w:hAnsi="Arial"/>
          <w:b/>
          <w:bCs/>
          <w:color w:val="003A6C"/>
          <w:sz w:val="22"/>
          <w:szCs w:val="22"/>
        </w:rPr>
        <w:t xml:space="preserve">Características técnicas:</w:t>
      </w:r>
    </w:p>
    <w:p>
      <w:pPr>
        <w:pStyle w:val="ListParagraph"/>
        <w:numPr>
          <w:ilvl w:val="0"/>
          <w:numId w:val="2"/>
        </w:numPr>
        <w:spacing w:before="60" w:after="60"/>
      </w:pPr>
      <w:r>
        <w:rPr>
          <w:rFonts w:ascii="Arial" w:cs="Arial" w:eastAsia="Arial" w:hAnsi="Arial"/>
          <w:color w:val="444444"/>
          <w:sz w:val="22"/>
          <w:szCs w:val="22"/>
        </w:rPr>
        <w:t xml:space="preserve">Modelos preentrenados para facturas, recibos, ID, contratos y más</w:t>
      </w:r>
    </w:p>
    <w:p>
      <w:pPr>
        <w:pStyle w:val="ListParagraph"/>
        <w:numPr>
          <w:ilvl w:val="0"/>
          <w:numId w:val="2"/>
        </w:numPr>
        <w:spacing w:before="60" w:after="60"/>
      </w:pPr>
      <w:r>
        <w:rPr>
          <w:rFonts w:ascii="Arial" w:cs="Arial" w:eastAsia="Arial" w:hAnsi="Arial"/>
          <w:color w:val="444444"/>
          <w:sz w:val="22"/>
          <w:szCs w:val="22"/>
        </w:rPr>
        <w:t xml:space="preserve">Entrenamiento de modelos personalizados con formatos propios de la empresa</w:t>
      </w:r>
    </w:p>
    <w:p>
      <w:pPr>
        <w:pStyle w:val="ListParagraph"/>
        <w:numPr>
          <w:ilvl w:val="0"/>
          <w:numId w:val="2"/>
        </w:numPr>
        <w:spacing w:before="60" w:after="60"/>
      </w:pPr>
      <w:r>
        <w:rPr>
          <w:rFonts w:ascii="Arial" w:cs="Arial" w:eastAsia="Arial" w:hAnsi="Arial"/>
          <w:color w:val="444444"/>
          <w:sz w:val="22"/>
          <w:szCs w:val="22"/>
        </w:rPr>
        <w:t xml:space="preserve">OCR de alta precisión en múltiples idiomas incluyendo español</w:t>
      </w:r>
    </w:p>
    <w:p>
      <w:pPr>
        <w:pStyle w:val="ListParagraph"/>
        <w:numPr>
          <w:ilvl w:val="0"/>
          <w:numId w:val="2"/>
        </w:numPr>
        <w:spacing w:before="60" w:after="60"/>
      </w:pPr>
      <w:r>
        <w:rPr>
          <w:rFonts w:ascii="Arial" w:cs="Arial" w:eastAsia="Arial" w:hAnsi="Arial"/>
          <w:color w:val="444444"/>
          <w:sz w:val="22"/>
          <w:szCs w:val="22"/>
        </w:rPr>
        <w:t xml:space="preserve">API REST con integración directa a Power Automate y Logic Apps</w:t>
      </w:r>
    </w:p>
    <w:p>
      <w:pPr>
        <w:spacing w:before="0" w:after="120"/>
      </w:pPr>
      <w:r>
        <w:t xml:space="preserve"/>
      </w:r>
    </w:p>
    <w:p>
      <w:pPr>
        <w:pStyle w:val="Heading2"/>
        <w:spacing w:before="300" w:after="120"/>
      </w:pPr>
      <w:r>
        <w:rPr>
          <w:rFonts w:ascii="Arial" w:cs="Arial" w:eastAsia="Arial" w:hAnsi="Arial"/>
          <w:b/>
          <w:bCs/>
          <w:color w:val="0078D4"/>
          <w:sz w:val="26"/>
          <w:szCs w:val="26"/>
        </w:rPr>
        <w:t xml:space="preserve">2.4 Azure AI Vision &amp; Speech — IA Multimodal</w:t>
      </w:r>
    </w:p>
    <w:p>
      <w:pPr>
        <w:spacing w:before="80" w:after="80"/>
      </w:pPr>
      <w:r>
        <w:rPr>
          <w:rFonts w:ascii="Arial" w:cs="Arial" w:eastAsia="Arial" w:hAnsi="Arial"/>
          <w:color w:val="444444"/>
          <w:sz w:val="22"/>
          <w:szCs w:val="22"/>
        </w:rPr>
        <w:t xml:space="preserve">Capacidades de visión computacional y reconocimiento de voz que permiten a la organización analizar imágenes, videos y audio de forma automática, integrando estos flujos en procesos operativos críticos.</w:t>
      </w:r>
    </w:p>
    <w:p>
      <w:pPr>
        <w:spacing w:before="0" w:after="120"/>
      </w:pPr>
      <w:r>
        <w:t xml:space="preserve"/>
      </w:r>
    </w:p>
    <w:p>
      <w:pPr>
        <w:spacing w:before="240" w:after="100"/>
      </w:pPr>
      <w:r>
        <w:rPr>
          <w:rFonts w:ascii="Arial" w:cs="Arial" w:eastAsia="Arial" w:hAnsi="Arial"/>
          <w:b/>
          <w:bCs/>
          <w:color w:val="003A6C"/>
          <w:sz w:val="22"/>
          <w:szCs w:val="22"/>
        </w:rPr>
        <w:t xml:space="preserve">Casos de uso principales:</w:t>
      </w:r>
    </w:p>
    <w:p>
      <w:pPr>
        <w:pStyle w:val="ListParagraph"/>
        <w:numPr>
          <w:ilvl w:val="0"/>
          <w:numId w:val="2"/>
        </w:numPr>
        <w:spacing w:before="60" w:after="60"/>
      </w:pPr>
      <w:r>
        <w:rPr>
          <w:rFonts w:ascii="Arial" w:cs="Arial" w:eastAsia="Arial" w:hAnsi="Arial"/>
          <w:color w:val="444444"/>
          <w:sz w:val="22"/>
          <w:szCs w:val="22"/>
        </w:rPr>
        <w:t xml:space="preserve">Análisis visual de inventarios, líneas de producción y control de calidad</w:t>
      </w:r>
    </w:p>
    <w:p>
      <w:pPr>
        <w:pStyle w:val="ListParagraph"/>
        <w:numPr>
          <w:ilvl w:val="0"/>
          <w:numId w:val="2"/>
        </w:numPr>
        <w:spacing w:before="60" w:after="60"/>
      </w:pPr>
      <w:r>
        <w:rPr>
          <w:rFonts w:ascii="Arial" w:cs="Arial" w:eastAsia="Arial" w:hAnsi="Arial"/>
          <w:color w:val="444444"/>
          <w:sz w:val="22"/>
          <w:szCs w:val="22"/>
        </w:rPr>
        <w:t xml:space="preserve">Transcripción automática de reuniones, llamadas de servicio y auditorías</w:t>
      </w:r>
    </w:p>
    <w:p>
      <w:pPr>
        <w:pStyle w:val="ListParagraph"/>
        <w:numPr>
          <w:ilvl w:val="0"/>
          <w:numId w:val="2"/>
        </w:numPr>
        <w:spacing w:before="60" w:after="60"/>
      </w:pPr>
      <w:r>
        <w:rPr>
          <w:rFonts w:ascii="Arial" w:cs="Arial" w:eastAsia="Arial" w:hAnsi="Arial"/>
          <w:color w:val="444444"/>
          <w:sz w:val="22"/>
          <w:szCs w:val="22"/>
        </w:rPr>
        <w:t xml:space="preserve">Identificación de objetos, escenas y anomalías en imágenes y video</w:t>
      </w:r>
    </w:p>
    <w:p>
      <w:pPr>
        <w:pStyle w:val="ListParagraph"/>
        <w:numPr>
          <w:ilvl w:val="0"/>
          <w:numId w:val="2"/>
        </w:numPr>
        <w:spacing w:before="60" w:after="60"/>
      </w:pPr>
      <w:r>
        <w:rPr>
          <w:rFonts w:ascii="Arial" w:cs="Arial" w:eastAsia="Arial" w:hAnsi="Arial"/>
          <w:color w:val="444444"/>
          <w:sz w:val="22"/>
          <w:szCs w:val="22"/>
        </w:rPr>
        <w:t xml:space="preserve">Conversión de voz a texto para contact centers y asistentes de voz</w:t>
      </w:r>
    </w:p>
    <w:p>
      <w:pPr>
        <w:spacing w:before="0" w:after="120"/>
      </w:pPr>
      <w:r>
        <w:t xml:space="preserve"/>
      </w:r>
    </w:p>
    <w:p>
      <w:pPr>
        <w:spacing w:before="240" w:after="100"/>
      </w:pPr>
      <w:r>
        <w:rPr>
          <w:rFonts w:ascii="Arial" w:cs="Arial" w:eastAsia="Arial" w:hAnsi="Arial"/>
          <w:b/>
          <w:bCs/>
          <w:color w:val="003A6C"/>
          <w:sz w:val="22"/>
          <w:szCs w:val="22"/>
        </w:rPr>
        <w:t xml:space="preserve">Características técnicas:</w:t>
      </w:r>
    </w:p>
    <w:p>
      <w:pPr>
        <w:pStyle w:val="ListParagraph"/>
        <w:numPr>
          <w:ilvl w:val="0"/>
          <w:numId w:val="2"/>
        </w:numPr>
        <w:spacing w:before="60" w:after="60"/>
      </w:pPr>
      <w:r>
        <w:rPr>
          <w:rFonts w:ascii="Arial" w:cs="Arial" w:eastAsia="Arial" w:hAnsi="Arial"/>
          <w:color w:val="444444"/>
          <w:sz w:val="22"/>
          <w:szCs w:val="22"/>
        </w:rPr>
        <w:t xml:space="preserve">Computer Vision API con detección de objetos y OCR espacial</w:t>
      </w:r>
    </w:p>
    <w:p>
      <w:pPr>
        <w:pStyle w:val="ListParagraph"/>
        <w:numPr>
          <w:ilvl w:val="0"/>
          <w:numId w:val="2"/>
        </w:numPr>
        <w:spacing w:before="60" w:after="60"/>
      </w:pPr>
      <w:r>
        <w:rPr>
          <w:rFonts w:ascii="Arial" w:cs="Arial" w:eastAsia="Arial" w:hAnsi="Arial"/>
          <w:color w:val="444444"/>
          <w:sz w:val="22"/>
          <w:szCs w:val="22"/>
        </w:rPr>
        <w:t xml:space="preserve">Custom Vision para entrenamiento de modelos con imágenes propias</w:t>
      </w:r>
    </w:p>
    <w:p>
      <w:pPr>
        <w:pStyle w:val="ListParagraph"/>
        <w:numPr>
          <w:ilvl w:val="0"/>
          <w:numId w:val="2"/>
        </w:numPr>
        <w:spacing w:before="60" w:after="60"/>
      </w:pPr>
      <w:r>
        <w:rPr>
          <w:rFonts w:ascii="Arial" w:cs="Arial" w:eastAsia="Arial" w:hAnsi="Arial"/>
          <w:color w:val="444444"/>
          <w:sz w:val="22"/>
          <w:szCs w:val="22"/>
        </w:rPr>
        <w:t xml:space="preserve">Azure Speech Services: STT, TTS, traducción en tiempo real</w:t>
      </w:r>
    </w:p>
    <w:p>
      <w:pPr>
        <w:pStyle w:val="ListParagraph"/>
        <w:numPr>
          <w:ilvl w:val="0"/>
          <w:numId w:val="2"/>
        </w:numPr>
        <w:spacing w:before="60" w:after="60"/>
      </w:pPr>
      <w:r>
        <w:rPr>
          <w:rFonts w:ascii="Arial" w:cs="Arial" w:eastAsia="Arial" w:hAnsi="Arial"/>
          <w:color w:val="444444"/>
          <w:sz w:val="22"/>
          <w:szCs w:val="22"/>
        </w:rPr>
        <w:t xml:space="preserve">Integración con Azure Video Indexer para análisis de contenido en video</w:t>
      </w:r>
    </w:p>
    <w:p>
      <w:pPr>
        <w:spacing w:before="0" w:after="240"/>
      </w:pPr>
      <w:r>
        <w:t xml:space="preserve"/>
      </w:r>
    </w:p>
    <w:p>
      <w:r>
        <w:br w:type="page"/>
      </w:r>
    </w:p>
    <w:p>
      <w:pPr>
        <w:pStyle w:val="Heading1"/>
        <w:spacing w:before="400" w:after="200"/>
      </w:pPr>
      <w:r>
        <w:rPr>
          <w:rFonts w:ascii="Arial" w:cs="Arial" w:eastAsia="Arial" w:hAnsi="Arial"/>
          <w:b/>
          <w:bCs/>
          <w:color w:val="003A6C"/>
          <w:sz w:val="32"/>
          <w:szCs w:val="32"/>
        </w:rPr>
        <w:t xml:space="preserve">3. Estimado de Precios</w:t>
      </w:r>
    </w:p>
    <w:p>
      <w:pPr>
        <w:pBdr>
          <w:bottom w:val="single" w:color="0078D4" w:sz="4" w:space="1"/>
        </w:pBdr>
        <w:spacing w:before="160" w:after="160"/>
      </w:pPr>
      <w:r>
        <w:t xml:space="preserve"/>
      </w:r>
    </w:p>
    <w:p>
      <w:pPr>
        <w:spacing w:before="80" w:after="80"/>
      </w:pPr>
      <w:r>
        <w:rPr>
          <w:rFonts w:ascii="Arial" w:cs="Arial" w:eastAsia="Arial" w:hAnsi="Arial"/>
          <w:color w:val="444444"/>
          <w:sz w:val="22"/>
          <w:szCs w:val="22"/>
        </w:rPr>
        <w:t xml:space="preserve">Los precios a continuación son estimados en USD basados en consumo mensual típico para una empresa de gran tamaño. El costo final dependerá del volumen de uso, configuración específica y acuerdos de licenciamiento Microsoft Enterprise.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DDDDDD" w:sz="1"/>
              <w:left w:val="single" w:color="DDDDDD" w:sz="1"/>
              <w:bottom w:val="single" w:color="DDDDDD" w:sz="1"/>
              <w:right w:val="single" w:color="DDDDDD"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Servicio</w:t>
            </w:r>
          </w:p>
        </w:tc>
        <w:tc>
          <w:tcPr>
            <w:tcW w:type="dxa" w:w="2000"/>
            <w:tcBorders>
              <w:top w:val="single" w:color="DDDDDD" w:sz="1"/>
              <w:left w:val="single" w:color="DDDDDD" w:sz="1"/>
              <w:bottom w:val="single" w:color="DDDDDD" w:sz="1"/>
              <w:right w:val="single" w:color="DDDDDD"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Unidad de Consumo</w:t>
            </w:r>
          </w:p>
        </w:tc>
        <w:tc>
          <w:tcPr>
            <w:tcW w:type="dxa" w:w="2000"/>
            <w:tcBorders>
              <w:top w:val="single" w:color="DDDDDD" w:sz="1"/>
              <w:left w:val="single" w:color="DDDDDD" w:sz="1"/>
              <w:bottom w:val="single" w:color="DDDDDD" w:sz="1"/>
              <w:right w:val="single" w:color="DDDDDD"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Precio Unitario (USD)</w:t>
            </w:r>
          </w:p>
        </w:tc>
        <w:tc>
          <w:tcPr>
            <w:tcW w:type="dxa" w:w="2360"/>
            <w:tcBorders>
              <w:top w:val="single" w:color="DDDDDD" w:sz="1"/>
              <w:left w:val="single" w:color="DDDDDD" w:sz="1"/>
              <w:bottom w:val="single" w:color="DDDDDD" w:sz="1"/>
              <w:right w:val="single" w:color="DDDDDD"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Estimado Mensual (USD)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Azure OpenAI — GPT-4o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Por 1M tokens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$5.00 – $15.00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444444"/>
                <w:sz w:val="20"/>
                <w:szCs w:val="20"/>
              </w:rPr>
              <w:t xml:space="preserve">$3,000 – $8,000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Azure AI Search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Por unidad de búsqueda/mes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$245 – $980</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444444"/>
                <w:sz w:val="20"/>
                <w:szCs w:val="20"/>
              </w:rPr>
              <w:t xml:space="preserve">$1,000 – $4,000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Document Intelligence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Por 1,000 páginas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$10.00 – $40.00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444444"/>
                <w:sz w:val="20"/>
                <w:szCs w:val="20"/>
              </w:rPr>
              <w:t xml:space="preserve">$2,000 – $6,000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Azure AI Vision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Por 1,000 transacciones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$1.00 – $10.00</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444444"/>
                <w:sz w:val="20"/>
                <w:szCs w:val="20"/>
              </w:rPr>
              <w:t xml:space="preserve">$500 – $2,000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Azure Speech Services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Por hora de audio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$1.00 – $6.00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444444"/>
                <w:sz w:val="20"/>
                <w:szCs w:val="20"/>
              </w:rPr>
              <w:t xml:space="preserve">$800 – $3,000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Infraestructura &amp; Storage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Azure compute + storage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444444"/>
                <w:sz w:val="20"/>
                <w:szCs w:val="20"/>
              </w:rPr>
              <w:t xml:space="preserve">$1,500 – $4,000</w:t>
            </w:r>
          </w:p>
        </w:tc>
      </w:tr>
      <w:tr>
        <w:tc>
          <w:tcPr>
            <w:tcW w:type="dxa" w:w="3000"/>
            <w:tcBorders>
              <w:top w:val="single" w:color="DDDDDD" w:sz="1"/>
              <w:left w:val="single" w:color="DDDDDD" w:sz="1"/>
              <w:bottom w:val="single" w:color="DDDDDD" w:sz="1"/>
              <w:right w:val="single" w:color="DDDDDD" w:sz="1"/>
            </w:tcBorders>
            <w:shd w:fill="003A6C" w:val="clear"/>
            <w:tcMar>
              <w:top w:type="dxa" w:w="100"/>
              <w:left w:type="dxa" w:w="120"/>
              <w:bottom w:type="dxa" w:w="100"/>
              <w:right w:type="dxa" w:w="120"/>
            </w:tcMar>
          </w:tcPr>
          <w:p>
            <w:r>
              <w:rPr>
                <w:rFonts w:ascii="Arial" w:cs="Arial" w:eastAsia="Arial" w:hAnsi="Arial"/>
                <w:b/>
                <w:bCs/>
                <w:color w:val="FFFFFF"/>
                <w:sz w:val="22"/>
                <w:szCs w:val="22"/>
              </w:rPr>
              <w:t xml:space="preserve">TOTAL ESTIMADO</w:t>
            </w:r>
          </w:p>
        </w:tc>
        <w:tc>
          <w:tcPr>
            <w:tcW w:type="dxa" w:w="2000"/>
            <w:tcBorders>
              <w:top w:val="single" w:color="DDDDDD" w:sz="1"/>
              <w:left w:val="single" w:color="DDDDDD" w:sz="1"/>
              <w:bottom w:val="single" w:color="DDDDDD" w:sz="1"/>
              <w:right w:val="single" w:color="DDDDDD" w:sz="1"/>
            </w:tcBorders>
            <w:shd w:fill="003A6C" w:val="clear"/>
            <w:tcMar>
              <w:top w:type="dxa" w:w="100"/>
              <w:left w:type="dxa" w:w="120"/>
              <w:bottom w:type="dxa" w:w="100"/>
              <w:right w:type="dxa" w:w="120"/>
            </w:tcMar>
          </w:tcPr>
          <w:p>
            <w:r>
              <w:rPr>
                <w:rFonts w:ascii="Arial" w:cs="Arial" w:eastAsia="Arial" w:hAnsi="Arial"/>
                <w:color w:val="FFFFFF"/>
                <w:sz w:val="22"/>
                <w:szCs w:val="22"/>
              </w:rPr>
              <w:t xml:space="preserve"/>
            </w:r>
          </w:p>
        </w:tc>
        <w:tc>
          <w:tcPr>
            <w:tcW w:type="dxa" w:w="2000"/>
            <w:tcBorders>
              <w:top w:val="single" w:color="DDDDDD" w:sz="1"/>
              <w:left w:val="single" w:color="DDDDDD" w:sz="1"/>
              <w:bottom w:val="single" w:color="DDDDDD" w:sz="1"/>
              <w:right w:val="single" w:color="DDDDDD" w:sz="1"/>
            </w:tcBorders>
            <w:shd w:fill="003A6C" w:val="clear"/>
            <w:tcMar>
              <w:top w:type="dxa" w:w="100"/>
              <w:left w:type="dxa" w:w="120"/>
              <w:bottom w:type="dxa" w:w="100"/>
              <w:right w:type="dxa" w:w="120"/>
            </w:tcMar>
          </w:tcPr>
          <w:p>
            <w:r>
              <w:rPr>
                <w:rFonts w:ascii="Arial" w:cs="Arial" w:eastAsia="Arial" w:hAnsi="Arial"/>
                <w:color w:val="FFFFFF"/>
                <w:sz w:val="22"/>
                <w:szCs w:val="22"/>
              </w:rPr>
              <w:t xml:space="preserve"/>
            </w:r>
          </w:p>
        </w:tc>
        <w:tc>
          <w:tcPr>
            <w:tcW w:type="dxa" w:w="2360"/>
            <w:tcBorders>
              <w:top w:val="single" w:color="DDDDDD" w:sz="1"/>
              <w:left w:val="single" w:color="DDDDDD" w:sz="1"/>
              <w:bottom w:val="single" w:color="DDDDDD" w:sz="1"/>
              <w:right w:val="single" w:color="DDDDDD" w:sz="1"/>
            </w:tcBorders>
            <w:shd w:fill="003A6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$8,800 – $27,000 USD/mes</w:t>
            </w:r>
          </w:p>
        </w:tc>
      </w:tr>
    </w:tbl>
    <w:p>
      <w:pPr>
        <w:spacing w:before="0" w:after="120"/>
      </w:pPr>
      <w:r>
        <w:t xml:space="preserve"/>
      </w:r>
    </w:p>
    <w:p>
      <w:pPr>
        <w:spacing w:before="80" w:after="80"/>
      </w:pPr>
      <w:r>
        <w:rPr>
          <w:rFonts w:ascii="Arial" w:cs="Arial" w:eastAsia="Arial" w:hAnsi="Arial"/>
          <w:i/>
          <w:iCs/>
          <w:color w:val="777777"/>
          <w:sz w:val="22"/>
          <w:szCs w:val="22"/>
        </w:rPr>
        <w:t xml:space="preserve">* Los precios no incluyen servicios de consultoría, implementación ni soporte. Se pueden obtener descuentos del 15-30% con compromisos anuales o vía Microsoft Azure Reserved Instances.</w:t>
      </w:r>
    </w:p>
    <w:p>
      <w:pPr>
        <w:spacing w:before="0" w:after="120"/>
      </w:pPr>
      <w:r>
        <w:t xml:space="preserve"/>
      </w:r>
    </w:p>
    <w:p>
      <w:pPr>
        <w:spacing w:before="80" w:after="80"/>
      </w:pPr>
      <w:r>
        <w:rPr>
          <w:rFonts w:ascii="Arial" w:cs="Arial" w:eastAsia="Arial" w:hAnsi="Arial"/>
          <w:i/>
          <w:iCs/>
          <w:color w:val="777777"/>
          <w:sz w:val="22"/>
          <w:szCs w:val="22"/>
        </w:rPr>
        <w:t xml:space="preserve">** Para volúmenes corporativos elevados se recomienda negociar un Microsoft Azure Commitment (MACC) con su representante de cuenta Microsoft para obtener precios preferenciales.</w:t>
      </w:r>
    </w:p>
    <w:p>
      <w:pPr>
        <w:spacing w:before="0" w:after="240"/>
      </w:pPr>
      <w:r>
        <w:t xml:space="preserve"/>
      </w:r>
    </w:p>
    <w:p>
      <w:pPr>
        <w:pStyle w:val="Heading1"/>
        <w:spacing w:before="400" w:after="200"/>
      </w:pPr>
      <w:r>
        <w:rPr>
          <w:rFonts w:ascii="Arial" w:cs="Arial" w:eastAsia="Arial" w:hAnsi="Arial"/>
          <w:b/>
          <w:bCs/>
          <w:color w:val="003A6C"/>
          <w:sz w:val="32"/>
          <w:szCs w:val="32"/>
        </w:rPr>
        <w:t xml:space="preserve">4. Plan de Implementación</w:t>
      </w:r>
    </w:p>
    <w:p>
      <w:pPr>
        <w:pBdr>
          <w:bottom w:val="single" w:color="0078D4" w:sz="4" w:space="1"/>
        </w:pBdr>
        <w:spacing w:before="160" w:after="160"/>
      </w:pPr>
      <w:r>
        <w:t xml:space="preserve"/>
      </w:r>
    </w:p>
    <w:p>
      <w:pPr>
        <w:spacing w:before="80" w:after="80"/>
      </w:pPr>
      <w:r>
        <w:rPr>
          <w:rFonts w:ascii="Arial" w:cs="Arial" w:eastAsia="Arial" w:hAnsi="Arial"/>
          <w:color w:val="444444"/>
          <w:sz w:val="22"/>
          <w:szCs w:val="22"/>
        </w:rPr>
        <w:t xml:space="preserve">Proponemos una metodología de implementación por fases que minimiza el riesgo, permite validar resultados en etapas tempranas y garantiza la adopción progresiva en toda la organización.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DDDDDD" w:sz="1"/>
              <w:left w:val="single" w:color="DDDDDD" w:sz="1"/>
              <w:bottom w:val="single" w:color="DDDDDD" w:sz="1"/>
              <w:right w:val="single" w:color="DDDDDD" w:sz="1"/>
            </w:tcBorders>
            <w:shd w:fill="003A6C" w:val="clear"/>
            <w:tcMar>
              <w:top w:type="dxa" w:w="100"/>
              <w:left w:type="dxa" w:w="120"/>
              <w:bottom w:type="dxa" w:w="100"/>
              <w:right w:type="dxa" w:w="120"/>
            </w:tcMar>
          </w:tcPr>
          <w:p>
            <w:r>
              <w:rPr>
                <w:rFonts w:ascii="Arial" w:cs="Arial" w:eastAsia="Arial" w:hAnsi="Arial"/>
                <w:b/>
                <w:bCs/>
                <w:color w:val="FFFFFF"/>
                <w:sz w:val="20"/>
                <w:szCs w:val="20"/>
              </w:rPr>
              <w:t xml:space="preserve">Fase</w:t>
            </w:r>
          </w:p>
        </w:tc>
        <w:tc>
          <w:tcPr>
            <w:tcW w:type="dxa" w:w="5360"/>
            <w:tcBorders>
              <w:top w:val="single" w:color="DDDDDD" w:sz="1"/>
              <w:left w:val="single" w:color="DDDDDD" w:sz="1"/>
              <w:bottom w:val="single" w:color="DDDDDD" w:sz="1"/>
              <w:right w:val="single" w:color="DDDDDD" w:sz="1"/>
            </w:tcBorders>
            <w:shd w:fill="003A6C" w:val="clear"/>
            <w:tcMar>
              <w:top w:type="dxa" w:w="100"/>
              <w:left w:type="dxa" w:w="120"/>
              <w:bottom w:type="dxa" w:w="100"/>
              <w:right w:type="dxa" w:w="120"/>
            </w:tcMar>
          </w:tcPr>
          <w:p>
            <w:r>
              <w:rPr>
                <w:rFonts w:ascii="Arial" w:cs="Arial" w:eastAsia="Arial" w:hAnsi="Arial"/>
                <w:b/>
                <w:bCs/>
                <w:color w:val="FFFFFF"/>
                <w:sz w:val="20"/>
                <w:szCs w:val="20"/>
              </w:rPr>
              <w:t xml:space="preserve">Actividades Principales</w:t>
            </w:r>
          </w:p>
        </w:tc>
        <w:tc>
          <w:tcPr>
            <w:tcW w:type="dxa" w:w="2000"/>
            <w:tcBorders>
              <w:top w:val="single" w:color="DDDDDD" w:sz="1"/>
              <w:left w:val="single" w:color="DDDDDD" w:sz="1"/>
              <w:bottom w:val="single" w:color="DDDDDD" w:sz="1"/>
              <w:right w:val="single" w:color="DDDDDD" w:sz="1"/>
            </w:tcBorders>
            <w:shd w:fill="003A6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Duración</w:t>
            </w:r>
          </w:p>
        </w:tc>
      </w:tr>
      <w:tr>
        <w:tc>
          <w:tcPr>
            <w:tcW w:type="dxa" w:w="2000"/>
            <w:tcBorders>
              <w:top w:val="single" w:color="DDDDDD" w:sz="1"/>
              <w:left w:val="single" w:color="DDDDDD" w:sz="1"/>
              <w:bottom w:val="single" w:color="DDDDDD" w:sz="1"/>
              <w:right w:val="single" w:color="DDDDDD" w:sz="1"/>
            </w:tcBorders>
            <w:shd w:fill="0078D4" w:val="clear"/>
            <w:tcMar>
              <w:top w:type="dxa" w:w="100"/>
              <w:left w:type="dxa" w:w="120"/>
              <w:bottom w:type="dxa" w:w="100"/>
              <w:right w:type="dxa" w:w="120"/>
            </w:tcMar>
          </w:tcPr>
          <w:p>
            <w:r>
              <w:rPr>
                <w:rFonts w:ascii="Arial" w:cs="Arial" w:eastAsia="Arial" w:hAnsi="Arial"/>
                <w:b/>
                <w:bCs/>
                <w:color w:val="FFFFFF"/>
                <w:sz w:val="20"/>
                <w:szCs w:val="20"/>
              </w:rPr>
              <w:t xml:space="preserve">Fase 1: Diagnóstico y Arquitectura</w:t>
            </w:r>
          </w:p>
        </w:tc>
        <w:tc>
          <w:tcPr>
            <w:tcW w:type="dxa" w:w="5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color w:val="444444"/>
                <w:sz w:val="20"/>
                <w:szCs w:val="20"/>
              </w:rPr>
              <w:t xml:space="preserve">Levantamiento de requerimientos, evaluación de arquitectura existente, diseño de solución, plan de gobierno de datos y seguridad.</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vAlign w:val="center"/>
          </w:tcPr>
          <w:p>
            <w:pPr>
              <w:jc w:val="center"/>
            </w:pPr>
            <w:r>
              <w:rPr>
                <w:rFonts w:ascii="Arial" w:cs="Arial" w:eastAsia="Arial" w:hAnsi="Arial"/>
                <w:b/>
                <w:bCs/>
                <w:color w:val="0078D4"/>
                <w:sz w:val="20"/>
                <w:szCs w:val="20"/>
              </w:rPr>
              <w:t xml:space="preserve">2 – 3 semanas</w:t>
            </w:r>
          </w:p>
        </w:tc>
      </w:tr>
      <w:tr>
        <w:tc>
          <w:tcPr>
            <w:tcW w:type="dxa" w:w="2000"/>
            <w:tcBorders>
              <w:top w:val="single" w:color="DDDDDD" w:sz="1"/>
              <w:left w:val="single" w:color="DDDDDD" w:sz="1"/>
              <w:bottom w:val="single" w:color="DDDDDD" w:sz="1"/>
              <w:right w:val="single" w:color="DDDDDD" w:sz="1"/>
            </w:tcBorders>
            <w:shd w:fill="005BA1" w:val="clear"/>
            <w:tcMar>
              <w:top w:type="dxa" w:w="100"/>
              <w:left w:type="dxa" w:w="120"/>
              <w:bottom w:type="dxa" w:w="100"/>
              <w:right w:type="dxa" w:w="120"/>
            </w:tcMar>
          </w:tcPr>
          <w:p>
            <w:r>
              <w:rPr>
                <w:rFonts w:ascii="Arial" w:cs="Arial" w:eastAsia="Arial" w:hAnsi="Arial"/>
                <w:b/>
                <w:bCs/>
                <w:color w:val="FFFFFF"/>
                <w:sz w:val="20"/>
                <w:szCs w:val="20"/>
              </w:rPr>
              <w:t xml:space="preserve">Fase 2: Prueba de Concepto (PoC)</w:t>
            </w:r>
          </w:p>
        </w:tc>
        <w:tc>
          <w:tcPr>
            <w:tcW w:type="dxa" w:w="5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color w:val="444444"/>
                <w:sz w:val="20"/>
                <w:szCs w:val="20"/>
              </w:rPr>
              <w:t xml:space="preserve">Implementación de caso de uso prioritario, configuración de ambiente de pruebas, validación con usuarios clave.</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vAlign w:val="center"/>
          </w:tcPr>
          <w:p>
            <w:pPr>
              <w:jc w:val="center"/>
            </w:pPr>
            <w:r>
              <w:rPr>
                <w:rFonts w:ascii="Arial" w:cs="Arial" w:eastAsia="Arial" w:hAnsi="Arial"/>
                <w:b/>
                <w:bCs/>
                <w:color w:val="0078D4"/>
                <w:sz w:val="20"/>
                <w:szCs w:val="20"/>
              </w:rPr>
              <w:t xml:space="preserve">4 – 6 semanas</w:t>
            </w:r>
          </w:p>
        </w:tc>
      </w:tr>
      <w:tr>
        <w:tc>
          <w:tcPr>
            <w:tcW w:type="dxa" w:w="2000"/>
            <w:tcBorders>
              <w:top w:val="single" w:color="DDDDDD" w:sz="1"/>
              <w:left w:val="single" w:color="DDDDDD" w:sz="1"/>
              <w:bottom w:val="single" w:color="DDDDDD" w:sz="1"/>
              <w:right w:val="single" w:color="DDDDDD" w:sz="1"/>
            </w:tcBorders>
            <w:shd w:fill="003A6C" w:val="clear"/>
            <w:tcMar>
              <w:top w:type="dxa" w:w="100"/>
              <w:left w:type="dxa" w:w="120"/>
              <w:bottom w:type="dxa" w:w="100"/>
              <w:right w:type="dxa" w:w="120"/>
            </w:tcMar>
          </w:tcPr>
          <w:p>
            <w:r>
              <w:rPr>
                <w:rFonts w:ascii="Arial" w:cs="Arial" w:eastAsia="Arial" w:hAnsi="Arial"/>
                <w:b/>
                <w:bCs/>
                <w:color w:val="FFFFFF"/>
                <w:sz w:val="20"/>
                <w:szCs w:val="20"/>
              </w:rPr>
              <w:t xml:space="preserve">Fase 3: Implementación Core</w:t>
            </w:r>
          </w:p>
        </w:tc>
        <w:tc>
          <w:tcPr>
            <w:tcW w:type="dxa" w:w="5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color w:val="444444"/>
                <w:sz w:val="20"/>
                <w:szCs w:val="20"/>
              </w:rPr>
              <w:t xml:space="preserve">Despliegue de los 4 servicios en ambiente de producción, integraciones con sistemas legados, configuración de monitoring.</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vAlign w:val="center"/>
          </w:tcPr>
          <w:p>
            <w:pPr>
              <w:jc w:val="center"/>
            </w:pPr>
            <w:r>
              <w:rPr>
                <w:rFonts w:ascii="Arial" w:cs="Arial" w:eastAsia="Arial" w:hAnsi="Arial"/>
                <w:b/>
                <w:bCs/>
                <w:color w:val="0078D4"/>
                <w:sz w:val="20"/>
                <w:szCs w:val="20"/>
              </w:rPr>
              <w:t xml:space="preserve">8 – 12 semanas</w:t>
            </w:r>
          </w:p>
        </w:tc>
      </w:tr>
      <w:tr>
        <w:tc>
          <w:tcPr>
            <w:tcW w:type="dxa" w:w="2000"/>
            <w:tcBorders>
              <w:top w:val="single" w:color="DDDDDD" w:sz="1"/>
              <w:left w:val="single" w:color="DDDDDD" w:sz="1"/>
              <w:bottom w:val="single" w:color="DDDDDD" w:sz="1"/>
              <w:right w:val="single" w:color="DDDDDD" w:sz="1"/>
            </w:tcBorders>
            <w:shd w:fill="002050" w:val="clear"/>
            <w:tcMar>
              <w:top w:type="dxa" w:w="100"/>
              <w:left w:type="dxa" w:w="120"/>
              <w:bottom w:type="dxa" w:w="100"/>
              <w:right w:type="dxa" w:w="120"/>
            </w:tcMar>
          </w:tcPr>
          <w:p>
            <w:r>
              <w:rPr>
                <w:rFonts w:ascii="Arial" w:cs="Arial" w:eastAsia="Arial" w:hAnsi="Arial"/>
                <w:b/>
                <w:bCs/>
                <w:color w:val="FFFFFF"/>
                <w:sz w:val="20"/>
                <w:szCs w:val="20"/>
              </w:rPr>
              <w:t xml:space="preserve">Fase 4: Escala y Optimización</w:t>
            </w:r>
          </w:p>
        </w:tc>
        <w:tc>
          <w:tcPr>
            <w:tcW w:type="dxa" w:w="5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color w:val="444444"/>
                <w:sz w:val="20"/>
                <w:szCs w:val="20"/>
              </w:rPr>
              <w:t xml:space="preserve">Expansión a nuevas áreas de negocio, fine-tuning de modelos, capacitación de equipos, soporte post-despliegue.</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vAlign w:val="center"/>
          </w:tcPr>
          <w:p>
            <w:pPr>
              <w:jc w:val="center"/>
            </w:pPr>
            <w:r>
              <w:rPr>
                <w:rFonts w:ascii="Arial" w:cs="Arial" w:eastAsia="Arial" w:hAnsi="Arial"/>
                <w:b/>
                <w:bCs/>
                <w:color w:val="0078D4"/>
                <w:sz w:val="20"/>
                <w:szCs w:val="20"/>
              </w:rPr>
              <w:t xml:space="preserve">Continuo</w:t>
            </w:r>
          </w:p>
        </w:tc>
      </w:tr>
    </w:tbl>
    <w:p>
      <w:pPr>
        <w:spacing w:before="0" w:after="240"/>
      </w:pPr>
      <w:r>
        <w:t xml:space="preserve"/>
      </w:r>
    </w:p>
    <w:p>
      <w:pPr>
        <w:pStyle w:val="Heading1"/>
        <w:spacing w:before="400" w:after="200"/>
      </w:pPr>
      <w:r>
        <w:rPr>
          <w:rFonts w:ascii="Arial" w:cs="Arial" w:eastAsia="Arial" w:hAnsi="Arial"/>
          <w:b/>
          <w:bCs/>
          <w:color w:val="003A6C"/>
          <w:sz w:val="32"/>
          <w:szCs w:val="32"/>
        </w:rPr>
        <w:t xml:space="preserve">5. Seguridad, Gobernanza y Cumplimiento</w:t>
      </w:r>
    </w:p>
    <w:p>
      <w:pPr>
        <w:pBdr>
          <w:bottom w:val="single" w:color="0078D4" w:sz="4" w:space="1"/>
        </w:pBdr>
        <w:spacing w:before="160" w:after="160"/>
      </w:pPr>
      <w:r>
        <w:t xml:space="preserve"/>
      </w:r>
    </w:p>
    <w:p>
      <w:pPr>
        <w:spacing w:before="80" w:after="80"/>
      </w:pPr>
      <w:r>
        <w:rPr>
          <w:rFonts w:ascii="Arial" w:cs="Arial" w:eastAsia="Arial" w:hAnsi="Arial"/>
          <w:color w:val="444444"/>
          <w:sz w:val="22"/>
          <w:szCs w:val="22"/>
        </w:rPr>
        <w:t xml:space="preserve">Azure AI Foundry está diseñado para satisfacer los requerimientos de seguridad más exigentes del entorno corporativo. Todos los servicios cumplen con los principales estándares internacionales de seguridad y privacidad de datos.</w:t>
      </w:r>
    </w:p>
    <w:p>
      <w:pPr>
        <w:spacing w:before="0" w:after="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DDDDDD" w:sz="1"/>
              <w:left w:val="single" w:color="DDDDDD" w:sz="1"/>
              <w:bottom w:val="single" w:color="DDDDDD" w:sz="1"/>
              <w:right w:val="single" w:color="DDDDDD" w:sz="1"/>
            </w:tcBorders>
            <w:shd w:fill="E8F4FD" w:val="clear"/>
            <w:tcMar>
              <w:top w:type="dxa" w:w="120"/>
              <w:left w:type="dxa" w:w="140"/>
              <w:bottom w:type="dxa" w:w="120"/>
              <w:right w:type="dxa" w:w="140"/>
            </w:tcMar>
          </w:tcPr>
          <w:p>
            <w:r>
              <w:rPr>
                <w:rFonts w:ascii="Arial" w:cs="Arial" w:eastAsia="Arial" w:hAnsi="Arial"/>
                <w:b/>
                <w:bCs/>
                <w:color w:val="003A6C"/>
                <w:sz w:val="22"/>
                <w:szCs w:val="22"/>
              </w:rPr>
              <w:t xml:space="preserve">Certificaciones y Cumplimiento</w:t>
            </w:r>
          </w:p>
          <w:p>
            <w:pPr>
              <w:spacing w:before="0" w:after="120"/>
            </w:pPr>
            <w:r>
              <w:t xml:space="preserve"/>
            </w:r>
          </w:p>
          <w:p>
            <w:pPr>
              <w:pStyle w:val="ListParagraph"/>
              <w:numPr>
                <w:ilvl w:val="0"/>
                <w:numId w:val="2"/>
              </w:numPr>
            </w:pPr>
            <w:r>
              <w:rPr>
                <w:rFonts w:ascii="Arial" w:cs="Arial" w:eastAsia="Arial" w:hAnsi="Arial"/>
                <w:color w:val="444444"/>
                <w:sz w:val="20"/>
                <w:szCs w:val="20"/>
              </w:rPr>
              <w:t xml:space="preserve">ISO 27001, ISO 27017, ISO 27018</w:t>
            </w:r>
          </w:p>
          <w:p>
            <w:pPr>
              <w:pStyle w:val="ListParagraph"/>
              <w:numPr>
                <w:ilvl w:val="0"/>
                <w:numId w:val="2"/>
              </w:numPr>
            </w:pPr>
            <w:r>
              <w:rPr>
                <w:rFonts w:ascii="Arial" w:cs="Arial" w:eastAsia="Arial" w:hAnsi="Arial"/>
                <w:color w:val="444444"/>
                <w:sz w:val="20"/>
                <w:szCs w:val="20"/>
              </w:rPr>
              <w:t xml:space="preserve">SOC 1, SOC 2, SOC 3</w:t>
            </w:r>
          </w:p>
          <w:p>
            <w:pPr>
              <w:pStyle w:val="ListParagraph"/>
              <w:numPr>
                <w:ilvl w:val="0"/>
                <w:numId w:val="2"/>
              </w:numPr>
            </w:pPr>
            <w:r>
              <w:rPr>
                <w:rFonts w:ascii="Arial" w:cs="Arial" w:eastAsia="Arial" w:hAnsi="Arial"/>
                <w:color w:val="444444"/>
                <w:sz w:val="20"/>
                <w:szCs w:val="20"/>
              </w:rPr>
              <w:t xml:space="preserve">GDPR y Ley Federal de Protección de Datos (México)</w:t>
            </w:r>
          </w:p>
          <w:p>
            <w:pPr>
              <w:pStyle w:val="ListParagraph"/>
              <w:numPr>
                <w:ilvl w:val="0"/>
                <w:numId w:val="2"/>
              </w:numPr>
            </w:pPr>
            <w:r>
              <w:rPr>
                <w:rFonts w:ascii="Arial" w:cs="Arial" w:eastAsia="Arial" w:hAnsi="Arial"/>
                <w:color w:val="444444"/>
                <w:sz w:val="20"/>
                <w:szCs w:val="20"/>
              </w:rPr>
              <w:t xml:space="preserve">HIPAA, PCI-DSS (según aplicación)</w:t>
            </w:r>
          </w:p>
          <w:p>
            <w:pPr>
              <w:pStyle w:val="ListParagraph"/>
              <w:numPr>
                <w:ilvl w:val="0"/>
                <w:numId w:val="2"/>
              </w:numPr>
            </w:pPr>
            <w:r>
              <w:rPr>
                <w:rFonts w:ascii="Arial" w:cs="Arial" w:eastAsia="Arial" w:hAnsi="Arial"/>
                <w:color w:val="444444"/>
                <w:sz w:val="20"/>
                <w:szCs w:val="20"/>
              </w:rPr>
              <w:t xml:space="preserve">FedRAMP High (mercado gubernamental)</w:t>
            </w:r>
          </w:p>
        </w:tc>
        <w:tc>
          <w:tcPr>
            <w:tcW w:type="dxa" w:w="4920"/>
            <w:tcBorders>
              <w:top w:val="single" w:color="DDDDDD" w:sz="1"/>
              <w:left w:val="single" w:color="DDDDDD" w:sz="1"/>
              <w:bottom w:val="single" w:color="DDDDDD" w:sz="1"/>
              <w:right w:val="single" w:color="DDDDDD" w:sz="1"/>
            </w:tcBorders>
            <w:shd w:fill="E8F4FD" w:val="clear"/>
            <w:tcMar>
              <w:top w:type="dxa" w:w="120"/>
              <w:left w:type="dxa" w:w="140"/>
              <w:bottom w:type="dxa" w:w="120"/>
              <w:right w:type="dxa" w:w="140"/>
            </w:tcMar>
          </w:tcPr>
          <w:p>
            <w:r>
              <w:rPr>
                <w:rFonts w:ascii="Arial" w:cs="Arial" w:eastAsia="Arial" w:hAnsi="Arial"/>
                <w:b/>
                <w:bCs/>
                <w:color w:val="003A6C"/>
                <w:sz w:val="22"/>
                <w:szCs w:val="22"/>
              </w:rPr>
              <w:t xml:space="preserve">Controles de Seguridad Incluidos</w:t>
            </w:r>
          </w:p>
          <w:p>
            <w:pPr>
              <w:spacing w:before="0" w:after="120"/>
            </w:pPr>
            <w:r>
              <w:t xml:space="preserve"/>
            </w:r>
          </w:p>
          <w:p>
            <w:pPr>
              <w:pStyle w:val="ListParagraph"/>
              <w:numPr>
                <w:ilvl w:val="0"/>
                <w:numId w:val="2"/>
              </w:numPr>
            </w:pPr>
            <w:r>
              <w:rPr>
                <w:rFonts w:ascii="Arial" w:cs="Arial" w:eastAsia="Arial" w:hAnsi="Arial"/>
                <w:color w:val="444444"/>
                <w:sz w:val="20"/>
                <w:szCs w:val="20"/>
              </w:rPr>
              <w:t xml:space="preserve">Cifrado en tránsito (TLS 1.2+) y en reposo (AES-256)</w:t>
            </w:r>
          </w:p>
          <w:p>
            <w:pPr>
              <w:pStyle w:val="ListParagraph"/>
              <w:numPr>
                <w:ilvl w:val="0"/>
                <w:numId w:val="2"/>
              </w:numPr>
            </w:pPr>
            <w:r>
              <w:rPr>
                <w:rFonts w:ascii="Arial" w:cs="Arial" w:eastAsia="Arial" w:hAnsi="Arial"/>
                <w:color w:val="444444"/>
                <w:sz w:val="20"/>
                <w:szCs w:val="20"/>
              </w:rPr>
              <w:t xml:space="preserve">Redes privadas con Private Endpoints y VNet Integration</w:t>
            </w:r>
          </w:p>
          <w:p>
            <w:pPr>
              <w:pStyle w:val="ListParagraph"/>
              <w:numPr>
                <w:ilvl w:val="0"/>
                <w:numId w:val="2"/>
              </w:numPr>
            </w:pPr>
            <w:r>
              <w:rPr>
                <w:rFonts w:ascii="Arial" w:cs="Arial" w:eastAsia="Arial" w:hAnsi="Arial"/>
                <w:color w:val="444444"/>
                <w:sz w:val="20"/>
                <w:szCs w:val="20"/>
              </w:rPr>
              <w:t xml:space="preserve">Autenticación con Azure Active Directory y MFA</w:t>
            </w:r>
          </w:p>
          <w:p>
            <w:pPr>
              <w:pStyle w:val="ListParagraph"/>
              <w:numPr>
                <w:ilvl w:val="0"/>
                <w:numId w:val="2"/>
              </w:numPr>
            </w:pPr>
            <w:r>
              <w:rPr>
                <w:rFonts w:ascii="Arial" w:cs="Arial" w:eastAsia="Arial" w:hAnsi="Arial"/>
                <w:color w:val="444444"/>
                <w:sz w:val="20"/>
                <w:szCs w:val="20"/>
              </w:rPr>
              <w:t xml:space="preserve">Auditoría y logs centralizados con Azure Monitor</w:t>
            </w:r>
          </w:p>
          <w:p>
            <w:pPr>
              <w:pStyle w:val="ListParagraph"/>
              <w:numPr>
                <w:ilvl w:val="0"/>
                <w:numId w:val="2"/>
              </w:numPr>
            </w:pPr>
            <w:r>
              <w:rPr>
                <w:rFonts w:ascii="Arial" w:cs="Arial" w:eastAsia="Arial" w:hAnsi="Arial"/>
                <w:color w:val="444444"/>
                <w:sz w:val="20"/>
                <w:szCs w:val="20"/>
              </w:rPr>
              <w:t xml:space="preserve">Responsible AI: detección de sesgos y contenido nocivo</w:t>
            </w:r>
          </w:p>
        </w:tc>
      </w:tr>
    </w:tbl>
    <w:p>
      <w:pPr>
        <w:spacing w:before="0" w:after="240"/>
      </w:pPr>
      <w:r>
        <w:t xml:space="preserve"/>
      </w:r>
    </w:p>
    <w:p>
      <w:r>
        <w:br w:type="page"/>
      </w:r>
    </w:p>
    <w:p>
      <w:pPr>
        <w:pStyle w:val="Heading1"/>
        <w:spacing w:before="400" w:after="200"/>
      </w:pPr>
      <w:r>
        <w:rPr>
          <w:rFonts w:ascii="Arial" w:cs="Arial" w:eastAsia="Arial" w:hAnsi="Arial"/>
          <w:b/>
          <w:bCs/>
          <w:color w:val="003A6C"/>
          <w:sz w:val="32"/>
          <w:szCs w:val="32"/>
        </w:rPr>
        <w:t xml:space="preserve">6. ¿Por qué Azure AI Foundry?</w:t>
      </w:r>
    </w:p>
    <w:p>
      <w:pPr>
        <w:pBdr>
          <w:bottom w:val="single" w:color="0078D4" w:sz="4" w:space="1"/>
        </w:pBdr>
        <w:spacing w:before="160" w:after="160"/>
      </w:pPr>
      <w:r>
        <w:t xml:space="preserve"/>
      </w:r>
    </w:p>
    <w:p>
      <w:pPr>
        <w:spacing w:before="80" w:after="80"/>
      </w:pPr>
      <w:r>
        <w:rPr>
          <w:rFonts w:ascii="Arial" w:cs="Arial" w:eastAsia="Arial" w:hAnsi="Arial"/>
          <w:color w:val="444444"/>
          <w:sz w:val="22"/>
          <w:szCs w:val="22"/>
        </w:rPr>
        <w:t xml:space="preserve">Azure AI Foundry consolida en una sola plataforma todo el ciclo de vida de la IA empresarial: desde la exploración de modelos hasta el despliegue y monitoreo en producción, con integración nativa al ecosistema Microsoft que ya utiliza su organización.</w:t>
      </w:r>
    </w:p>
    <w:p>
      <w:pPr>
        <w:spacing w:before="0" w:after="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none" w:color="FFFFFF" w:sz="0"/>
              <w:left w:val="none" w:color="FFFFFF" w:sz="0"/>
              <w:bottom w:val="none" w:color="FFFFFF" w:sz="0"/>
              <w:right w:val="none" w:color="FFFFFF" w:sz="0"/>
            </w:tcBorders>
          </w:tcPr>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4760"/>
            </w:tblGrid>
            <w:tr>
              <w:tc>
                <w:tcPr>
                  <w:tcW w:type="dxa" w:w="4760"/>
                  <w:tcBorders>
                    <w:top w:val="none" w:color="FFFFFF" w:sz="0"/>
                    <w:left w:val="single" w:color="0078D4" w:sz="6"/>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003A6C"/>
                      <w:sz w:val="20"/>
                      <w:szCs w:val="20"/>
                    </w:rPr>
                    <w:t xml:space="preserve">Ecosistema Microsoft Integrado</w:t>
                  </w:r>
                </w:p>
                <w:p>
                  <w:r>
                    <w:rPr>
                      <w:rFonts w:ascii="Arial" w:cs="Arial" w:eastAsia="Arial" w:hAnsi="Arial"/>
                      <w:color w:val="444444"/>
                      <w:sz w:val="18"/>
                      <w:szCs w:val="18"/>
                    </w:rPr>
                    <w:t xml:space="preserve">Conexión nativa con Microsoft 365, Teams, Power Platform, Dynamics 365 y Azure DevOps.</w:t>
                  </w:r>
                </w:p>
              </w:tc>
            </w:tr>
            <w:tr>
              <w:tc>
                <w:tcPr>
                  <w:tcW w:type="dxa" w:w="4760"/>
                  <w:tcBorders>
                    <w:top w:val="none" w:color="FFFFFF" w:sz="0"/>
                    <w:left w:val="single" w:color="0078D4" w:sz="6"/>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003A6C"/>
                      <w:sz w:val="20"/>
                      <w:szCs w:val="20"/>
                    </w:rPr>
                    <w:t xml:space="preserve">Catálogo de Modelos Amplio</w:t>
                  </w:r>
                </w:p>
                <w:p>
                  <w:r>
                    <w:rPr>
                      <w:rFonts w:ascii="Arial" w:cs="Arial" w:eastAsia="Arial" w:hAnsi="Arial"/>
                      <w:color w:val="444444"/>
                      <w:sz w:val="18"/>
                      <w:szCs w:val="18"/>
                    </w:rPr>
                    <w:t xml:space="preserve">Acceso a GPT-4o, Llama 3, Mistral, Phi-3 y más de 1,600 modelos en el Model Catalog.</w:t>
                  </w:r>
                </w:p>
              </w:tc>
            </w:tr>
            <w:tr>
              <w:tc>
                <w:tcPr>
                  <w:tcW w:type="dxa" w:w="4760"/>
                  <w:tcBorders>
                    <w:top w:val="none" w:color="FFFFFF" w:sz="0"/>
                    <w:left w:val="single" w:color="0078D4" w:sz="6"/>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003A6C"/>
                      <w:sz w:val="20"/>
                      <w:szCs w:val="20"/>
                    </w:rPr>
                    <w:t xml:space="preserve">Plataforma Unificada</w:t>
                  </w:r>
                </w:p>
                <w:p>
                  <w:r>
                    <w:rPr>
                      <w:rFonts w:ascii="Arial" w:cs="Arial" w:eastAsia="Arial" w:hAnsi="Arial"/>
                      <w:color w:val="444444"/>
                      <w:sz w:val="18"/>
                      <w:szCs w:val="18"/>
                    </w:rPr>
                    <w:t xml:space="preserve">Un único portal para gestionar todos los servicios de IA: desarrollo, despliegue y monitoreo.</w:t>
                  </w:r>
                </w:p>
              </w:tc>
            </w:tr>
          </w:tbl>
          <w:p/>
        </w:tc>
        <w:tc>
          <w:tcPr>
            <w:tcW w:type="dxa" w:w="4920"/>
            <w:tcBorders>
              <w:top w:val="none" w:color="FFFFFF" w:sz="0"/>
              <w:left w:val="none" w:color="FFFFFF" w:sz="0"/>
              <w:bottom w:val="none" w:color="FFFFFF" w:sz="0"/>
              <w:right w:val="none" w:color="FFFFFF" w:sz="0"/>
            </w:tcBorders>
          </w:tcPr>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4760"/>
            </w:tblGrid>
            <w:tr>
              <w:tc>
                <w:tcPr>
                  <w:tcW w:type="dxa" w:w="4760"/>
                  <w:tcBorders>
                    <w:top w:val="none" w:color="FFFFFF" w:sz="0"/>
                    <w:left w:val="single" w:color="50E6FF" w:sz="6"/>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003A6C"/>
                      <w:sz w:val="20"/>
                      <w:szCs w:val="20"/>
                    </w:rPr>
                    <w:t xml:space="preserve">Seguridad de Nivel Empresarial</w:t>
                  </w:r>
                </w:p>
                <w:p>
                  <w:r>
                    <w:rPr>
                      <w:rFonts w:ascii="Arial" w:cs="Arial" w:eastAsia="Arial" w:hAnsi="Arial"/>
                      <w:color w:val="444444"/>
                      <w:sz w:val="18"/>
                      <w:szCs w:val="18"/>
                    </w:rPr>
                    <w:t xml:space="preserve">Datos del cliente nunca se usan para entrenar modelos. Privacidad garantizada por contrato.</w:t>
                  </w:r>
                </w:p>
              </w:tc>
            </w:tr>
            <w:tr>
              <w:tc>
                <w:tcPr>
                  <w:tcW w:type="dxa" w:w="4760"/>
                  <w:tcBorders>
                    <w:top w:val="none" w:color="FFFFFF" w:sz="0"/>
                    <w:left w:val="single" w:color="50E6FF" w:sz="6"/>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003A6C"/>
                      <w:sz w:val="20"/>
                      <w:szCs w:val="20"/>
                    </w:rPr>
                    <w:t xml:space="preserve">Soporte y SLAs Corporativos</w:t>
                  </w:r>
                </w:p>
                <w:p>
                  <w:r>
                    <w:rPr>
                      <w:rFonts w:ascii="Arial" w:cs="Arial" w:eastAsia="Arial" w:hAnsi="Arial"/>
                      <w:color w:val="444444"/>
                      <w:sz w:val="18"/>
                      <w:szCs w:val="18"/>
                    </w:rPr>
                    <w:t xml:space="preserve">SLA de 99.9% de disponibilidad con soporte 24/7 y acuerdos de nivel de servicio formales.</w:t>
                  </w:r>
                </w:p>
              </w:tc>
            </w:tr>
            <w:tr>
              <w:tc>
                <w:tcPr>
                  <w:tcW w:type="dxa" w:w="4760"/>
                  <w:tcBorders>
                    <w:top w:val="none" w:color="FFFFFF" w:sz="0"/>
                    <w:left w:val="single" w:color="50E6FF" w:sz="6"/>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003A6C"/>
                      <w:sz w:val="20"/>
                      <w:szCs w:val="20"/>
                    </w:rPr>
                    <w:t xml:space="preserve">Innovación Continua</w:t>
                  </w:r>
                </w:p>
                <w:p>
                  <w:r>
                    <w:rPr>
                      <w:rFonts w:ascii="Arial" w:cs="Arial" w:eastAsia="Arial" w:hAnsi="Arial"/>
                      <w:color w:val="444444"/>
                      <w:sz w:val="18"/>
                      <w:szCs w:val="18"/>
                    </w:rPr>
                    <w:t xml:space="preserve">Microsoft invierte más de $10B anuales en IA; nuevos modelos y capacidades disponibles de forma continua.</w:t>
                  </w:r>
                </w:p>
              </w:tc>
            </w:tr>
          </w:tbl>
          <w:p/>
        </w:tc>
      </w:tr>
    </w:tbl>
    <w:p>
      <w:pPr>
        <w:spacing w:before="0" w:after="240"/>
      </w:pPr>
      <w:r>
        <w:t xml:space="preserve"/>
      </w:r>
    </w:p>
    <w:p>
      <w:pPr>
        <w:pStyle w:val="Heading1"/>
        <w:spacing w:before="400" w:after="200"/>
      </w:pPr>
      <w:r>
        <w:rPr>
          <w:rFonts w:ascii="Arial" w:cs="Arial" w:eastAsia="Arial" w:hAnsi="Arial"/>
          <w:b/>
          <w:bCs/>
          <w:color w:val="003A6C"/>
          <w:sz w:val="32"/>
          <w:szCs w:val="32"/>
        </w:rPr>
        <w:t xml:space="preserve">7. Próximos Pasos</w:t>
      </w:r>
    </w:p>
    <w:p>
      <w:pPr>
        <w:pBdr>
          <w:bottom w:val="single" w:color="0078D4" w:sz="4" w:space="1"/>
        </w:pBdr>
        <w:spacing w:before="160" w:after="160"/>
      </w:pPr>
      <w:r>
        <w:t xml:space="preserve"/>
      </w:r>
    </w:p>
    <w:p>
      <w:pPr>
        <w:spacing w:before="80" w:after="80"/>
      </w:pPr>
      <w:r>
        <w:rPr>
          <w:rFonts w:ascii="Arial" w:cs="Arial" w:eastAsia="Arial" w:hAnsi="Arial"/>
          <w:color w:val="444444"/>
          <w:sz w:val="22"/>
          <w:szCs w:val="22"/>
        </w:rPr>
        <w:t xml:space="preserve">Para avanzar con esta propuesta, sugerimos el siguiente proceso de validación y aprobación:</w:t>
      </w:r>
    </w:p>
    <w:p>
      <w:pPr>
        <w:spacing w:before="0" w:after="120"/>
      </w:pPr>
      <w:r>
        <w:t xml:space="preserve"/>
      </w:r>
    </w:p>
    <w:p>
      <w:pPr>
        <w:pStyle w:val="ListParagraph"/>
        <w:numPr>
          <w:ilvl w:val="0"/>
          <w:numId w:val="2"/>
        </w:numPr>
      </w:pPr>
      <w:r>
        <w:rPr>
          <w:rFonts w:ascii="Arial" w:cs="Arial" w:eastAsia="Arial" w:hAnsi="Arial"/>
          <w:color w:val="444444"/>
          <w:sz w:val="22"/>
          <w:szCs w:val="22"/>
        </w:rPr>
        <w:t xml:space="preserve">Sesión de alineación técnica con el equipo de IT y Arquitectura para validar requerimientos específicos.</w:t>
      </w:r>
    </w:p>
    <w:p>
      <w:pPr>
        <w:pStyle w:val="ListParagraph"/>
        <w:numPr>
          <w:ilvl w:val="0"/>
          <w:numId w:val="2"/>
        </w:numPr>
      </w:pPr>
      <w:r>
        <w:rPr>
          <w:rFonts w:ascii="Arial" w:cs="Arial" w:eastAsia="Arial" w:hAnsi="Arial"/>
          <w:color w:val="444444"/>
          <w:sz w:val="22"/>
          <w:szCs w:val="22"/>
        </w:rPr>
        <w:t xml:space="preserve">Workshop de casos de uso con líderes de negocio para priorizar el Proof of Concept inicial.</w:t>
      </w:r>
    </w:p>
    <w:p>
      <w:pPr>
        <w:pStyle w:val="ListParagraph"/>
        <w:numPr>
          <w:ilvl w:val="0"/>
          <w:numId w:val="2"/>
        </w:numPr>
      </w:pPr>
      <w:r>
        <w:rPr>
          <w:rFonts w:ascii="Arial" w:cs="Arial" w:eastAsia="Arial" w:hAnsi="Arial"/>
          <w:color w:val="444444"/>
          <w:sz w:val="22"/>
          <w:szCs w:val="22"/>
        </w:rPr>
        <w:t xml:space="preserve">Presentación ejecutiva al Comité de Tecnología y aprobación del presupuesto.</w:t>
      </w:r>
    </w:p>
    <w:p>
      <w:pPr>
        <w:pStyle w:val="ListParagraph"/>
        <w:numPr>
          <w:ilvl w:val="0"/>
          <w:numId w:val="2"/>
        </w:numPr>
      </w:pPr>
      <w:r>
        <w:rPr>
          <w:rFonts w:ascii="Arial" w:cs="Arial" w:eastAsia="Arial" w:hAnsi="Arial"/>
          <w:color w:val="444444"/>
          <w:sz w:val="22"/>
          <w:szCs w:val="22"/>
        </w:rPr>
        <w:t xml:space="preserve">Firma de acuerdo de confidencialidad (NDA) y carta de intención para iniciar la Fase 1.</w:t>
      </w:r>
    </w:p>
    <w:p>
      <w:pPr>
        <w:spacing w:before="0" w:after="2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003A6C"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Contáctenos para agendar una demostración</w:t>
            </w:r>
          </w:p>
          <w:p>
            <w:pPr>
              <w:spacing w:before="100"/>
              <w:jc w:val="center"/>
            </w:pPr>
            <w:r>
              <w:rPr>
                <w:rFonts w:ascii="Arial" w:cs="Arial" w:eastAsia="Arial" w:hAnsi="Arial"/>
                <w:color w:val="50E6FF"/>
                <w:sz w:val="20"/>
                <w:szCs w:val="20"/>
              </w:rPr>
              <w:t xml:space="preserve">[Nombre del Ejecutivo]  |  [email@empresa.com]  |  [Teléfono]</w:t>
            </w:r>
          </w:p>
          <w:p>
            <w:pPr>
              <w:spacing w:before="60"/>
              <w:jc w:val="center"/>
            </w:pPr>
            <w:r>
              <w:rPr>
                <w:rFonts w:ascii="Arial" w:cs="Arial" w:eastAsia="Arial" w:hAnsi="Arial"/>
                <w:color w:val="FFFFFF"/>
                <w:sz w:val="20"/>
                <w:szCs w:val="20"/>
              </w:rPr>
              <w:t xml:space="preserve">www.empresa.com</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0E6FF" w:sz="4" w:space="1"/>
      </w:pBdr>
      <w:tabs>
        <w:tab w:val="right" w:pos="9840"/>
      </w:tabs>
    </w:pPr>
    <w:r>
      <w:rPr>
        <w:rFonts w:ascii="Arial" w:cs="Arial" w:eastAsia="Arial" w:hAnsi="Arial"/>
        <w:color w:val="444444"/>
        <w:sz w:val="16"/>
        <w:szCs w:val="16"/>
      </w:rPr>
      <w:t xml:space="preserve">Confidencial  |  2025</w:t>
    </w:r>
    <w:r>
      <w:rPr>
        <w:rFonts w:ascii="Arial" w:cs="Arial" w:eastAsia="Arial" w:hAnsi="Arial"/>
        <w:color w:val="444444"/>
        <w:sz w:val="16"/>
        <w:szCs w:val="16"/>
      </w:rPr>
      <w:t xml:space="preserve">	Pág.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0"/>
      <w:gridCol w:w="2840"/>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0078D4"/>
              <w:sz w:val="18"/>
              <w:szCs w:val="18"/>
            </w:rPr>
            <w:t xml:space="preserve">Propuesta de Servicios</w:t>
          </w:r>
        </w:p>
      </w:tc>
      <w:tc>
        <w:tcPr>
          <w:tcW w:type="dxa" w:w="2840"/>
          <w:tcBorders>
            <w:top w:val="none" w:color="FFFFFF" w:sz="0"/>
            <w:left w:val="none" w:color="FFFFFF" w:sz="0"/>
            <w:bottom w:val="none" w:color="FFFFFF" w:sz="0"/>
            <w:right w:val="none" w:color="FFFFFF" w:sz="0"/>
          </w:tcBorders>
        </w:tcPr>
        <w:p>
          <w:pPr>
            <w:jc w:val="right"/>
          </w:pPr>
          <w:r>
            <w:rPr>
              <w:rFonts w:ascii="Arial" w:cs="Arial" w:eastAsia="Arial" w:hAnsi="Arial"/>
              <w:color w:val="444444"/>
              <w:sz w:val="18"/>
              <w:szCs w:val="18"/>
            </w:rPr>
            <w:t xml:space="preserve">Azure AI Foundry</w:t>
          </w:r>
        </w:p>
      </w:tc>
    </w:tr>
  </w:tbl>
  <w:p>
    <w:pPr>
      <w:pBdr>
        <w:bottom w:val="single" w:color="0078D4"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A6C"/>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2026-03-04T03:25:57.463Z</dcterms:created>
  <dcterms:modified xsi:type="dcterms:W3CDTF">2026-03-04T03:25:57.464Z</dcterms:modified>
</cp:coreProperties>
</file>

<file path=docProps/custom.xml><?xml version="1.0" encoding="utf-8"?>
<Properties xmlns="http://schemas.openxmlformats.org/officeDocument/2006/custom-properties" xmlns:vt="http://schemas.openxmlformats.org/officeDocument/2006/docPropsVTypes"/>
</file>