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3600" w:hRule="exact"/>
        </w:trPr>
        <w:tc>
          <w:tcPr>
            <w:tcBorders>
              <w:top w:val="none" w:color="FFFFFF" w:sz="0"/>
              <w:left w:val="none" w:color="FFFFFF" w:sz="0"/>
              <w:bottom w:val="none" w:color="FFFFFF" w:sz="0"/>
              <w:right w:val="none" w:color="FFFFFF" w:sz="0"/>
            </w:tcBorders>
            <w:shd w:fill="1F3864" w:val="clear"/>
            <w:tcMar>
              <w:top w:type="dxa" w:w="600"/>
              <w:left w:type="dxa" w:w="1440"/>
              <w:bottom w:type="dxa" w:w="200"/>
              <w:right w:type="dxa" w:w="1440"/>
            </w:tcMar>
            <w:vAlign w:val="center"/>
          </w:tcPr>
          <w:p>
            <w:pPr>
              <w:spacing w:before="0" w:after="120"/>
              <w:jc w:val="left"/>
            </w:pPr>
            <w:r>
              <w:rPr>
                <w:rFonts w:ascii="Arial" w:cs="Arial" w:eastAsia="Arial" w:hAnsi="Arial"/>
                <w:b/>
                <w:bCs/>
                <w:color w:val="A8C4E8"/>
                <w:sz w:val="20"/>
                <w:szCs w:val="20"/>
              </w:rPr>
              <w:t xml:space="preserve">PROPUESTA DE SERVICIOS</w:t>
            </w:r>
          </w:p>
          <w:p>
            <w:pPr>
              <w:spacing w:before="0" w:after="80"/>
              <w:jc w:val="left"/>
            </w:pPr>
            <w:r>
              <w:rPr>
                <w:rFonts w:ascii="Arial" w:cs="Arial" w:eastAsia="Arial" w:hAnsi="Arial"/>
                <w:b/>
                <w:bCs/>
                <w:color w:val="FFFFFF"/>
                <w:sz w:val="44"/>
                <w:szCs w:val="44"/>
              </w:rPr>
              <w:t xml:space="preserve">Actualización de Servicios de</w:t>
            </w:r>
          </w:p>
          <w:p>
            <w:pPr>
              <w:spacing w:before="0" w:after="200"/>
              <w:jc w:val="left"/>
            </w:pPr>
            <w:r>
              <w:rPr>
                <w:rFonts w:ascii="Arial" w:cs="Arial" w:eastAsia="Arial" w:hAnsi="Arial"/>
                <w:b/>
                <w:bCs/>
                <w:color w:val="7FB3E8"/>
                <w:sz w:val="52"/>
                <w:szCs w:val="52"/>
              </w:rPr>
              <w:t xml:space="preserve">Active Directory</w:t>
            </w:r>
          </w:p>
          <w:p>
            <w:pPr>
              <w:spacing w:before="0" w:after="0"/>
              <w:jc w:val="left"/>
            </w:pPr>
            <w:r>
              <w:rPr>
                <w:rFonts w:ascii="Arial" w:cs="Arial" w:eastAsia="Arial" w:hAnsi="Arial"/>
                <w:color w:val="A8C4E8"/>
                <w:sz w:val="24"/>
                <w:szCs w:val="24"/>
              </w:rPr>
              <w:t xml:space="preserve">Modernización e Integración con Azure AD</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8400" w:hRule="exact"/>
        </w:trPr>
        <w:tc>
          <w:tcPr>
            <w:tcBorders>
              <w:top w:val="none" w:color="FFFFFF" w:sz="0"/>
              <w:left w:val="none" w:color="FFFFFF" w:sz="0"/>
              <w:bottom w:val="none" w:color="FFFFFF" w:sz="0"/>
              <w:right w:val="none" w:color="FFFFFF" w:sz="0"/>
            </w:tcBorders>
            <w:shd w:fill="FFFFFF" w:val="clear"/>
            <w:tcMar>
              <w:top w:type="dxa" w:w="800"/>
              <w:left w:type="dxa" w:w="1440"/>
              <w:bottom w:type="dxa" w:w="200"/>
              <w:right w:type="dxa" w:w="1440"/>
            </w:tcMar>
            <w:vAlign w:val="center"/>
          </w:tcPr>
          <w:p>
            <w:pPr>
              <w:spacing w:before="0" w:after="600"/>
            </w:pPr>
            <w:r>
              <w:rPr>
                <w:rFonts w:ascii="Arial" w:cs="Arial" w:eastAsia="Arial" w:hAnsi="Arial"/>
                <w:i/>
                <w:iCs/>
                <w:color w:val="888888"/>
                <w:sz w:val="20"/>
                <w:szCs w:val="20"/>
              </w:rPr>
              <w:t xml:space="preserve">Documento confidencial — Uso exclusivo del cliente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Versión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Fecha</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Marzo 2026</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Clasificación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Confidencial</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spacing w:before="0" w:after="0"/>
                  </w:pPr>
                  <w:r>
                    <w:rPr>
                      <w:rFonts w:ascii="Arial" w:cs="Arial" w:eastAsia="Arial" w:hAnsi="Arial"/>
                      <w:b/>
                      <w:bCs/>
                      <w:color w:val="1F3864"/>
                      <w:sz w:val="20"/>
                      <w:szCs w:val="20"/>
                    </w:rPr>
                    <w:t xml:space="preserve">Área</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color w:val="333333"/>
                      <w:sz w:val="20"/>
                      <w:szCs w:val="20"/>
                    </w:rPr>
                    <w:t xml:space="preserve">Infraestructura TI</w:t>
                  </w:r>
                </w:p>
              </w:tc>
            </w:tr>
          </w:tbl>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3840" w:hRule="exact"/>
        </w:trPr>
        <w:tc>
          <w:tcPr>
            <w:tcBorders>
              <w:top w:val="none" w:color="FFFFFF" w:sz="0"/>
              <w:left w:val="none" w:color="FFFFFF" w:sz="0"/>
              <w:bottom w:val="none" w:color="FFFFFF" w:sz="0"/>
              <w:right w:val="none" w:color="FFFFFF" w:sz="0"/>
            </w:tcBorders>
            <w:shd w:fill="1F3864" w:val="clear"/>
            <w:tcMar>
              <w:top w:type="dxa" w:w="400"/>
              <w:left w:type="dxa" w:w="1440"/>
              <w:bottom w:type="dxa" w:w="0"/>
              <w:right w:type="dxa" w:w="1440"/>
            </w:tcMar>
          </w:tcPr>
          <w:p>
            <w:pPr>
              <w:spacing w:before="0" w:after="160"/>
            </w:pPr>
            <w:r>
              <w:rPr>
                <w:rFonts w:ascii="Arial" w:cs="Arial" w:eastAsia="Arial" w:hAnsi="Arial"/>
                <w:color w:val="A8C4E8"/>
                <w:sz w:val="18"/>
                <w:szCs w:val="18"/>
              </w:rPr>
              <w:t xml:space="preserve">Elaborado por:</w:t>
            </w:r>
          </w:p>
          <w:p>
            <w:pPr>
              <w:spacing w:before="0" w:after="60"/>
            </w:pPr>
            <w:r>
              <w:rPr>
                <w:rFonts w:ascii="Arial" w:cs="Arial" w:eastAsia="Arial" w:hAnsi="Arial"/>
                <w:b/>
                <w:bCs/>
                <w:color w:val="FFFFFF"/>
                <w:sz w:val="22"/>
                <w:szCs w:val="22"/>
              </w:rPr>
              <w:t xml:space="preserve">Equipo de Infraestructura y Soluciones Microsoft</w:t>
            </w:r>
          </w:p>
          <w:p>
            <w:pPr>
              <w:spacing w:before="0" w:after="0"/>
            </w:pPr>
            <w:r>
              <w:rPr>
                <w:rFonts w:ascii="Arial" w:cs="Arial" w:eastAsia="Arial" w:hAnsi="Arial"/>
                <w:color w:val="A8C4E8"/>
                <w:sz w:val="20"/>
                <w:szCs w:val="20"/>
              </w:rPr>
              <w:t xml:space="preserve">Departamento de Tecnologías de la Información</w:t>
            </w:r>
          </w:p>
        </w:tc>
      </w:tr>
    </w:tbl>
    <w:p>
      <w:pPr>
        <w:sectPr>
          <w:pgSz w:w="12240" w:h="15840" w:orient="portrait"/>
          <w:pgMar w:top="0" w:right="0" w:bottom="0" w:left="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before="0" w:after="0"/>
            </w:pPr>
            <w:r>
              <w:rPr>
                <w:rFonts w:ascii="Arial" w:cs="Arial" w:eastAsia="Arial" w:hAnsi="Arial"/>
                <w:b/>
                <w:bCs/>
                <w:color w:val="FFFFFF"/>
                <w:sz w:val="26"/>
                <w:szCs w:val="26"/>
              </w:rPr>
              <w:t xml:space="preserve">1. OBJETIVO</w:t>
            </w:r>
          </w:p>
        </w:tc>
      </w:tr>
    </w:tbl>
    <w:p>
      <w:pPr>
        <w:spacing w:before="0" w:after="0"/>
      </w:pPr>
      <w:r>
        <w:t xml:space="preserve"/>
      </w:r>
    </w:p>
    <w:p>
      <w:pPr>
        <w:spacing w:before="80" w:after="80"/>
        <w:jc w:val="both"/>
      </w:pPr>
      <w:r>
        <w:rPr>
          <w:rFonts w:ascii="Arial" w:cs="Arial" w:eastAsia="Arial" w:hAnsi="Arial"/>
          <w:b w:val="false"/>
          <w:bCs w:val="false"/>
          <w:color w:val="333333"/>
          <w:sz w:val="22"/>
          <w:szCs w:val="22"/>
        </w:rPr>
        <w:t xml:space="preserve">La presente propuesta tiene como objetivo principal planificar, coordinar y ejecutar la actualización integral de los servicios de Active Directory (AD) en la organización. Esto incluye la migración hacia versiones actualizadas del sistema operativo de los Domain Controllers, la implementación de mejores prácticas de seguridad, la limpieza y optimización del directorio, y la sincronización con Azure Active Directory (Azure AD / Microsoft Entra ID) para habilitar escenarios de identidad híbrida.</w:t>
      </w:r>
    </w:p>
    <w:p>
      <w:pPr>
        <w:spacing w:before="0" w:after="0"/>
      </w:pPr>
      <w:r>
        <w:t xml:space="preserve"/>
      </w:r>
    </w:p>
    <w:p>
      <w:pPr>
        <w:spacing w:before="80" w:after="80"/>
        <w:jc w:val="both"/>
      </w:pPr>
      <w:r>
        <w:rPr>
          <w:rFonts w:ascii="Arial" w:cs="Arial" w:eastAsia="Arial" w:hAnsi="Arial"/>
          <w:b w:val="false"/>
          <w:bCs w:val="false"/>
          <w:color w:val="333333"/>
          <w:sz w:val="22"/>
          <w:szCs w:val="22"/>
        </w:rPr>
        <w:t xml:space="preserve">Esta actualización garantizará la continuidad operativa, mejorará la postura de seguridad de la organización, habilitará capacidades modernas de gestión de identidades y permitirá el aprovechamiento de servicios en la nube de Microsoft 365 y Azure.</w:t>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before="0" w:after="0"/>
            </w:pPr>
            <w:r>
              <w:rPr>
                <w:rFonts w:ascii="Arial" w:cs="Arial" w:eastAsia="Arial" w:hAnsi="Arial"/>
                <w:b/>
                <w:bCs/>
                <w:color w:val="FFFFFF"/>
                <w:sz w:val="26"/>
                <w:szCs w:val="26"/>
              </w:rPr>
              <w:t xml:space="preserve">2. ALCANCE</w:t>
            </w:r>
          </w:p>
        </w:tc>
      </w:tr>
    </w:tbl>
    <w:p>
      <w:pPr>
        <w:spacing w:before="0" w:after="0"/>
      </w:pPr>
      <w:r>
        <w:t xml:space="preserve"/>
      </w:r>
    </w:p>
    <w:p>
      <w:pPr>
        <w:pStyle w:val="Heading2"/>
        <w:spacing w:before="240" w:after="120"/>
      </w:pPr>
      <w:r>
        <w:rPr>
          <w:rFonts w:ascii="Arial" w:cs="Arial" w:eastAsia="Arial" w:hAnsi="Arial"/>
          <w:b/>
          <w:bCs/>
          <w:color w:val="2E5FA3"/>
          <w:sz w:val="24"/>
          <w:szCs w:val="24"/>
        </w:rPr>
        <w:t xml:space="preserve">2.1 Actividades incluidas en el proyecto</w:t>
      </w:r>
    </w:p>
    <w:p>
      <w:pPr>
        <w:pStyle w:val="ListParagraph"/>
        <w:numPr>
          <w:ilvl w:val="0"/>
          <w:numId w:val="2"/>
        </w:numPr>
        <w:spacing w:before="60" w:after="60"/>
      </w:pPr>
      <w:r>
        <w:rPr>
          <w:rFonts w:ascii="Arial" w:cs="Arial" w:eastAsia="Arial" w:hAnsi="Arial"/>
          <w:color w:val="333333"/>
          <w:sz w:val="22"/>
          <w:szCs w:val="22"/>
        </w:rPr>
        <w:t xml:space="preserve">Evaluación y diagnóstico del estado actual del entorno de Active Directory (AD DS).</w:t>
      </w:r>
    </w:p>
    <w:p>
      <w:pPr>
        <w:pStyle w:val="ListParagraph"/>
        <w:numPr>
          <w:ilvl w:val="0"/>
          <w:numId w:val="2"/>
        </w:numPr>
        <w:spacing w:before="60" w:after="60"/>
      </w:pPr>
      <w:r>
        <w:rPr>
          <w:rFonts w:ascii="Arial" w:cs="Arial" w:eastAsia="Arial" w:hAnsi="Arial"/>
          <w:color w:val="333333"/>
          <w:sz w:val="22"/>
          <w:szCs w:val="22"/>
        </w:rPr>
        <w:t xml:space="preserve">Actualización de Domain Controllers (DC) a Windows Server 2022.</w:t>
      </w:r>
    </w:p>
    <w:p>
      <w:pPr>
        <w:pStyle w:val="ListParagraph"/>
        <w:numPr>
          <w:ilvl w:val="0"/>
          <w:numId w:val="2"/>
        </w:numPr>
        <w:spacing w:before="60" w:after="60"/>
      </w:pPr>
      <w:r>
        <w:rPr>
          <w:rFonts w:ascii="Arial" w:cs="Arial" w:eastAsia="Arial" w:hAnsi="Arial"/>
          <w:color w:val="333333"/>
          <w:sz w:val="22"/>
          <w:szCs w:val="22"/>
        </w:rPr>
        <w:t xml:space="preserve">Elevación del nivel funcional del dominio y del bosque a Windows Server 2016/2019/2022.</w:t>
      </w:r>
    </w:p>
    <w:p>
      <w:pPr>
        <w:pStyle w:val="ListParagraph"/>
        <w:numPr>
          <w:ilvl w:val="0"/>
          <w:numId w:val="2"/>
        </w:numPr>
        <w:spacing w:before="60" w:after="60"/>
      </w:pPr>
      <w:r>
        <w:rPr>
          <w:rFonts w:ascii="Arial" w:cs="Arial" w:eastAsia="Arial" w:hAnsi="Arial"/>
          <w:color w:val="333333"/>
          <w:sz w:val="22"/>
          <w:szCs w:val="22"/>
        </w:rPr>
        <w:t xml:space="preserve">Revisión, depuración y reorganización de unidades organizativas (OU), usuarios, grupos y políticas de grupo (GPO).</w:t>
      </w:r>
    </w:p>
    <w:p>
      <w:pPr>
        <w:pStyle w:val="ListParagraph"/>
        <w:numPr>
          <w:ilvl w:val="0"/>
          <w:numId w:val="2"/>
        </w:numPr>
        <w:spacing w:before="60" w:after="60"/>
      </w:pPr>
      <w:r>
        <w:rPr>
          <w:rFonts w:ascii="Arial" w:cs="Arial" w:eastAsia="Arial" w:hAnsi="Arial"/>
          <w:color w:val="333333"/>
          <w:sz w:val="22"/>
          <w:szCs w:val="22"/>
        </w:rPr>
        <w:t xml:space="preserve">Implementación y reforzamiento de políticas de contraseñas y autenticación multifactor (MFA).</w:t>
      </w:r>
    </w:p>
    <w:p>
      <w:pPr>
        <w:pStyle w:val="ListParagraph"/>
        <w:numPr>
          <w:ilvl w:val="0"/>
          <w:numId w:val="2"/>
        </w:numPr>
        <w:spacing w:before="60" w:after="60"/>
      </w:pPr>
      <w:r>
        <w:rPr>
          <w:rFonts w:ascii="Arial" w:cs="Arial" w:eastAsia="Arial" w:hAnsi="Arial"/>
          <w:color w:val="333333"/>
          <w:sz w:val="22"/>
          <w:szCs w:val="22"/>
        </w:rPr>
        <w:t xml:space="preserve">Configuración y optimización de sitios y servicios de AD (AD Sites &amp; Services).</w:t>
      </w:r>
    </w:p>
    <w:p>
      <w:pPr>
        <w:pStyle w:val="ListParagraph"/>
        <w:numPr>
          <w:ilvl w:val="0"/>
          <w:numId w:val="2"/>
        </w:numPr>
        <w:spacing w:before="60" w:after="60"/>
      </w:pPr>
      <w:r>
        <w:rPr>
          <w:rFonts w:ascii="Arial" w:cs="Arial" w:eastAsia="Arial" w:hAnsi="Arial"/>
          <w:color w:val="333333"/>
          <w:sz w:val="22"/>
          <w:szCs w:val="22"/>
        </w:rPr>
        <w:t xml:space="preserve">Auditoría y documentación del directorio actualizado.</w:t>
      </w:r>
    </w:p>
    <w:p>
      <w:pPr>
        <w:pStyle w:val="ListParagraph"/>
        <w:numPr>
          <w:ilvl w:val="0"/>
          <w:numId w:val="2"/>
        </w:numPr>
        <w:spacing w:before="60" w:after="60"/>
      </w:pPr>
      <w:r>
        <w:rPr>
          <w:rFonts w:ascii="Arial" w:cs="Arial" w:eastAsia="Arial" w:hAnsi="Arial"/>
          <w:color w:val="333333"/>
          <w:sz w:val="22"/>
          <w:szCs w:val="22"/>
        </w:rPr>
        <w:t xml:space="preserve">Configuración de Azure AD Connect (Microsoft Entra Connect) para sincronización híbrida.</w:t>
      </w:r>
    </w:p>
    <w:p>
      <w:pPr>
        <w:pStyle w:val="ListParagraph"/>
        <w:numPr>
          <w:ilvl w:val="0"/>
          <w:numId w:val="2"/>
        </w:numPr>
        <w:spacing w:before="60" w:after="60"/>
      </w:pPr>
      <w:r>
        <w:rPr>
          <w:rFonts w:ascii="Arial" w:cs="Arial" w:eastAsia="Arial" w:hAnsi="Arial"/>
          <w:color w:val="333333"/>
          <w:sz w:val="22"/>
          <w:szCs w:val="22"/>
        </w:rPr>
        <w:t xml:space="preserve">Pruebas de validación post-implementación y plan de rollback.</w:t>
      </w:r>
    </w:p>
    <w:p>
      <w:pPr>
        <w:pStyle w:val="ListParagraph"/>
        <w:numPr>
          <w:ilvl w:val="0"/>
          <w:numId w:val="2"/>
        </w:numPr>
        <w:spacing w:before="60" w:after="60"/>
      </w:pPr>
      <w:r>
        <w:rPr>
          <w:rFonts w:ascii="Arial" w:cs="Arial" w:eastAsia="Arial" w:hAnsi="Arial"/>
          <w:color w:val="333333"/>
          <w:sz w:val="22"/>
          <w:szCs w:val="22"/>
        </w:rPr>
        <w:t xml:space="preserve">Capacitación al equipo de TI sobre las nuevas funcionalidades y procedimientos operativos.</w:t>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before="0" w:after="0"/>
            </w:pPr>
            <w:r>
              <w:rPr>
                <w:rFonts w:ascii="Arial" w:cs="Arial" w:eastAsia="Arial" w:hAnsi="Arial"/>
                <w:b/>
                <w:bCs/>
                <w:color w:val="FFFFFF"/>
                <w:sz w:val="26"/>
                <w:szCs w:val="26"/>
              </w:rPr>
              <w:t xml:space="preserve">3. FUERA DE ALCANCE</w:t>
            </w:r>
          </w:p>
        </w:tc>
      </w:tr>
    </w:tbl>
    <w:p>
      <w:pPr>
        <w:spacing w:before="0" w:after="0"/>
      </w:pPr>
      <w:r>
        <w:t xml:space="preserve"/>
      </w:r>
    </w:p>
    <w:p>
      <w:pPr>
        <w:spacing w:before="80" w:after="80"/>
        <w:jc w:val="both"/>
      </w:pPr>
      <w:r>
        <w:rPr>
          <w:rFonts w:ascii="Arial" w:cs="Arial" w:eastAsia="Arial" w:hAnsi="Arial"/>
          <w:b w:val="false"/>
          <w:bCs w:val="false"/>
          <w:color w:val="333333"/>
          <w:sz w:val="22"/>
          <w:szCs w:val="22"/>
        </w:rPr>
        <w:t xml:space="preserve">Los siguientes elementos no forman parte de la presente propuesta y deberán ser contemplados en proyectos independientes o adendas contractuales:</w:t>
      </w:r>
    </w:p>
    <w:p>
      <w:pPr>
        <w:spacing w:before="0" w:after="0"/>
      </w:pPr>
      <w:r>
        <w:t xml:space="preserve"/>
      </w:r>
    </w:p>
    <w:p>
      <w:pPr>
        <w:pStyle w:val="ListParagraph"/>
        <w:numPr>
          <w:ilvl w:val="0"/>
          <w:numId w:val="2"/>
        </w:numPr>
        <w:spacing w:before="60" w:after="60"/>
      </w:pPr>
      <w:r>
        <w:rPr>
          <w:rFonts w:ascii="Arial" w:cs="Arial" w:eastAsia="Arial" w:hAnsi="Arial"/>
          <w:color w:val="333333"/>
          <w:sz w:val="22"/>
          <w:szCs w:val="22"/>
        </w:rPr>
        <w:t xml:space="preserve">Migración de aplicaciones o sistemas dependientes de Active Directory no especificados en este documento.</w:t>
      </w:r>
    </w:p>
    <w:p>
      <w:pPr>
        <w:pStyle w:val="ListParagraph"/>
        <w:numPr>
          <w:ilvl w:val="0"/>
          <w:numId w:val="2"/>
        </w:numPr>
        <w:spacing w:before="60" w:after="60"/>
      </w:pPr>
      <w:r>
        <w:rPr>
          <w:rFonts w:ascii="Arial" w:cs="Arial" w:eastAsia="Arial" w:hAnsi="Arial"/>
          <w:color w:val="333333"/>
          <w:sz w:val="22"/>
          <w:szCs w:val="22"/>
        </w:rPr>
        <w:t xml:space="preserve">Implementación de Azure AD Premium P1/P2 (Conditional Access, PIM, Identity Protection) más allá de la sincronización base.</w:t>
      </w:r>
    </w:p>
    <w:p>
      <w:pPr>
        <w:pStyle w:val="ListParagraph"/>
        <w:numPr>
          <w:ilvl w:val="0"/>
          <w:numId w:val="2"/>
        </w:numPr>
        <w:spacing w:before="60" w:after="60"/>
      </w:pPr>
      <w:r>
        <w:rPr>
          <w:rFonts w:ascii="Arial" w:cs="Arial" w:eastAsia="Arial" w:hAnsi="Arial"/>
          <w:color w:val="333333"/>
          <w:sz w:val="22"/>
          <w:szCs w:val="22"/>
        </w:rPr>
        <w:t xml:space="preserve">Migración de buzones de correo a Exchange Online o cualquier servicio de colaboración adicional (SharePoint, Teams).</w:t>
      </w:r>
    </w:p>
    <w:p>
      <w:pPr>
        <w:pStyle w:val="ListParagraph"/>
        <w:numPr>
          <w:ilvl w:val="0"/>
          <w:numId w:val="2"/>
        </w:numPr>
        <w:spacing w:before="60" w:after="60"/>
      </w:pPr>
      <w:r>
        <w:rPr>
          <w:rFonts w:ascii="Arial" w:cs="Arial" w:eastAsia="Arial" w:hAnsi="Arial"/>
          <w:color w:val="333333"/>
          <w:sz w:val="22"/>
          <w:szCs w:val="22"/>
        </w:rPr>
        <w:t xml:space="preserve">Adquisición de licencias de software o hardware necesarios para la actualización.</w:t>
      </w:r>
    </w:p>
    <w:p>
      <w:pPr>
        <w:pStyle w:val="ListParagraph"/>
        <w:numPr>
          <w:ilvl w:val="0"/>
          <w:numId w:val="2"/>
        </w:numPr>
        <w:spacing w:before="60" w:after="60"/>
      </w:pPr>
      <w:r>
        <w:rPr>
          <w:rFonts w:ascii="Arial" w:cs="Arial" w:eastAsia="Arial" w:hAnsi="Arial"/>
          <w:color w:val="333333"/>
          <w:sz w:val="22"/>
          <w:szCs w:val="22"/>
        </w:rPr>
        <w:t xml:space="preserve">Soporte post-implementación más allá del período de 30 días contemplado en la garantía del proyecto.</w:t>
      </w:r>
    </w:p>
    <w:p>
      <w:pPr>
        <w:pStyle w:val="ListParagraph"/>
        <w:numPr>
          <w:ilvl w:val="0"/>
          <w:numId w:val="2"/>
        </w:numPr>
        <w:spacing w:before="60" w:after="60"/>
      </w:pPr>
      <w:r>
        <w:rPr>
          <w:rFonts w:ascii="Arial" w:cs="Arial" w:eastAsia="Arial" w:hAnsi="Arial"/>
          <w:color w:val="333333"/>
          <w:sz w:val="22"/>
          <w:szCs w:val="22"/>
        </w:rPr>
        <w:t xml:space="preserve">Actualización de sistemas operativos de servidores miembro (file servers, application servers) distintos a los Domain Controllers.</w:t>
      </w:r>
    </w:p>
    <w:p>
      <w:pPr>
        <w:pStyle w:val="ListParagraph"/>
        <w:numPr>
          <w:ilvl w:val="0"/>
          <w:numId w:val="2"/>
        </w:numPr>
        <w:spacing w:before="60" w:after="60"/>
      </w:pPr>
      <w:r>
        <w:rPr>
          <w:rFonts w:ascii="Arial" w:cs="Arial" w:eastAsia="Arial" w:hAnsi="Arial"/>
          <w:color w:val="333333"/>
          <w:sz w:val="22"/>
          <w:szCs w:val="22"/>
        </w:rPr>
        <w:t xml:space="preserve">Reconfiguración de aplicaciones de terceros que realicen autenticación LDAP o Kerberos.</w:t>
      </w:r>
    </w:p>
    <w:p>
      <w:pPr>
        <w:pStyle w:val="ListParagraph"/>
        <w:numPr>
          <w:ilvl w:val="0"/>
          <w:numId w:val="2"/>
        </w:numPr>
        <w:spacing w:before="60" w:after="60"/>
      </w:pPr>
      <w:r>
        <w:rPr>
          <w:rFonts w:ascii="Arial" w:cs="Arial" w:eastAsia="Arial" w:hAnsi="Arial"/>
          <w:color w:val="333333"/>
          <w:sz w:val="22"/>
          <w:szCs w:val="22"/>
        </w:rPr>
        <w:t xml:space="preserve">Gestión de certificados digitales (PKI / CA) internos no relacionados directamente con AD.</w:t>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before="0" w:after="0"/>
            </w:pPr>
            <w:r>
              <w:rPr>
                <w:rFonts w:ascii="Arial" w:cs="Arial" w:eastAsia="Arial" w:hAnsi="Arial"/>
                <w:b/>
                <w:bCs/>
                <w:color w:val="FFFFFF"/>
                <w:sz w:val="26"/>
                <w:szCs w:val="26"/>
              </w:rPr>
              <w:t xml:space="preserve">4. RECURSOS TÉCNICOS Y HUMANOS INVOLUCRADOS</w:t>
            </w:r>
          </w:p>
        </w:tc>
      </w:tr>
    </w:tbl>
    <w:p>
      <w:pPr>
        <w:spacing w:before="0" w:after="0"/>
      </w:pPr>
      <w:r>
        <w:t xml:space="preserve"/>
      </w:r>
    </w:p>
    <w:p>
      <w:pPr>
        <w:pStyle w:val="Heading2"/>
        <w:spacing w:before="240" w:after="120"/>
      </w:pPr>
      <w:r>
        <w:rPr>
          <w:rFonts w:ascii="Arial" w:cs="Arial" w:eastAsia="Arial" w:hAnsi="Arial"/>
          <w:b/>
          <w:bCs/>
          <w:color w:val="2E5FA3"/>
          <w:sz w:val="24"/>
          <w:szCs w:val="24"/>
        </w:rPr>
        <w:t xml:space="preserve">4.1 Recursos Humanos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Rol</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Cantidad</w:t>
            </w:r>
          </w:p>
        </w:tc>
        <w:tc>
          <w:tcPr>
            <w:tcW w:type="dxa" w:w="4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Responsabilidades principales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Arquitecto de Infraestructura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Diseño de la solución, toma de decisiones técnicas y supervisión general.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Ingeniero de Active Directory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2</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Implementación técnica, configuración de DC, GPOs y Azure AD Connect.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Especialista en Seguridad TI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Revisión de políticas de seguridad, MFA y hardening del directorio.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Administrador de Sistemas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2</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Soporte en tareas de instalación, respaldos y pruebas de validación.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Gerente de Proyecto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Coordinación del proyecto, comunicación con stakeholders y seguimiento.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Usuario de Negocio (QA)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1</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Validación funcional de accesos y aplicaciones durante las pruebas.</w:t>
            </w:r>
          </w:p>
        </w:tc>
      </w:tr>
    </w:tbl>
    <w:p>
      <w:pPr>
        <w:spacing w:before="0" w:after="0"/>
      </w:pPr>
      <w:r>
        <w:t xml:space="preserve"/>
      </w:r>
    </w:p>
    <w:p>
      <w:pPr>
        <w:pStyle w:val="Heading2"/>
        <w:spacing w:before="240" w:after="120"/>
      </w:pPr>
      <w:r>
        <w:rPr>
          <w:rFonts w:ascii="Arial" w:cs="Arial" w:eastAsia="Arial" w:hAnsi="Arial"/>
          <w:b/>
          <w:bCs/>
          <w:color w:val="2E5FA3"/>
          <w:sz w:val="24"/>
          <w:szCs w:val="24"/>
        </w:rPr>
        <w:t xml:space="preserve">4.2 Recursos Tecnológicos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Recurso</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Cantidad/Tipo</w:t>
            </w:r>
          </w:p>
        </w:tc>
        <w:tc>
          <w:tcPr>
            <w:tcW w:type="dxa" w:w="4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Propósito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Servidores Domain Controller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Mínimo 2 (primario y secundario)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Hosts de AD DS actualizados a Windows Server 2022.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Servidor de staging/laboratorio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1</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Pruebas previas a la implementación en producción.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Microsoft Entra Connect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v2.x (última versión)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Sincronización de identidades hacia Azure AD.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Azure AD / Microsoft Entra 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Tenant de Microsoft 365</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Directorio en la nube para identidades híbridas.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Herramientas de diagnóstico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AD DS Best Practices Analyzer, DCDiag, ADReplication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Evaluación del estado de salud del AD.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Sistema de respaldo (Backup)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Windows Server Backup / Veeam</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Respaldo de DC previo a cualquier cambio crítico.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VPN / Acceso remoto seguro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Requerido para trabajo remoto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Acceso seguro de técnicos durante la implementación.</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before="0" w:after="0"/>
            </w:pPr>
            <w:r>
              <w:rPr>
                <w:rFonts w:ascii="Arial" w:cs="Arial" w:eastAsia="Arial" w:hAnsi="Arial"/>
                <w:b/>
                <w:bCs/>
                <w:color w:val="FFFFFF"/>
                <w:sz w:val="26"/>
                <w:szCs w:val="26"/>
              </w:rPr>
              <w:t xml:space="preserve">5. SINCRONIZACIÓN DE ACTIVE DIRECTORY CON AZURE AD</w:t>
            </w:r>
          </w:p>
        </w:tc>
      </w:tr>
    </w:tbl>
    <w:p>
      <w:pPr>
        <w:spacing w:before="0" w:after="0"/>
      </w:pPr>
      <w:r>
        <w:t xml:space="preserve"/>
      </w:r>
    </w:p>
    <w:p>
      <w:pPr>
        <w:spacing w:before="80" w:after="80"/>
        <w:jc w:val="both"/>
      </w:pPr>
      <w:r>
        <w:rPr>
          <w:rFonts w:ascii="Arial" w:cs="Arial" w:eastAsia="Arial" w:hAnsi="Arial"/>
          <w:b w:val="false"/>
          <w:bCs w:val="false"/>
          <w:color w:val="333333"/>
          <w:sz w:val="22"/>
          <w:szCs w:val="22"/>
        </w:rPr>
        <w:t xml:space="preserve">La sincronización entre el Active Directory local (on-premises) y Azure Active Directory (Microsoft Entra ID) se realizará mediante la implementación y configuración de Microsoft Entra Connect (anteriormente Azure AD Connect). Este proceso permitirá una gestión unificada de identidades en entornos híbridos.</w:t>
      </w:r>
    </w:p>
    <w:p>
      <w:pPr>
        <w:spacing w:before="0" w:after="0"/>
      </w:pPr>
      <w:r>
        <w:t xml:space="preserve"/>
      </w:r>
    </w:p>
    <w:p>
      <w:pPr>
        <w:pStyle w:val="Heading2"/>
        <w:spacing w:before="240" w:after="120"/>
      </w:pPr>
      <w:r>
        <w:rPr>
          <w:rFonts w:ascii="Arial" w:cs="Arial" w:eastAsia="Arial" w:hAnsi="Arial"/>
          <w:b/>
          <w:bCs/>
          <w:color w:val="2E5FA3"/>
          <w:sz w:val="24"/>
          <w:szCs w:val="24"/>
        </w:rPr>
        <w:t xml:space="preserve">5.1 Modelo de identidad híbrida</w:t>
      </w:r>
    </w:p>
    <w:p>
      <w:pPr>
        <w:spacing w:before="80" w:after="80"/>
        <w:jc w:val="both"/>
      </w:pPr>
      <w:r>
        <w:rPr>
          <w:rFonts w:ascii="Arial" w:cs="Arial" w:eastAsia="Arial" w:hAnsi="Arial"/>
          <w:b w:val="false"/>
          <w:bCs w:val="false"/>
          <w:color w:val="333333"/>
          <w:sz w:val="22"/>
          <w:szCs w:val="22"/>
        </w:rPr>
        <w:t xml:space="preserve">Se implementará el modelo de Sincronización de Hashes de Contraseña (PHS — Password Hash Synchronization) como método de autenticación principal, lo que permite que los usuarios utilicen las mismas credenciales para acceder tanto a recursos on-premises como a servicios en la nube (Microsoft 365, Azure).</w:t>
      </w:r>
    </w:p>
    <w:p>
      <w:pPr>
        <w:spacing w:before="0" w:after="0"/>
      </w:pPr>
      <w:r>
        <w:t xml:space="preserve"/>
      </w:r>
    </w:p>
    <w:p>
      <w:pPr>
        <w:pStyle w:val="Heading2"/>
        <w:spacing w:before="240" w:after="120"/>
      </w:pPr>
      <w:r>
        <w:rPr>
          <w:rFonts w:ascii="Arial" w:cs="Arial" w:eastAsia="Arial" w:hAnsi="Arial"/>
          <w:b/>
          <w:bCs/>
          <w:color w:val="2E5FA3"/>
          <w:sz w:val="24"/>
          <w:szCs w:val="24"/>
        </w:rPr>
        <w:t xml:space="preserve">5.2 Componentes de la sincronización</w:t>
      </w:r>
    </w:p>
    <w:p>
      <w:pPr>
        <w:pStyle w:val="ListParagraph"/>
        <w:numPr>
          <w:ilvl w:val="0"/>
          <w:numId w:val="2"/>
        </w:numPr>
        <w:spacing w:before="60" w:after="60"/>
      </w:pPr>
      <w:r>
        <w:rPr>
          <w:rFonts w:ascii="Arial" w:cs="Arial" w:eastAsia="Arial" w:hAnsi="Arial"/>
          <w:color w:val="333333"/>
          <w:sz w:val="22"/>
          <w:szCs w:val="22"/>
        </w:rPr>
        <w:t xml:space="preserve">Instalación de Microsoft Entra Connect en un servidor dedicado (no en un Domain Controller).</w:t>
      </w:r>
    </w:p>
    <w:p>
      <w:pPr>
        <w:pStyle w:val="ListParagraph"/>
        <w:numPr>
          <w:ilvl w:val="0"/>
          <w:numId w:val="2"/>
        </w:numPr>
        <w:spacing w:before="60" w:after="60"/>
      </w:pPr>
      <w:r>
        <w:rPr>
          <w:rFonts w:ascii="Arial" w:cs="Arial" w:eastAsia="Arial" w:hAnsi="Arial"/>
          <w:color w:val="333333"/>
          <w:sz w:val="22"/>
          <w:szCs w:val="22"/>
        </w:rPr>
        <w:t xml:space="preserve">Configuración del ámbito de sincronización: selección de OUs y atributos a sincronizar.</w:t>
      </w:r>
    </w:p>
    <w:p>
      <w:pPr>
        <w:pStyle w:val="ListParagraph"/>
        <w:numPr>
          <w:ilvl w:val="0"/>
          <w:numId w:val="2"/>
        </w:numPr>
        <w:spacing w:before="60" w:after="60"/>
      </w:pPr>
      <w:r>
        <w:rPr>
          <w:rFonts w:ascii="Arial" w:cs="Arial" w:eastAsia="Arial" w:hAnsi="Arial"/>
          <w:color w:val="333333"/>
          <w:sz w:val="22"/>
          <w:szCs w:val="22"/>
        </w:rPr>
        <w:t xml:space="preserve">Verificación y resolución de conflictos de atributos (UPN, proxyAddresses, duplicados).</w:t>
      </w:r>
    </w:p>
    <w:p>
      <w:pPr>
        <w:pStyle w:val="ListParagraph"/>
        <w:numPr>
          <w:ilvl w:val="0"/>
          <w:numId w:val="2"/>
        </w:numPr>
        <w:spacing w:before="60" w:after="60"/>
      </w:pPr>
      <w:r>
        <w:rPr>
          <w:rFonts w:ascii="Arial" w:cs="Arial" w:eastAsia="Arial" w:hAnsi="Arial"/>
          <w:color w:val="333333"/>
          <w:sz w:val="22"/>
          <w:szCs w:val="22"/>
        </w:rPr>
        <w:t xml:space="preserve">Sincronización inicial completa (full sync) y validación de objetos sincronizados.</w:t>
      </w:r>
    </w:p>
    <w:p>
      <w:pPr>
        <w:pStyle w:val="ListParagraph"/>
        <w:numPr>
          <w:ilvl w:val="0"/>
          <w:numId w:val="2"/>
        </w:numPr>
        <w:spacing w:before="60" w:after="60"/>
      </w:pPr>
      <w:r>
        <w:rPr>
          <w:rFonts w:ascii="Arial" w:cs="Arial" w:eastAsia="Arial" w:hAnsi="Arial"/>
          <w:color w:val="333333"/>
          <w:sz w:val="22"/>
          <w:szCs w:val="22"/>
        </w:rPr>
        <w:t xml:space="preserve">Configuración del ciclo de sincronización delta (intervalo: 30 minutos por defecto).</w:t>
      </w:r>
    </w:p>
    <w:p>
      <w:pPr>
        <w:pStyle w:val="ListParagraph"/>
        <w:numPr>
          <w:ilvl w:val="0"/>
          <w:numId w:val="2"/>
        </w:numPr>
        <w:spacing w:before="60" w:after="60"/>
      </w:pPr>
      <w:r>
        <w:rPr>
          <w:rFonts w:ascii="Arial" w:cs="Arial" w:eastAsia="Arial" w:hAnsi="Arial"/>
          <w:color w:val="333333"/>
          <w:sz w:val="22"/>
          <w:szCs w:val="22"/>
        </w:rPr>
        <w:t xml:space="preserve">Habilitación de Password Writeback para permitir el restablecimiento de contraseñas desde Azure AD.</w:t>
      </w:r>
    </w:p>
    <w:p>
      <w:pPr>
        <w:pStyle w:val="ListParagraph"/>
        <w:numPr>
          <w:ilvl w:val="0"/>
          <w:numId w:val="2"/>
        </w:numPr>
        <w:spacing w:before="60" w:after="60"/>
      </w:pPr>
      <w:r>
        <w:rPr>
          <w:rFonts w:ascii="Arial" w:cs="Arial" w:eastAsia="Arial" w:hAnsi="Arial"/>
          <w:color w:val="333333"/>
          <w:sz w:val="22"/>
          <w:szCs w:val="22"/>
        </w:rPr>
        <w:t xml:space="preserve">Configuración de Hybrid Azure AD Join para dispositivos del dominio.</w:t>
      </w:r>
    </w:p>
    <w:p>
      <w:pPr>
        <w:spacing w:before="0" w:after="0"/>
      </w:pPr>
      <w:r>
        <w:t xml:space="preserve"/>
      </w:r>
    </w:p>
    <w:p>
      <w:pPr>
        <w:pStyle w:val="Heading2"/>
        <w:spacing w:before="240" w:after="120"/>
      </w:pPr>
      <w:r>
        <w:rPr>
          <w:rFonts w:ascii="Arial" w:cs="Arial" w:eastAsia="Arial" w:hAnsi="Arial"/>
          <w:b/>
          <w:bCs/>
          <w:color w:val="2E5FA3"/>
          <w:sz w:val="24"/>
          <w:szCs w:val="24"/>
        </w:rPr>
        <w:t xml:space="preserve">5.3 Consideraciones de seguridad en la sincronización</w:t>
      </w:r>
    </w:p>
    <w:p>
      <w:pPr>
        <w:pStyle w:val="ListParagraph"/>
        <w:numPr>
          <w:ilvl w:val="0"/>
          <w:numId w:val="2"/>
        </w:numPr>
        <w:spacing w:before="60" w:after="60"/>
      </w:pPr>
      <w:r>
        <w:rPr>
          <w:rFonts w:ascii="Arial" w:cs="Arial" w:eastAsia="Arial" w:hAnsi="Arial"/>
          <w:color w:val="333333"/>
          <w:sz w:val="22"/>
          <w:szCs w:val="22"/>
        </w:rPr>
        <w:t xml:space="preserve">Uso de cuenta de servicio dedicada con privilegios mínimos necesarios.</w:t>
      </w:r>
    </w:p>
    <w:p>
      <w:pPr>
        <w:pStyle w:val="ListParagraph"/>
        <w:numPr>
          <w:ilvl w:val="0"/>
          <w:numId w:val="2"/>
        </w:numPr>
        <w:spacing w:before="60" w:after="60"/>
      </w:pPr>
      <w:r>
        <w:rPr>
          <w:rFonts w:ascii="Arial" w:cs="Arial" w:eastAsia="Arial" w:hAnsi="Arial"/>
          <w:color w:val="333333"/>
          <w:sz w:val="22"/>
          <w:szCs w:val="22"/>
        </w:rPr>
        <w:t xml:space="preserve">Cifrado TLS en la comunicación entre Entra Connect y Azure AD.</w:t>
      </w:r>
    </w:p>
    <w:p>
      <w:pPr>
        <w:pStyle w:val="ListParagraph"/>
        <w:numPr>
          <w:ilvl w:val="0"/>
          <w:numId w:val="2"/>
        </w:numPr>
        <w:spacing w:before="60" w:after="60"/>
      </w:pPr>
      <w:r>
        <w:rPr>
          <w:rFonts w:ascii="Arial" w:cs="Arial" w:eastAsia="Arial" w:hAnsi="Arial"/>
          <w:color w:val="333333"/>
          <w:sz w:val="22"/>
          <w:szCs w:val="22"/>
        </w:rPr>
        <w:t xml:space="preserve">Monitoreo continuo del estado de sincronización mediante Azure AD Connect Health.</w:t>
      </w:r>
    </w:p>
    <w:p>
      <w:pPr>
        <w:pStyle w:val="ListParagraph"/>
        <w:numPr>
          <w:ilvl w:val="0"/>
          <w:numId w:val="2"/>
        </w:numPr>
        <w:spacing w:before="60" w:after="60"/>
      </w:pPr>
      <w:r>
        <w:rPr>
          <w:rFonts w:ascii="Arial" w:cs="Arial" w:eastAsia="Arial" w:hAnsi="Arial"/>
          <w:color w:val="333333"/>
          <w:sz w:val="22"/>
          <w:szCs w:val="22"/>
        </w:rPr>
        <w:t xml:space="preserve">Implementación de Seamless Single Sign-On (SSO) para una experiencia de usuario transparente.</w:t>
      </w:r>
    </w:p>
    <w:p>
      <w:pPr>
        <w:spacing w:before="0" w:after="0"/>
      </w:pPr>
      <w:r>
        <w:t xml:space="preserve"/>
      </w:r>
    </w:p>
    <w:p>
      <w:pPr>
        <w:pStyle w:val="Heading2"/>
        <w:spacing w:before="240" w:after="120"/>
      </w:pPr>
      <w:r>
        <w:rPr>
          <w:rFonts w:ascii="Arial" w:cs="Arial" w:eastAsia="Arial" w:hAnsi="Arial"/>
          <w:b/>
          <w:bCs/>
          <w:color w:val="2E5FA3"/>
          <w:sz w:val="24"/>
          <w:szCs w:val="24"/>
        </w:rPr>
        <w:t xml:space="preserve">5.4 Diagrama conceptual del flujo de sincronización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00"/>
        <w:gridCol w:w="2880"/>
        <w:gridCol w:w="600"/>
        <w:gridCol w:w="2400"/>
      </w:tblGrid>
      <w:tr>
        <w:tc>
          <w:tcPr>
            <w:tcW w:type="dxa" w:w="2880"/>
            <w:tcBorders>
              <w:top w:val="single" w:color="CCCCCC" w:sz="1"/>
              <w:left w:val="single" w:color="CCCCCC" w:sz="1"/>
              <w:bottom w:val="single" w:color="CCCCCC" w:sz="1"/>
              <w:right w:val="single" w:color="CCCCCC" w:sz="1"/>
            </w:tcBorders>
            <w:shd w:fill="1F3864" w:val="clear"/>
            <w:tcMar>
              <w:top w:type="dxa" w:w="200"/>
              <w:left w:type="dxa" w:w="150"/>
              <w:bottom w:type="dxa" w:w="200"/>
              <w:right w:type="dxa" w:w="150"/>
            </w:tcMar>
            <w:vAlign w:val="center"/>
          </w:tcPr>
          <w:p>
            <w:pPr>
              <w:spacing w:before="0" w:after="40"/>
              <w:jc w:val="center"/>
            </w:pPr>
            <w:r>
              <w:rPr>
                <w:rFonts w:ascii="Arial" w:cs="Arial" w:eastAsia="Arial" w:hAnsi="Arial"/>
                <w:b/>
                <w:bCs/>
                <w:color w:val="FFFFFF"/>
                <w:sz w:val="20"/>
                <w:szCs w:val="20"/>
              </w:rPr>
              <w:t xml:space="preserve">🖥️ Active Directory</w:t>
            </w:r>
          </w:p>
          <w:p>
            <w:pPr>
              <w:spacing w:before="0" w:after="0"/>
              <w:jc w:val="center"/>
            </w:pPr>
            <w:r>
              <w:rPr>
                <w:rFonts w:ascii="Arial" w:cs="Arial" w:eastAsia="Arial" w:hAnsi="Arial"/>
                <w:color w:val="A8C4E8"/>
                <w:sz w:val="18"/>
                <w:szCs w:val="18"/>
              </w:rPr>
              <w:t xml:space="preserve">On-Premises (AD DS)</w:t>
            </w:r>
          </w:p>
        </w:tc>
        <w:tc>
          <w:tcPr>
            <w:tcW w:type="dxa" w:w="600"/>
            <w:tcBorders>
              <w:top w:val="none" w:color="FFFFFF" w:sz="0"/>
              <w:left w:val="none" w:color="FFFFFF" w:sz="0"/>
              <w:bottom w:val="none" w:color="FFFFFF" w:sz="0"/>
              <w:right w:val="none" w:color="FFFFFF" w:sz="0"/>
            </w:tcBorders>
            <w:vAlign w:val="center"/>
          </w:tcPr>
          <w:p>
            <w:pPr>
              <w:spacing w:before="0" w:after="0"/>
              <w:jc w:val="center"/>
            </w:pPr>
            <w:r>
              <w:rPr>
                <w:rFonts w:ascii="Arial" w:cs="Arial" w:eastAsia="Arial" w:hAnsi="Arial"/>
                <w:b/>
                <w:bCs/>
                <w:color w:val="2E5FA3"/>
                <w:sz w:val="28"/>
                <w:szCs w:val="28"/>
              </w:rPr>
              <w:t xml:space="preserve">→</w:t>
            </w:r>
          </w:p>
        </w:tc>
        <w:tc>
          <w:tcPr>
            <w:tcW w:type="dxa" w:w="2880"/>
            <w:tcBorders>
              <w:top w:val="single" w:color="CCCCCC" w:sz="1"/>
              <w:left w:val="single" w:color="CCCCCC" w:sz="1"/>
              <w:bottom w:val="single" w:color="CCCCCC" w:sz="1"/>
              <w:right w:val="single" w:color="CCCCCC" w:sz="1"/>
            </w:tcBorders>
            <w:shd w:fill="2E5FA3" w:val="clear"/>
            <w:tcMar>
              <w:top w:type="dxa" w:w="200"/>
              <w:left w:type="dxa" w:w="150"/>
              <w:bottom w:type="dxa" w:w="200"/>
              <w:right w:type="dxa" w:w="150"/>
            </w:tcMar>
            <w:vAlign w:val="center"/>
          </w:tcPr>
          <w:p>
            <w:pPr>
              <w:spacing w:before="0" w:after="40"/>
              <w:jc w:val="center"/>
            </w:pPr>
            <w:r>
              <w:rPr>
                <w:rFonts w:ascii="Arial" w:cs="Arial" w:eastAsia="Arial" w:hAnsi="Arial"/>
                <w:b/>
                <w:bCs/>
                <w:color w:val="FFFFFF"/>
                <w:sz w:val="20"/>
                <w:szCs w:val="20"/>
              </w:rPr>
              <w:t xml:space="preserve">⚙️ Entra Connect</w:t>
            </w:r>
          </w:p>
          <w:p>
            <w:pPr>
              <w:spacing w:before="0" w:after="0"/>
              <w:jc w:val="center"/>
            </w:pPr>
            <w:r>
              <w:rPr>
                <w:rFonts w:ascii="Arial" w:cs="Arial" w:eastAsia="Arial" w:hAnsi="Arial"/>
                <w:color w:val="D6E4F7"/>
                <w:sz w:val="18"/>
                <w:szCs w:val="18"/>
              </w:rPr>
              <w:t xml:space="preserve">Motor de sincronización</w:t>
            </w:r>
          </w:p>
        </w:tc>
        <w:tc>
          <w:tcPr>
            <w:tcW w:type="dxa" w:w="600"/>
            <w:tcBorders>
              <w:top w:val="none" w:color="FFFFFF" w:sz="0"/>
              <w:left w:val="none" w:color="FFFFFF" w:sz="0"/>
              <w:bottom w:val="none" w:color="FFFFFF" w:sz="0"/>
              <w:right w:val="none" w:color="FFFFFF" w:sz="0"/>
            </w:tcBorders>
            <w:vAlign w:val="center"/>
          </w:tcPr>
          <w:p>
            <w:pPr>
              <w:spacing w:before="0" w:after="0"/>
              <w:jc w:val="center"/>
            </w:pPr>
            <w:r>
              <w:rPr>
                <w:rFonts w:ascii="Arial" w:cs="Arial" w:eastAsia="Arial" w:hAnsi="Arial"/>
                <w:b/>
                <w:bCs/>
                <w:color w:val="2E5FA3"/>
                <w:sz w:val="28"/>
                <w:szCs w:val="28"/>
              </w:rPr>
              <w:t xml:space="preserve">→</w:t>
            </w:r>
          </w:p>
        </w:tc>
        <w:tc>
          <w:tcPr>
            <w:tcW w:type="dxa" w:w="2400"/>
            <w:tcBorders>
              <w:top w:val="single" w:color="CCCCCC" w:sz="1"/>
              <w:left w:val="single" w:color="CCCCCC" w:sz="1"/>
              <w:bottom w:val="single" w:color="CCCCCC" w:sz="1"/>
              <w:right w:val="single" w:color="CCCCCC" w:sz="1"/>
            </w:tcBorders>
            <w:shd w:fill="4472C4" w:val="clear"/>
            <w:tcMar>
              <w:top w:type="dxa" w:w="200"/>
              <w:left w:type="dxa" w:w="150"/>
              <w:bottom w:type="dxa" w:w="200"/>
              <w:right w:type="dxa" w:w="150"/>
            </w:tcMar>
            <w:vAlign w:val="center"/>
          </w:tcPr>
          <w:p>
            <w:pPr>
              <w:spacing w:before="0" w:after="40"/>
              <w:jc w:val="center"/>
            </w:pPr>
            <w:r>
              <w:rPr>
                <w:rFonts w:ascii="Arial" w:cs="Arial" w:eastAsia="Arial" w:hAnsi="Arial"/>
                <w:b/>
                <w:bCs/>
                <w:color w:val="FFFFFF"/>
                <w:sz w:val="20"/>
                <w:szCs w:val="20"/>
              </w:rPr>
              <w:t xml:space="preserve">☁️ Azure AD</w:t>
            </w:r>
          </w:p>
          <w:p>
            <w:pPr>
              <w:spacing w:before="0" w:after="0"/>
              <w:jc w:val="center"/>
            </w:pPr>
            <w:r>
              <w:rPr>
                <w:rFonts w:ascii="Arial" w:cs="Arial" w:eastAsia="Arial" w:hAnsi="Arial"/>
                <w:color w:val="D6E4F7"/>
                <w:sz w:val="18"/>
                <w:szCs w:val="18"/>
              </w:rPr>
              <w:t xml:space="preserve">Microsoft Entra ID</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before="0" w:after="0"/>
            </w:pPr>
            <w:r>
              <w:rPr>
                <w:rFonts w:ascii="Arial" w:cs="Arial" w:eastAsia="Arial" w:hAnsi="Arial"/>
                <w:b/>
                <w:bCs/>
                <w:color w:val="FFFFFF"/>
                <w:sz w:val="26"/>
                <w:szCs w:val="26"/>
              </w:rPr>
              <w:t xml:space="preserve">6. ESTIMACIÓN DE TIEMPOS</w:t>
            </w:r>
          </w:p>
        </w:tc>
      </w:tr>
    </w:tbl>
    <w:p>
      <w:pPr>
        <w:spacing w:before="0" w:after="0"/>
      </w:pPr>
      <w:r>
        <w:t xml:space="preserve"/>
      </w:r>
    </w:p>
    <w:p>
      <w:pPr>
        <w:spacing w:before="80" w:after="80"/>
        <w:jc w:val="both"/>
      </w:pPr>
      <w:r>
        <w:rPr>
          <w:rFonts w:ascii="Arial" w:cs="Arial" w:eastAsia="Arial" w:hAnsi="Arial"/>
          <w:b w:val="false"/>
          <w:bCs w:val="false"/>
          <w:color w:val="333333"/>
          <w:sz w:val="22"/>
          <w:szCs w:val="22"/>
        </w:rPr>
        <w:t xml:space="preserve">La estimación de tiempos presentada a continuación es orientativa y puede ajustarse en función de la complejidad del entorno, el número de objetos en el directorio y la disponibilidad del personal del cliente. El proyecto contempla una duración total estimada de 8 a 10 semanas.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800"/>
        <w:gridCol w:w="1680"/>
        <w:gridCol w:w="2280"/>
      </w:tblGrid>
      <w:tr>
        <w:trPr>
          <w:tblHeader/>
        </w:trPr>
        <w:tc>
          <w:tcPr>
            <w:tcW w:type="dxa" w:w="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Fase / Actividad</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Duración</w:t>
            </w:r>
          </w:p>
        </w:tc>
        <w:tc>
          <w:tcPr>
            <w:tcW w:type="dxa" w:w="168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Responsable</w:t>
            </w:r>
          </w:p>
        </w:tc>
        <w:tc>
          <w:tcPr>
            <w:tcW w:type="dxa" w:w="228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vAlign w:val="center"/>
          </w:tcPr>
          <w:p>
            <w:pPr>
              <w:spacing w:before="0" w:after="0"/>
            </w:pPr>
            <w:r>
              <w:rPr>
                <w:rFonts w:ascii="Arial" w:cs="Arial" w:eastAsia="Arial" w:hAnsi="Arial"/>
                <w:b/>
                <w:bCs/>
                <w:color w:val="FFFFFF"/>
                <w:sz w:val="20"/>
                <w:szCs w:val="20"/>
              </w:rPr>
              <w:t xml:space="preserve">Entregable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Diagnóstico y evaluación del entorno actual de 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1 semana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Arquitecto / Ing. AD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Informe de diagnóstico</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Planificación detallada, diseño de arquitectura y plan de rollback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1 semana</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Arquitecto / PM</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Plan de proyecto / Diseño técnico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Preparación del entorno: respaldos, servidores staging y herramientas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3–5 días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Ing. AD / Admin. Sistemas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Entorno de laboratorio listo</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Actualización de Domain Controllers a Windows Server 2022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1–2 semanas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Ing. AD / Admin. Sistemas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DCs actualizados y validados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Elevación nivel funcional del dominio y del bosque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1–2 días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Ing. AD / Arquitecto</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Nivel funcional actualizado</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Limpieza de objetos, revisión de GPOs y políticas de seguridad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1 semana</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Ing. AD / Especialista Seg.</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Directorio optimizado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Implementación y configuración de Azure AD Connect (Entra Connect)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3–5 días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Ing. AD / Especialista Seg.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Sincronización híbrida activa</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Pruebas integrales, validación de accesos y aplicaciones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1 semana</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Todos / QA</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Reporte de pruebas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Puesta en producción, monitoreo y ajuste fino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3–5 días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Ing. AD / Arquitecto</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Ambiente productivo estable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10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Documentación final y capacitación al equipo de TI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3–5 días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PM / Arquitecto</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before="0" w:after="0"/>
            </w:pPr>
            <w:r>
              <w:rPr>
                <w:rFonts w:ascii="Arial" w:cs="Arial" w:eastAsia="Arial" w:hAnsi="Arial"/>
                <w:color w:val="333333"/>
                <w:sz w:val="20"/>
                <w:szCs w:val="20"/>
              </w:rPr>
              <w:t xml:space="preserve">Documentación técnica / Capacitación</w:t>
            </w:r>
          </w:p>
        </w:tc>
      </w:tr>
      <w:tr>
        <w:tc>
          <w:tcPr>
            <w:gridSpan w:val="2"/>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pPr>
            <w:r>
              <w:rPr>
                <w:rFonts w:ascii="Arial" w:cs="Arial" w:eastAsia="Arial" w:hAnsi="Arial"/>
                <w:b/>
                <w:bCs/>
                <w:color w:val="FFFFFF"/>
                <w:sz w:val="20"/>
                <w:szCs w:val="20"/>
              </w:rPr>
              <w:t xml:space="preserve">DURACIÓN TOTAL ESTIMADA</w:t>
            </w:r>
          </w:p>
        </w:tc>
        <w:tc>
          <w:tcPr>
            <w:gridSpan w:val="3"/>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spacing w:before="0" w:after="0"/>
            </w:pPr>
            <w:r>
              <w:rPr>
                <w:rFonts w:ascii="Arial" w:cs="Arial" w:eastAsia="Arial" w:hAnsi="Arial"/>
                <w:b/>
                <w:bCs/>
                <w:color w:val="7FB3E8"/>
                <w:sz w:val="20"/>
                <w:szCs w:val="20"/>
              </w:rPr>
              <w:t xml:space="preserve">8 – 10 semanas (según complejidad del entorno)</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before="0" w:after="0"/>
            </w:pPr>
            <w:r>
              <w:rPr>
                <w:rFonts w:ascii="Arial" w:cs="Arial" w:eastAsia="Arial" w:hAnsi="Arial"/>
                <w:b/>
                <w:bCs/>
                <w:color w:val="FFFFFF"/>
                <w:sz w:val="26"/>
                <w:szCs w:val="26"/>
              </w:rPr>
              <w:t xml:space="preserve">7. SUPUESTOS Y CONDICIONES GENERALES</w:t>
            </w:r>
          </w:p>
        </w:tc>
      </w:tr>
    </w:tbl>
    <w:p>
      <w:pPr>
        <w:spacing w:before="0" w:after="0"/>
      </w:pPr>
      <w:r>
        <w:t xml:space="preserve"/>
      </w:r>
    </w:p>
    <w:p>
      <w:pPr>
        <w:pStyle w:val="ListParagraph"/>
        <w:numPr>
          <w:ilvl w:val="0"/>
          <w:numId w:val="2"/>
        </w:numPr>
        <w:spacing w:before="60" w:after="60"/>
      </w:pPr>
      <w:r>
        <w:rPr>
          <w:rFonts w:ascii="Arial" w:cs="Arial" w:eastAsia="Arial" w:hAnsi="Arial"/>
          <w:color w:val="333333"/>
          <w:sz w:val="22"/>
          <w:szCs w:val="22"/>
        </w:rPr>
        <w:t xml:space="preserve">El cliente proporcionará acceso completo a la infraestructura y al equipo técnico interno durante toda la duración del proyecto.</w:t>
      </w:r>
    </w:p>
    <w:p>
      <w:pPr>
        <w:pStyle w:val="ListParagraph"/>
        <w:numPr>
          <w:ilvl w:val="0"/>
          <w:numId w:val="2"/>
        </w:numPr>
        <w:spacing w:before="60" w:after="60"/>
      </w:pPr>
      <w:r>
        <w:rPr>
          <w:rFonts w:ascii="Arial" w:cs="Arial" w:eastAsia="Arial" w:hAnsi="Arial"/>
          <w:color w:val="333333"/>
          <w:sz w:val="22"/>
          <w:szCs w:val="22"/>
        </w:rPr>
        <w:t xml:space="preserve">Toda implementación en producción se realizará en ventanas de mantenimiento previamente acordadas para minimizar el impacto operativo.</w:t>
      </w:r>
    </w:p>
    <w:p>
      <w:pPr>
        <w:pStyle w:val="ListParagraph"/>
        <w:numPr>
          <w:ilvl w:val="0"/>
          <w:numId w:val="2"/>
        </w:numPr>
        <w:spacing w:before="60" w:after="60"/>
      </w:pPr>
      <w:r>
        <w:rPr>
          <w:rFonts w:ascii="Arial" w:cs="Arial" w:eastAsia="Arial" w:hAnsi="Arial"/>
          <w:color w:val="333333"/>
          <w:sz w:val="22"/>
          <w:szCs w:val="22"/>
        </w:rPr>
        <w:t xml:space="preserve">El cliente dispondrá de los recursos de hardware necesarios (servidores, licencias) antes del inicio del proyecto.</w:t>
      </w:r>
    </w:p>
    <w:p>
      <w:pPr>
        <w:pStyle w:val="ListParagraph"/>
        <w:numPr>
          <w:ilvl w:val="0"/>
          <w:numId w:val="2"/>
        </w:numPr>
        <w:spacing w:before="60" w:after="60"/>
      </w:pPr>
      <w:r>
        <w:rPr>
          <w:rFonts w:ascii="Arial" w:cs="Arial" w:eastAsia="Arial" w:hAnsi="Arial"/>
          <w:color w:val="333333"/>
          <w:sz w:val="22"/>
          <w:szCs w:val="22"/>
        </w:rPr>
        <w:t xml:space="preserve">Se contará con un ambiente de laboratorio/staging para pruebas previas a producción.</w:t>
      </w:r>
    </w:p>
    <w:p>
      <w:pPr>
        <w:pStyle w:val="ListParagraph"/>
        <w:numPr>
          <w:ilvl w:val="0"/>
          <w:numId w:val="2"/>
        </w:numPr>
        <w:spacing w:before="60" w:after="60"/>
      </w:pPr>
      <w:r>
        <w:rPr>
          <w:rFonts w:ascii="Arial" w:cs="Arial" w:eastAsia="Arial" w:hAnsi="Arial"/>
          <w:color w:val="333333"/>
          <w:sz w:val="22"/>
          <w:szCs w:val="22"/>
        </w:rPr>
        <w:t xml:space="preserve">El cliente designará un punto de contacto técnico y uno de negocio con capacidad de decisión.</w:t>
      </w:r>
    </w:p>
    <w:p>
      <w:pPr>
        <w:pStyle w:val="ListParagraph"/>
        <w:numPr>
          <w:ilvl w:val="0"/>
          <w:numId w:val="2"/>
        </w:numPr>
        <w:spacing w:before="60" w:after="60"/>
      </w:pPr>
      <w:r>
        <w:rPr>
          <w:rFonts w:ascii="Arial" w:cs="Arial" w:eastAsia="Arial" w:hAnsi="Arial"/>
          <w:color w:val="333333"/>
          <w:sz w:val="22"/>
          <w:szCs w:val="22"/>
        </w:rPr>
        <w:t xml:space="preserve">Cualquier cambio en el alcance deberá ser documentado y aprobado formalmente mediante una orden de cambio (change request).</w:t>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before="0" w:after="0"/>
            </w:pPr>
            <w:r>
              <w:rPr>
                <w:rFonts w:ascii="Arial" w:cs="Arial" w:eastAsia="Arial" w:hAnsi="Arial"/>
                <w:b/>
                <w:bCs/>
                <w:color w:val="FFFFFF"/>
                <w:sz w:val="26"/>
                <w:szCs w:val="26"/>
              </w:rPr>
              <w:t xml:space="preserve">8. ACEPTACIÓN Y FIRMAS</w:t>
            </w:r>
          </w:p>
        </w:tc>
      </w:tr>
    </w:tbl>
    <w:p>
      <w:pPr>
        <w:spacing w:before="0" w:after="0"/>
      </w:pPr>
      <w:r>
        <w:t xml:space="preserve"/>
      </w:r>
    </w:p>
    <w:p>
      <w:pPr>
        <w:spacing w:before="80" w:after="80"/>
        <w:jc w:val="both"/>
      </w:pPr>
      <w:r>
        <w:rPr>
          <w:rFonts w:ascii="Arial" w:cs="Arial" w:eastAsia="Arial" w:hAnsi="Arial"/>
          <w:b w:val="false"/>
          <w:bCs w:val="false"/>
          <w:color w:val="333333"/>
          <w:sz w:val="22"/>
          <w:szCs w:val="22"/>
        </w:rPr>
        <w:t xml:space="preserve">La presente propuesta tiene una vigencia de 30 días a partir de la fecha de emisión. Para su aceptación, favor de firmar y devolver una copia de este documento.</w:t>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pBdr>
                <w:bottom w:val="single" w:color="333333" w:sz="4"/>
              </w:pBdr>
              <w:spacing w:before="960" w:after="120"/>
            </w:pPr>
            <w:r>
              <w:t xml:space="preserve"/>
            </w:r>
          </w:p>
          <w:p>
            <w:pPr>
              <w:spacing w:before="0" w:after="60"/>
            </w:pPr>
            <w:r>
              <w:rPr>
                <w:rFonts w:ascii="Arial" w:cs="Arial" w:eastAsia="Arial" w:hAnsi="Arial"/>
                <w:b/>
                <w:bCs/>
                <w:color w:val="1F3864"/>
                <w:sz w:val="20"/>
                <w:szCs w:val="20"/>
              </w:rPr>
              <w:t xml:space="preserve">Nombre y Firma — Proveedor</w:t>
            </w:r>
          </w:p>
          <w:p>
            <w:pPr>
              <w:spacing w:before="0" w:after="0"/>
            </w:pPr>
            <w:r>
              <w:rPr>
                <w:rFonts w:ascii="Arial" w:cs="Arial" w:eastAsia="Arial" w:hAnsi="Arial"/>
                <w:color w:val="888888"/>
                <w:sz w:val="18"/>
                <w:szCs w:val="18"/>
              </w:rPr>
              <w:t xml:space="preserve">Equipo de Infraestructura TI</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Pr>
          <w:p>
            <w:pPr>
              <w:pBdr>
                <w:bottom w:val="single" w:color="333333" w:sz="4"/>
              </w:pBdr>
              <w:spacing w:before="960" w:after="120"/>
            </w:pPr>
            <w:r>
              <w:t xml:space="preserve"/>
            </w:r>
          </w:p>
          <w:p>
            <w:pPr>
              <w:spacing w:before="0" w:after="60"/>
            </w:pPr>
            <w:r>
              <w:rPr>
                <w:rFonts w:ascii="Arial" w:cs="Arial" w:eastAsia="Arial" w:hAnsi="Arial"/>
                <w:b/>
                <w:bCs/>
                <w:color w:val="1F3864"/>
                <w:sz w:val="20"/>
                <w:szCs w:val="20"/>
              </w:rPr>
              <w:t xml:space="preserve">Nombre y Firma — Cliente</w:t>
            </w:r>
          </w:p>
          <w:p>
            <w:pPr>
              <w:spacing w:before="0" w:after="0"/>
            </w:pPr>
            <w:r>
              <w:rPr>
                <w:rFonts w:ascii="Arial" w:cs="Arial" w:eastAsia="Arial" w:hAnsi="Arial"/>
                <w:color w:val="888888"/>
                <w:sz w:val="18"/>
                <w:szCs w:val="18"/>
              </w:rPr>
              <w:t xml:space="preserve">Representante Autorizado</w:t>
            </w:r>
          </w:p>
        </w:tc>
      </w:tr>
    </w:tbl>
    <w:p>
      <w:pPr>
        <w:spacing w:before="0" w:after="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2"/>
      </w:pBdr>
      <w:tabs>
        <w:tab w:val="right" w:pos="9360"/>
      </w:tabs>
      <w:spacing w:before="0" w:after="0"/>
    </w:pPr>
    <w:r>
      <w:rPr>
        <w:rFonts w:ascii="Arial" w:cs="Arial" w:eastAsia="Arial" w:hAnsi="Arial"/>
        <w:color w:val="888888"/>
        <w:sz w:val="16"/>
        <w:szCs w:val="16"/>
      </w:rPr>
      <w:t xml:space="preserve">© 2026 — Infraestructura TI</w:t>
    </w:r>
    <w:r>
      <w:rPr>
        <w:rFonts w:ascii="Arial" w:cs="Arial" w:eastAsia="Arial" w:hAnsi="Arial"/>
        <w:color w:val="888888"/>
        <w:sz w:val="16"/>
        <w:szCs w:val="16"/>
      </w:rPr>
      <w:t xml:space="preserve">	Página </w:t>
    </w:r>
    <w:r>
      <w:rPr>
        <w:rFonts w:ascii="Arial" w:cs="Arial" w:eastAsia="Arial" w:hAnsi="Arial"/>
        <w:color w:val="888888"/>
        <w:sz w:val="16"/>
        <w:szCs w:val="16"/>
      </w:rPr>
      <w:t xml:space="preserve">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2"/>
      </w:pBdr>
      <w:tabs>
        <w:tab w:val="right" w:pos="9360"/>
      </w:tabs>
      <w:spacing w:before="0" w:after="0"/>
    </w:pPr>
    <w:r>
      <w:rPr>
        <w:rFonts w:ascii="Arial" w:cs="Arial" w:eastAsia="Arial" w:hAnsi="Arial"/>
        <w:color w:val="888888"/>
        <w:sz w:val="18"/>
        <w:szCs w:val="18"/>
      </w:rPr>
      <w:t xml:space="preserve">Propuesta de Servicios — Actualización Active Directory</w:t>
    </w:r>
    <w:r>
      <w:rPr>
        <w:rFonts w:ascii="Arial" w:cs="Arial" w:eastAsia="Arial" w:hAnsi="Arial"/>
        <w:sz w:val="18"/>
        <w:szCs w:val="18"/>
      </w:rPr>
      <w:t xml:space="preserve">	</w:t>
    </w:r>
    <w:r>
      <w:rPr>
        <w:rFonts w:ascii="Arial" w:cs="Arial" w:eastAsia="Arial" w:hAnsi="Arial"/>
        <w:i/>
        <w:iCs/>
        <w:color w:val="888888"/>
        <w:sz w:val="18"/>
        <w:szCs w:val="18"/>
      </w:rPr>
      <w:t xml:space="preserve">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2026-03-08T21:18:50.757Z</dcterms:created>
  <dcterms:modified xsi:type="dcterms:W3CDTF">2026-03-08T21:18:50.758Z</dcterms:modified>
</cp:coreProperties>
</file>

<file path=docProps/custom.xml><?xml version="1.0" encoding="utf-8"?>
<Properties xmlns="http://schemas.openxmlformats.org/officeDocument/2006/custom-properties" xmlns:vt="http://schemas.openxmlformats.org/officeDocument/2006/docPropsVTypes"/>
</file>