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200"/>
        <w:jc w:val="center"/>
      </w:pPr>
      <w:r>
        <w:rPr>
          <w:rFonts w:ascii="Arial" w:cs="Arial" w:eastAsia="Arial" w:hAnsi="Arial"/>
          <w:b/>
          <w:bCs/>
          <w:color w:val="FFFFFF"/>
          <w:sz w:val="56"/>
          <w:szCs w:val="56"/>
        </w:rPr>
        <w:t xml:space="preserve">PROPUESTA DE SERVICIOS</w:t>
      </w:r>
    </w:p>
    <w:p>
      <w:pPr>
        <w:spacing w:before="0" w:after="120"/>
        <w:jc w:val="center"/>
      </w:pPr>
      <w:r>
        <w:rPr>
          <w:rFonts w:ascii="Arial" w:cs="Arial" w:eastAsia="Arial" w:hAnsi="Arial"/>
          <w:color w:val="D6E4F0"/>
          <w:sz w:val="32"/>
          <w:szCs w:val="32"/>
        </w:rPr>
        <w:t xml:space="preserve">Plataforma de Almacenamiento Colaborativo en la Nube</w:t>
      </w:r>
    </w:p>
    <w:p>
      <w:pPr>
        <w:spacing w:before="0" w:after="120"/>
        <w:jc w:val="center"/>
      </w:pPr>
      <w:r>
        <w:rPr>
          <w:rFonts w:ascii="Arial" w:cs="Arial" w:eastAsia="Arial" w:hAnsi="Arial"/>
          <w:i/>
          <w:iCs/>
          <w:color w:val="D6E4F0"/>
          <w:sz w:val="28"/>
          <w:szCs w:val="28"/>
        </w:rPr>
        <w:t xml:space="preserve">Microsoft Azure — Multi-Organización</w:t>
      </w:r>
    </w:p>
    <w:p>
      <w:pPr>
        <w:spacing w:before="0" w:after="160"/>
      </w:pPr>
      <w:r>
        <w:t xml:space="preserve"/>
      </w:r>
    </w:p>
    <w:p>
      <w:pPr>
        <w:spacing w:before="0" w:after="80"/>
        <w:jc w:val="center"/>
      </w:pPr>
      <w:r>
        <w:rPr>
          <w:rFonts w:ascii="Arial" w:cs="Arial" w:eastAsia="Arial" w:hAnsi="Arial"/>
          <w:color w:val="CCCCCC"/>
          <w:sz w:val="22"/>
          <w:szCs w:val="22"/>
        </w:rPr>
        <w:t xml:space="preserve">Versión 1.0  |  Marzo 2026</w:t>
      </w:r>
    </w:p>
    <w:p>
      <w:pPr>
        <w:spacing w:before="0" w:after="80"/>
        <w:jc w:val="center"/>
      </w:pPr>
      <w:r>
        <w:rPr>
          <w:rFonts w:ascii="Arial" w:cs="Arial" w:eastAsia="Arial" w:hAnsi="Arial"/>
          <w:i/>
          <w:iCs/>
          <w:color w:val="AAAAAA"/>
          <w:sz w:val="20"/>
          <w:szCs w:val="20"/>
        </w:rPr>
        <w:t xml:space="preserve">Confidencial – Solo para uso interno</w:t>
      </w:r>
    </w:p>
    <w:p>
      <w:r>
        <w:br w:type="page"/>
      </w:r>
    </w:p>
    <w:p>
      <w:pPr>
        <w:sectPr>
          <w:pgSz w:w="12240" w:h="15840" w:orient="portrait"/>
          <w:pgMar w:top="1440" w:right="1440" w:bottom="1440" w:left="1440" w:header="708" w:footer="708" w:gutter="0"/>
          <w:pgNumType w:start="0"/>
          <w:docGrid w:linePitch="360"/>
        </w:sectPr>
      </w:pPr>
    </w:p>
    <w:p>
      <w:pPr>
        <w:pStyle w:val="Heading1"/>
        <w:pBdr>
          <w:bottom w:val="single" w:color="2E75B6" w:sz="6" w:space="4"/>
        </w:pBdr>
        <w:spacing w:before="360" w:after="160"/>
      </w:pPr>
      <w:r>
        <w:rPr>
          <w:rFonts w:ascii="Arial" w:cs="Arial" w:eastAsia="Arial" w:hAnsi="Arial"/>
          <w:b/>
          <w:bCs/>
          <w:color w:val="1F3864"/>
          <w:sz w:val="32"/>
          <w:szCs w:val="32"/>
        </w:rPr>
        <w:t xml:space="preserve">1. Introducción y Contexto</w:t>
      </w:r>
    </w:p>
    <w:p>
      <w:pPr>
        <w:spacing w:before="60" w:after="100"/>
      </w:pPr>
      <w:r>
        <w:rPr>
          <w:rFonts w:ascii="Arial" w:cs="Arial" w:eastAsia="Arial" w:hAnsi="Arial"/>
          <w:sz w:val="22"/>
          <w:szCs w:val="22"/>
        </w:rPr>
        <w:t xml:space="preserve">La presente propuesta describe la solución de almacenamiento colaborativo en la nube basada en Microsoft Azure, diseñada para atender las necesidades de múltiples organizaciones que requieren compartir y gestionar datos de forma segura, escalable e independiente.</w:t>
      </w:r>
    </w:p>
    <w:p>
      <w:pPr>
        <w:spacing w:before="60" w:after="100"/>
      </w:pPr>
      <w:r>
        <w:rPr>
          <w:rFonts w:ascii="Arial" w:cs="Arial" w:eastAsia="Arial" w:hAnsi="Arial"/>
          <w:sz w:val="22"/>
          <w:szCs w:val="22"/>
        </w:rPr>
        <w:t xml:space="preserve">El proyecto contempla una plataforma centralizada con capacidad inicial de 20 TB escalable hasta 50 TB, que permita el acceso simultáneo de 25 usuarios provenientes de distintas organizaciones, cada una con administración autónoma de sus identidades y permisos, sin comprometer la seguridad ni la privacidad de la información.</w:t>
      </w:r>
    </w:p>
    <w:p>
      <w:pPr>
        <w:spacing w:before="0" w:after="80"/>
      </w:pPr>
      <w:r>
        <w:t xml:space="preserve"/>
      </w:r>
    </w:p>
    <w:p>
      <w:pPr>
        <w:pStyle w:val="Heading1"/>
        <w:pBdr>
          <w:bottom w:val="single" w:color="2E75B6" w:sz="6" w:space="4"/>
        </w:pBdr>
        <w:spacing w:before="360" w:after="160"/>
      </w:pPr>
      <w:r>
        <w:rPr>
          <w:rFonts w:ascii="Arial" w:cs="Arial" w:eastAsia="Arial" w:hAnsi="Arial"/>
          <w:b/>
          <w:bCs/>
          <w:color w:val="1F3864"/>
          <w:sz w:val="32"/>
          <w:szCs w:val="32"/>
        </w:rPr>
        <w:t xml:space="preserve">2. Objetivos</w:t>
      </w:r>
    </w:p>
    <w:p>
      <w:pPr>
        <w:pStyle w:val="Heading2"/>
        <w:spacing w:before="240" w:after="120"/>
      </w:pPr>
      <w:r>
        <w:rPr>
          <w:rFonts w:ascii="Arial" w:cs="Arial" w:eastAsia="Arial" w:hAnsi="Arial"/>
          <w:b/>
          <w:bCs/>
          <w:color w:val="2E75B6"/>
          <w:sz w:val="26"/>
          <w:szCs w:val="26"/>
        </w:rPr>
        <w:t xml:space="preserve">2.1 Objetivo General</w:t>
      </w:r>
    </w:p>
    <w:p>
      <w:pPr>
        <w:spacing w:before="60" w:after="100"/>
      </w:pPr>
      <w:r>
        <w:rPr>
          <w:rFonts w:ascii="Arial" w:cs="Arial" w:eastAsia="Arial" w:hAnsi="Arial"/>
          <w:sz w:val="22"/>
          <w:szCs w:val="22"/>
        </w:rPr>
        <w:t xml:space="preserve">Diseñar, implementar y poner en operación una plataforma de almacenamiento colaborativo en Microsoft Azure que provea 50 TB de capacidad total (con aprovisionamiento inicial de 20 TB), soporte acceso concurrente de 25 usuarios de múltiples organizaciones y garantice la administración independiente por organización, con altos estándares de seguridad, disponibilidad y gobernanza.</w:t>
      </w:r>
    </w:p>
    <w:p>
      <w:pPr>
        <w:spacing w:before="0" w:after="80"/>
      </w:pPr>
      <w:r>
        <w:t xml:space="preserve"/>
      </w:r>
    </w:p>
    <w:p>
      <w:pPr>
        <w:pStyle w:val="Heading2"/>
        <w:spacing w:before="240" w:after="120"/>
      </w:pPr>
      <w:r>
        <w:rPr>
          <w:rFonts w:ascii="Arial" w:cs="Arial" w:eastAsia="Arial" w:hAnsi="Arial"/>
          <w:b/>
          <w:bCs/>
          <w:color w:val="2E75B6"/>
          <w:sz w:val="26"/>
          <w:szCs w:val="26"/>
        </w:rPr>
        <w:t xml:space="preserve">2.2 Objetivos Específicos</w:t>
      </w:r>
    </w:p>
    <w:p>
      <w:pPr>
        <w:pStyle w:val="ListParagraph"/>
        <w:numPr>
          <w:ilvl w:val="0"/>
          <w:numId w:val="2"/>
        </w:numPr>
        <w:spacing w:before="40" w:after="40"/>
      </w:pPr>
      <w:r>
        <w:rPr>
          <w:rFonts w:ascii="Arial" w:cs="Arial" w:eastAsia="Arial" w:hAnsi="Arial"/>
          <w:b w:val="false"/>
          <w:bCs w:val="false"/>
          <w:sz w:val="22"/>
          <w:szCs w:val="22"/>
        </w:rPr>
        <w:t xml:space="preserve">Aprovisionar una infraestructura de almacenamiento en Azure con capacidad inicial de 20 TB y escalado automático hasta 50 TB sin interrupción del servicio.</w:t>
      </w:r>
    </w:p>
    <w:p>
      <w:pPr>
        <w:pStyle w:val="ListParagraph"/>
        <w:numPr>
          <w:ilvl w:val="0"/>
          <w:numId w:val="2"/>
        </w:numPr>
        <w:spacing w:before="40" w:after="40"/>
      </w:pPr>
      <w:r>
        <w:rPr>
          <w:rFonts w:ascii="Arial" w:cs="Arial" w:eastAsia="Arial" w:hAnsi="Arial"/>
          <w:b w:val="false"/>
          <w:bCs w:val="false"/>
          <w:sz w:val="22"/>
          <w:szCs w:val="22"/>
        </w:rPr>
        <w:t xml:space="preserve">Habilitar el acceso colaborativo y simultáneo de 25 usuarios provenientes de diferentes organizaciones, con autenticación multifactor (MFA) y gestión de identidades federada mediante Azure Entra ID (Azure AD B2B).</w:t>
      </w:r>
    </w:p>
    <w:p>
      <w:pPr>
        <w:pStyle w:val="ListParagraph"/>
        <w:numPr>
          <w:ilvl w:val="0"/>
          <w:numId w:val="2"/>
        </w:numPr>
        <w:spacing w:before="40" w:after="40"/>
      </w:pPr>
      <w:r>
        <w:rPr>
          <w:rFonts w:ascii="Arial" w:cs="Arial" w:eastAsia="Arial" w:hAnsi="Arial"/>
          <w:b w:val="false"/>
          <w:bCs w:val="false"/>
          <w:sz w:val="22"/>
          <w:szCs w:val="22"/>
        </w:rPr>
        <w:t xml:space="preserve">Implementar modelos de administración independiente por organización, garantizando que cada entidad gestione sus propios usuarios, grupos y permisos sin interferir con las demás.</w:t>
      </w:r>
    </w:p>
    <w:p>
      <w:pPr>
        <w:pStyle w:val="ListParagraph"/>
        <w:numPr>
          <w:ilvl w:val="0"/>
          <w:numId w:val="2"/>
        </w:numPr>
        <w:spacing w:before="40" w:after="40"/>
      </w:pPr>
      <w:r>
        <w:rPr>
          <w:rFonts w:ascii="Arial" w:cs="Arial" w:eastAsia="Arial" w:hAnsi="Arial"/>
          <w:b w:val="false"/>
          <w:bCs w:val="false"/>
          <w:sz w:val="22"/>
          <w:szCs w:val="22"/>
        </w:rPr>
        <w:t xml:space="preserve">Asegurar la confidencialidad, integridad y disponibilidad de los datos mediante cifrado AES-256 en reposo y TLS 1.2+ en tránsito, respaldos automatizados y auditoría continua.</w:t>
      </w:r>
    </w:p>
    <w:p>
      <w:pPr>
        <w:pStyle w:val="ListParagraph"/>
        <w:numPr>
          <w:ilvl w:val="0"/>
          <w:numId w:val="2"/>
        </w:numPr>
        <w:spacing w:before="40" w:after="40"/>
      </w:pPr>
      <w:r>
        <w:rPr>
          <w:rFonts w:ascii="Arial" w:cs="Arial" w:eastAsia="Arial" w:hAnsi="Arial"/>
          <w:b w:val="false"/>
          <w:bCs w:val="false"/>
          <w:sz w:val="22"/>
          <w:szCs w:val="22"/>
        </w:rPr>
        <w:t xml:space="preserve">Establecer un marco de gobernanza basado en Azure Policy y Cost Management que facilite el cumplimiento normativo y el control del gasto en la nube.</w:t>
      </w:r>
    </w:p>
    <w:p>
      <w:pPr>
        <w:pStyle w:val="ListParagraph"/>
        <w:numPr>
          <w:ilvl w:val="0"/>
          <w:numId w:val="2"/>
        </w:numPr>
        <w:spacing w:before="40" w:after="40"/>
      </w:pPr>
      <w:r>
        <w:rPr>
          <w:rFonts w:ascii="Arial" w:cs="Arial" w:eastAsia="Arial" w:hAnsi="Arial"/>
          <w:b w:val="false"/>
          <w:bCs w:val="false"/>
          <w:sz w:val="22"/>
          <w:szCs w:val="22"/>
        </w:rPr>
        <w:t xml:space="preserve">Documentar la arquitectura y capacitar a los administradores de cada organización participante para la operación autónoma de la plataforma.</w:t>
      </w:r>
    </w:p>
    <w:p>
      <w:pPr>
        <w:spacing w:before="0" w:after="80"/>
      </w:pPr>
      <w:r>
        <w:t xml:space="preserve"/>
      </w:r>
    </w:p>
    <w:p>
      <w:pPr>
        <w:pStyle w:val="Heading1"/>
        <w:pBdr>
          <w:bottom w:val="single" w:color="2E75B6" w:sz="6" w:space="4"/>
        </w:pBdr>
        <w:spacing w:before="360" w:after="160"/>
      </w:pPr>
      <w:r>
        <w:rPr>
          <w:rFonts w:ascii="Arial" w:cs="Arial" w:eastAsia="Arial" w:hAnsi="Arial"/>
          <w:b/>
          <w:bCs/>
          <w:color w:val="1F3864"/>
          <w:sz w:val="32"/>
          <w:szCs w:val="32"/>
        </w:rPr>
        <w:t xml:space="preserve">3. Alcance del Proyecto</w:t>
      </w:r>
    </w:p>
    <w:p>
      <w:pPr>
        <w:pStyle w:val="Heading2"/>
        <w:spacing w:before="240" w:after="120"/>
      </w:pPr>
      <w:r>
        <w:rPr>
          <w:rFonts w:ascii="Arial" w:cs="Arial" w:eastAsia="Arial" w:hAnsi="Arial"/>
          <w:b/>
          <w:bCs/>
          <w:color w:val="2E75B6"/>
          <w:sz w:val="26"/>
          <w:szCs w:val="26"/>
        </w:rPr>
        <w:t xml:space="preserve">3.1 Dentro del Alcance</w:t>
      </w:r>
    </w:p>
    <w:p>
      <w:pPr>
        <w:pStyle w:val="ListParagraph"/>
        <w:numPr>
          <w:ilvl w:val="0"/>
          <w:numId w:val="2"/>
        </w:numPr>
        <w:spacing w:before="40" w:after="40"/>
      </w:pPr>
      <w:r>
        <w:rPr>
          <w:rFonts w:ascii="Arial" w:cs="Arial" w:eastAsia="Arial" w:hAnsi="Arial"/>
          <w:b w:val="false"/>
          <w:bCs w:val="false"/>
          <w:sz w:val="22"/>
          <w:szCs w:val="22"/>
        </w:rPr>
        <w:t xml:space="preserve">Diseño de arquitectura de referencia en Microsoft Azure para almacenamiento colaborativo multi-organización.</w:t>
      </w:r>
    </w:p>
    <w:p>
      <w:pPr>
        <w:pStyle w:val="ListParagraph"/>
        <w:numPr>
          <w:ilvl w:val="0"/>
          <w:numId w:val="2"/>
        </w:numPr>
        <w:spacing w:before="40" w:after="40"/>
      </w:pPr>
      <w:r>
        <w:rPr>
          <w:rFonts w:ascii="Arial" w:cs="Arial" w:eastAsia="Arial" w:hAnsi="Arial"/>
          <w:b w:val="false"/>
          <w:bCs w:val="false"/>
          <w:sz w:val="22"/>
          <w:szCs w:val="22"/>
        </w:rPr>
        <w:t xml:space="preserve">Aprovisionamiento de Azure Data Lake Storage Gen2 / Blob Storage con 20 TB inicial y configuración para escalar hasta 50 TB.</w:t>
      </w:r>
    </w:p>
    <w:p>
      <w:pPr>
        <w:pStyle w:val="ListParagraph"/>
        <w:numPr>
          <w:ilvl w:val="0"/>
          <w:numId w:val="2"/>
        </w:numPr>
        <w:spacing w:before="40" w:after="40"/>
      </w:pPr>
      <w:r>
        <w:rPr>
          <w:rFonts w:ascii="Arial" w:cs="Arial" w:eastAsia="Arial" w:hAnsi="Arial"/>
          <w:b w:val="false"/>
          <w:bCs w:val="false"/>
          <w:sz w:val="22"/>
          <w:szCs w:val="22"/>
        </w:rPr>
        <w:t xml:space="preserve">Configuración de Azure Active Directory B2B para federar identidades de hasta 25 usuarios de diferentes organizaciones con administración independiente.</w:t>
      </w:r>
    </w:p>
    <w:p>
      <w:pPr>
        <w:pStyle w:val="ListParagraph"/>
        <w:numPr>
          <w:ilvl w:val="0"/>
          <w:numId w:val="2"/>
        </w:numPr>
        <w:spacing w:before="40" w:after="40"/>
      </w:pPr>
      <w:r>
        <w:rPr>
          <w:rFonts w:ascii="Arial" w:cs="Arial" w:eastAsia="Arial" w:hAnsi="Arial"/>
          <w:b w:val="false"/>
          <w:bCs w:val="false"/>
          <w:sz w:val="22"/>
          <w:szCs w:val="22"/>
        </w:rPr>
        <w:t xml:space="preserve">Implementación de controles de seguridad: cifrado con Azure Key Vault, redes virtuales (VNet), Private Endpoints, Firewall y NSG.</w:t>
      </w:r>
    </w:p>
    <w:p>
      <w:pPr>
        <w:pStyle w:val="ListParagraph"/>
        <w:numPr>
          <w:ilvl w:val="0"/>
          <w:numId w:val="2"/>
        </w:numPr>
        <w:spacing w:before="40" w:after="40"/>
      </w:pPr>
      <w:r>
        <w:rPr>
          <w:rFonts w:ascii="Arial" w:cs="Arial" w:eastAsia="Arial" w:hAnsi="Arial"/>
          <w:b w:val="false"/>
          <w:bCs w:val="false"/>
          <w:sz w:val="22"/>
          <w:szCs w:val="22"/>
        </w:rPr>
        <w:t xml:space="preserve">Despliegue de conectividad segura mediante Azure VPN Gateway para las redes internas de las organizaciones participantes.</w:t>
      </w:r>
    </w:p>
    <w:p>
      <w:pPr>
        <w:pStyle w:val="ListParagraph"/>
        <w:numPr>
          <w:ilvl w:val="0"/>
          <w:numId w:val="2"/>
        </w:numPr>
        <w:spacing w:before="40" w:after="40"/>
      </w:pPr>
      <w:r>
        <w:rPr>
          <w:rFonts w:ascii="Arial" w:cs="Arial" w:eastAsia="Arial" w:hAnsi="Arial"/>
          <w:b w:val="false"/>
          <w:bCs w:val="false"/>
          <w:sz w:val="22"/>
          <w:szCs w:val="22"/>
        </w:rPr>
        <w:t xml:space="preserve">Configuración de Azure Backup con políticas de retención y recuperación para la totalidad de los datos.</w:t>
      </w:r>
    </w:p>
    <w:p>
      <w:pPr>
        <w:pStyle w:val="ListParagraph"/>
        <w:numPr>
          <w:ilvl w:val="0"/>
          <w:numId w:val="2"/>
        </w:numPr>
        <w:spacing w:before="40" w:after="40"/>
      </w:pPr>
      <w:r>
        <w:rPr>
          <w:rFonts w:ascii="Arial" w:cs="Arial" w:eastAsia="Arial" w:hAnsi="Arial"/>
          <w:b w:val="false"/>
          <w:bCs w:val="false"/>
          <w:sz w:val="22"/>
          <w:szCs w:val="22"/>
        </w:rPr>
        <w:t xml:space="preserve">Habilitación de Azure Monitor y Log Analytics para monitoreo, alertas y auditoría del entorno.</w:t>
      </w:r>
    </w:p>
    <w:p>
      <w:pPr>
        <w:pStyle w:val="ListParagraph"/>
        <w:numPr>
          <w:ilvl w:val="0"/>
          <w:numId w:val="2"/>
        </w:numPr>
        <w:spacing w:before="40" w:after="40"/>
      </w:pPr>
      <w:r>
        <w:rPr>
          <w:rFonts w:ascii="Arial" w:cs="Arial" w:eastAsia="Arial" w:hAnsi="Arial"/>
          <w:b w:val="false"/>
          <w:bCs w:val="false"/>
          <w:sz w:val="22"/>
          <w:szCs w:val="22"/>
        </w:rPr>
        <w:t xml:space="preserve">Implementación de infraestructura como código (IaC) con Azure Bicep/ARM para despliegue reproducible.</w:t>
      </w:r>
    </w:p>
    <w:p>
      <w:pPr>
        <w:pStyle w:val="ListParagraph"/>
        <w:numPr>
          <w:ilvl w:val="0"/>
          <w:numId w:val="2"/>
        </w:numPr>
        <w:spacing w:before="40" w:after="40"/>
      </w:pPr>
      <w:r>
        <w:rPr>
          <w:rFonts w:ascii="Arial" w:cs="Arial" w:eastAsia="Arial" w:hAnsi="Arial"/>
          <w:b w:val="false"/>
          <w:bCs w:val="false"/>
          <w:sz w:val="22"/>
          <w:szCs w:val="22"/>
        </w:rPr>
        <w:t xml:space="preserve">Documentación técnica y operativa de la plataforma.</w:t>
      </w:r>
    </w:p>
    <w:p>
      <w:pPr>
        <w:pStyle w:val="ListParagraph"/>
        <w:numPr>
          <w:ilvl w:val="0"/>
          <w:numId w:val="2"/>
        </w:numPr>
        <w:spacing w:before="40" w:after="40"/>
      </w:pPr>
      <w:r>
        <w:rPr>
          <w:rFonts w:ascii="Arial" w:cs="Arial" w:eastAsia="Arial" w:hAnsi="Arial"/>
          <w:b w:val="false"/>
          <w:bCs w:val="false"/>
          <w:sz w:val="22"/>
          <w:szCs w:val="22"/>
        </w:rPr>
        <w:t xml:space="preserve">Sesión de capacitación para administradores de cada organización participante.</w:t>
      </w:r>
    </w:p>
    <w:p>
      <w:pPr>
        <w:spacing w:before="0" w:after="80"/>
      </w:pPr>
      <w:r>
        <w:t xml:space="preserve"/>
      </w:r>
    </w:p>
    <w:p>
      <w:pPr>
        <w:pStyle w:val="Heading2"/>
        <w:spacing w:before="240" w:after="120"/>
      </w:pPr>
      <w:r>
        <w:rPr>
          <w:rFonts w:ascii="Arial" w:cs="Arial" w:eastAsia="Arial" w:hAnsi="Arial"/>
          <w:b/>
          <w:bCs/>
          <w:color w:val="2E75B6"/>
          <w:sz w:val="26"/>
          <w:szCs w:val="26"/>
        </w:rPr>
        <w:t xml:space="preserve">3.2 Fuera del Alcance</w:t>
      </w:r>
    </w:p>
    <w:p>
      <w:pPr>
        <w:pStyle w:val="ListParagraph"/>
        <w:numPr>
          <w:ilvl w:val="0"/>
          <w:numId w:val="2"/>
        </w:numPr>
        <w:spacing w:before="40" w:after="40"/>
      </w:pPr>
      <w:r>
        <w:rPr>
          <w:rFonts w:ascii="Arial" w:cs="Arial" w:eastAsia="Arial" w:hAnsi="Arial"/>
          <w:b w:val="false"/>
          <w:bCs w:val="false"/>
          <w:sz w:val="22"/>
          <w:szCs w:val="22"/>
        </w:rPr>
        <w:t xml:space="preserve">Migración de datos existentes desde sistemas on-premises u otras nubes (se puede cotizar como proyecto separado).</w:t>
      </w:r>
    </w:p>
    <w:p>
      <w:pPr>
        <w:pStyle w:val="ListParagraph"/>
        <w:numPr>
          <w:ilvl w:val="0"/>
          <w:numId w:val="2"/>
        </w:numPr>
        <w:spacing w:before="40" w:after="40"/>
      </w:pPr>
      <w:r>
        <w:rPr>
          <w:rFonts w:ascii="Arial" w:cs="Arial" w:eastAsia="Arial" w:hAnsi="Arial"/>
          <w:b w:val="false"/>
          <w:bCs w:val="false"/>
          <w:sz w:val="22"/>
          <w:szCs w:val="22"/>
        </w:rPr>
        <w:t xml:space="preserve">Desarrollo de aplicaciones o portales web personalizados para acceso a los datos.</w:t>
      </w:r>
    </w:p>
    <w:p>
      <w:pPr>
        <w:pStyle w:val="ListParagraph"/>
        <w:numPr>
          <w:ilvl w:val="0"/>
          <w:numId w:val="2"/>
        </w:numPr>
        <w:spacing w:before="40" w:after="40"/>
      </w:pPr>
      <w:r>
        <w:rPr>
          <w:rFonts w:ascii="Arial" w:cs="Arial" w:eastAsia="Arial" w:hAnsi="Arial"/>
          <w:b w:val="false"/>
          <w:bCs w:val="false"/>
          <w:sz w:val="22"/>
          <w:szCs w:val="22"/>
        </w:rPr>
        <w:t xml:space="preserve">Soporte operativo continuo (managed services) posterior al periodo de estabilización de 30 días post Go-Live.</w:t>
      </w:r>
    </w:p>
    <w:p>
      <w:pPr>
        <w:pStyle w:val="ListParagraph"/>
        <w:numPr>
          <w:ilvl w:val="0"/>
          <w:numId w:val="2"/>
        </w:numPr>
        <w:spacing w:before="40" w:after="40"/>
      </w:pPr>
      <w:r>
        <w:rPr>
          <w:rFonts w:ascii="Arial" w:cs="Arial" w:eastAsia="Arial" w:hAnsi="Arial"/>
          <w:b w:val="false"/>
          <w:bCs w:val="false"/>
          <w:sz w:val="22"/>
          <w:szCs w:val="22"/>
        </w:rPr>
        <w:t xml:space="preserve">Configuración de entornos de desarrollo o QA adicionales no contemplados en esta propuesta.</w:t>
      </w:r>
    </w:p>
    <w:p>
      <w:pPr>
        <w:pStyle w:val="ListParagraph"/>
        <w:numPr>
          <w:ilvl w:val="0"/>
          <w:numId w:val="2"/>
        </w:numPr>
        <w:spacing w:before="40" w:after="40"/>
      </w:pPr>
      <w:r>
        <w:rPr>
          <w:rFonts w:ascii="Arial" w:cs="Arial" w:eastAsia="Arial" w:hAnsi="Arial"/>
          <w:b w:val="false"/>
          <w:bCs w:val="false"/>
          <w:sz w:val="22"/>
          <w:szCs w:val="22"/>
        </w:rPr>
        <w:t xml:space="preserve">Licenciamiento de productos de terceros distintos a los servicios nativos de Microsoft Azure.</w:t>
      </w:r>
    </w:p>
    <w:p>
      <w:pPr>
        <w:pStyle w:val="ListParagraph"/>
        <w:numPr>
          <w:ilvl w:val="0"/>
          <w:numId w:val="2"/>
        </w:numPr>
        <w:spacing w:before="40" w:after="40"/>
      </w:pPr>
      <w:r>
        <w:rPr>
          <w:rFonts w:ascii="Arial" w:cs="Arial" w:eastAsia="Arial" w:hAnsi="Arial"/>
          <w:b w:val="false"/>
          <w:bCs w:val="false"/>
          <w:sz w:val="22"/>
          <w:szCs w:val="22"/>
        </w:rPr>
        <w:t xml:space="preserve">Conectividad ExpressRoute (se puede cotizar de forma separada si se requiere mayor ancho de banda).</w:t>
      </w:r>
    </w:p>
    <w:p>
      <w:pPr>
        <w:pStyle w:val="ListParagraph"/>
        <w:numPr>
          <w:ilvl w:val="0"/>
          <w:numId w:val="2"/>
        </w:numPr>
        <w:spacing w:before="40" w:after="40"/>
      </w:pPr>
      <w:r>
        <w:rPr>
          <w:rFonts w:ascii="Arial" w:cs="Arial" w:eastAsia="Arial" w:hAnsi="Arial"/>
          <w:b w:val="false"/>
          <w:bCs w:val="false"/>
          <w:sz w:val="22"/>
          <w:szCs w:val="22"/>
        </w:rPr>
        <w:t xml:space="preserve">Cumplimiento regulatorio específico de industria (HIPAA, PCI-DSS) más allá de los controles de seguridad base incluidos.</w:t>
      </w:r>
    </w:p>
    <w:p>
      <w:pPr>
        <w:pStyle w:val="ListParagraph"/>
        <w:numPr>
          <w:ilvl w:val="0"/>
          <w:numId w:val="2"/>
        </w:numPr>
        <w:spacing w:before="40" w:after="40"/>
      </w:pPr>
      <w:r>
        <w:rPr>
          <w:rFonts w:ascii="Arial" w:cs="Arial" w:eastAsia="Arial" w:hAnsi="Arial"/>
          <w:b w:val="false"/>
          <w:bCs w:val="false"/>
          <w:sz w:val="22"/>
          <w:szCs w:val="22"/>
        </w:rPr>
        <w:t xml:space="preserve">Gestión de dispositivos de usuario final ni infraestructura de red interna de las organizaciones participantes.</w:t>
      </w:r>
    </w:p>
    <w:p>
      <w:pPr>
        <w:spacing w:before="0" w:after="80"/>
      </w:pPr>
      <w:r>
        <w:t xml:space="preserve"/>
      </w:r>
    </w:p>
    <w:p>
      <w:pPr>
        <w:pStyle w:val="Heading1"/>
        <w:pBdr>
          <w:bottom w:val="single" w:color="2E75B6" w:sz="6" w:space="4"/>
        </w:pBdr>
        <w:spacing w:before="360" w:after="160"/>
      </w:pPr>
      <w:r>
        <w:rPr>
          <w:rFonts w:ascii="Arial" w:cs="Arial" w:eastAsia="Arial" w:hAnsi="Arial"/>
          <w:b/>
          <w:bCs/>
          <w:color w:val="1F3864"/>
          <w:sz w:val="32"/>
          <w:szCs w:val="32"/>
        </w:rPr>
        <w:t xml:space="preserve">4. Requerimientos Técnicos</w:t>
      </w:r>
    </w:p>
    <w:p>
      <w:pPr>
        <w:spacing w:before="60" w:after="100"/>
      </w:pPr>
      <w:r>
        <w:rPr>
          <w:rFonts w:ascii="Arial" w:cs="Arial" w:eastAsia="Arial" w:hAnsi="Arial"/>
          <w:sz w:val="22"/>
          <w:szCs w:val="22"/>
        </w:rPr>
        <w:t xml:space="preserve">La siguiente tabla detalla las especificaciones técnicas mínimas que deberá cumplir la solución implementada en Microsoft Azure: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Especificación</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 / Valor Requerido</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Almacenamiento Total</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Capacidad máxima provisionable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50 TB (Azure Data Lake Storage Gen2 o Blob Storage)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Aprovisionamiento Inicial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Capacidad habilitada en Go-Live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TB con escalado automático hasta 50 TB</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Usuarios Concurrentes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Acceso colaborativo simultáneo</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25 usuarios de múltiples organizaciones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Gestión Multi-Organización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Administración independiente por org.</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AD B2B con tenants independientes o invitaciones externas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Autenticación</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Mecanismo de autenticación seguro</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Azure Entra ID con MFA obligatorio y acceso condicional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Cifrado en Reposo</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Protección de datos almacenados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AES-256 gestionado por Azure Key Vault (CMK o Microsoft Managed)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Cifrado en Tránsito</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Protección de datos en movimiento</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TLS 1.2 mínimo en todos los endpoints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Conectividad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Acceso desde redes internas de orgs.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Azure VPN Gateway (P2S/S2S) o Azure ExpressRoute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Disponibilidad</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SLA del servicio de almacenamiento</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99.9% (LRS) o 99.99% (GRS) según necesidad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RPO / RTO</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Objetivos de recuperación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RPO ≤ 24 h / RTO ≤ 4 h con Azure Backup</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Auditoría y Logs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Trazabilidad de accesos y operaciones</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Azure Monitor + Log Analytics con retención mínima 90 días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Cumplimiento</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Normativas aplicables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 27001, SOC 2 Type II, GDPR (según aplique por org.)</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IaC (Infra as Code)</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Automatización del despliegue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Azure Bicep / ARM Templates versionados en repositorio Git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Región Azure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Ubicación de los recursos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East US 2 + West US 2 (geo-redundancia opcional)</w:t>
            </w:r>
          </w:p>
        </w:tc>
      </w:tr>
    </w:tbl>
    <w:p>
      <w:pPr>
        <w:spacing w:before="0" w:after="80"/>
      </w:pPr>
      <w:r>
        <w:t xml:space="preserve"/>
      </w:r>
    </w:p>
    <w:p>
      <w:pPr>
        <w:pStyle w:val="Heading1"/>
        <w:pBdr>
          <w:bottom w:val="single" w:color="2E75B6" w:sz="6" w:space="4"/>
        </w:pBdr>
        <w:spacing w:before="360" w:after="160"/>
      </w:pPr>
      <w:r>
        <w:rPr>
          <w:rFonts w:ascii="Arial" w:cs="Arial" w:eastAsia="Arial" w:hAnsi="Arial"/>
          <w:b/>
          <w:bCs/>
          <w:color w:val="1F3864"/>
          <w:sz w:val="32"/>
          <w:szCs w:val="32"/>
        </w:rPr>
        <w:t xml:space="preserve">5. Requerimientos de Recursos Humanos</w:t>
      </w:r>
    </w:p>
    <w:p>
      <w:pPr>
        <w:spacing w:before="60" w:after="100"/>
      </w:pPr>
      <w:r>
        <w:rPr>
          <w:rFonts w:ascii="Arial" w:cs="Arial" w:eastAsia="Arial" w:hAnsi="Arial"/>
          <w:sz w:val="22"/>
          <w:szCs w:val="22"/>
        </w:rPr>
        <w:t xml:space="preserve">El equipo de implementación propuesto para este proyecto está conformado por los siguientes perfiles especializados en Microsoft Azure: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000"/>
        <w:gridCol w:w="228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22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Cantidad</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Dedicación</w:t>
            </w:r>
          </w:p>
        </w:tc>
        <w:tc>
          <w:tcPr>
            <w:tcW w:type="dxa" w:w="22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Responsabilidad Principal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Arquitecto de Soluciones Azure</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Diseño, supervisión técnica y entregables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Administrador de Azure / Cloud Engineer</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Gestión de suscripción, recursos y IaC</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Administrador de Identidad (Entra ID)</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Usuarios, grupos, MFA, B2B y acceso condicional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Ingeniero de Redes</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VNet, NSG, VPN Gateway, conectividad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Ingeniero de Seguridad</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Key Vault, políticas, cumplimiento normativo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Ingeniero de Infraestructura</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 Backup, Files, escalado de capacidad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Ingeniero de Operaciones (SRE)</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Monitor, Log Analytics, alertas y dashboards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QA / Tester de Seguridad</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Pruebas de acceso, rendimiento y seguridad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Consultor de Adopción / Capacitación</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Formación a administradores de las organizaciones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Project Manager</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Coordinación, seguimiento y comunicación</w:t>
            </w:r>
          </w:p>
        </w:tc>
      </w:tr>
    </w:tbl>
    <w:p>
      <w:pPr>
        <w:spacing w:before="0" w:after="80"/>
      </w:pPr>
      <w:r>
        <w:t xml:space="preserve"/>
      </w:r>
    </w:p>
    <w:p>
      <w:pPr>
        <w:spacing w:before="60" w:after="100"/>
      </w:pPr>
      <w:r>
        <w:rPr>
          <w:rFonts w:ascii="Arial" w:cs="Arial" w:eastAsia="Arial" w:hAnsi="Arial"/>
          <w:i/>
          <w:iCs/>
          <w:color w:val="666666"/>
          <w:sz w:val="22"/>
          <w:szCs w:val="22"/>
        </w:rPr>
        <w:t xml:space="preserve">Nota: Las organizaciones participantes deberán designar al menos un administrador interno por entidad, quien actuará como punto de contacto y será el receptor de la capacitación.</w:t>
      </w:r>
    </w:p>
    <w:p>
      <w:pPr>
        <w:spacing w:before="0" w:after="80"/>
      </w:pPr>
      <w:r>
        <w:t xml:space="preserve"/>
      </w:r>
    </w:p>
    <w:p>
      <w:pPr>
        <w:pStyle w:val="Heading1"/>
        <w:pBdr>
          <w:bottom w:val="single" w:color="2E75B6" w:sz="6" w:space="4"/>
        </w:pBdr>
        <w:spacing w:before="360" w:after="160"/>
      </w:pPr>
      <w:r>
        <w:rPr>
          <w:rFonts w:ascii="Arial" w:cs="Arial" w:eastAsia="Arial" w:hAnsi="Arial"/>
          <w:b/>
          <w:bCs/>
          <w:color w:val="1F3864"/>
          <w:sz w:val="32"/>
          <w:szCs w:val="32"/>
        </w:rPr>
        <w:t xml:space="preserve">6. Requerimientos y Plan de Tiempo</w:t>
      </w:r>
    </w:p>
    <w:p>
      <w:pPr>
        <w:spacing w:before="60" w:after="100"/>
      </w:pPr>
      <w:r>
        <w:rPr>
          <w:rFonts w:ascii="Arial" w:cs="Arial" w:eastAsia="Arial" w:hAnsi="Arial"/>
          <w:sz w:val="22"/>
          <w:szCs w:val="22"/>
        </w:rPr>
        <w:t xml:space="preserve">El proyecto se estructura en 6 fases con una duración total estimada de 8 semanas (aproximadamente 2 meses calendario), sujeto a la disponibilidad oportuna de accesos y validaciones por parte de las organizaciones participantes: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rPr>
          <w:tblHeader/>
        </w:trPr>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43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Duración Estimada</w:t>
            </w:r>
          </w:p>
        </w:tc>
        <w:tc>
          <w:tcPr>
            <w:tcW w:type="dxa" w:w="343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Semanas del Proyecto</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Fase 1 – Planificación y Diseño</w:t>
            </w:r>
          </w:p>
        </w:tc>
        <w:tc>
          <w:tcPr>
            <w:tcW w:type="dxa" w:w="24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1.5 semanas</w:t>
            </w:r>
          </w:p>
        </w:tc>
        <w:tc>
          <w:tcPr>
            <w:tcW w:type="dxa" w:w="34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Semanas 1 – 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Fase 2 – Configuración de Identidad y Red</w:t>
            </w:r>
          </w:p>
        </w:tc>
        <w:tc>
          <w:tcPr>
            <w:tcW w:type="dxa" w:w="2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semanas</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Semanas 2 – 3</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Fase 3 – Almacenamiento y Seguridad</w:t>
            </w:r>
          </w:p>
        </w:tc>
        <w:tc>
          <w:tcPr>
            <w:tcW w:type="dxa" w:w="24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 semanas</w:t>
            </w:r>
          </w:p>
        </w:tc>
        <w:tc>
          <w:tcPr>
            <w:tcW w:type="dxa" w:w="34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Semanas 3 – 5</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Fase 4 – Integración de Usuarios y Pruebas</w:t>
            </w:r>
          </w:p>
        </w:tc>
        <w:tc>
          <w:tcPr>
            <w:tcW w:type="dxa" w:w="2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semanas</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Semanas 5 – 7</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Fase 5 – Documentación y Capacitación</w:t>
            </w:r>
          </w:p>
        </w:tc>
        <w:tc>
          <w:tcPr>
            <w:tcW w:type="dxa" w:w="24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0.5 semanas</w:t>
            </w:r>
          </w:p>
        </w:tc>
        <w:tc>
          <w:tcPr>
            <w:tcW w:type="dxa" w:w="34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Semana 7 – 8</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Fase 6 – Go-Live y Soporte Post-Despliegue</w:t>
            </w:r>
          </w:p>
        </w:tc>
        <w:tc>
          <w:tcPr>
            <w:tcW w:type="dxa" w:w="2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semana</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Semana 8</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4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8 semanas (~2 meses)</w:t>
            </w:r>
          </w:p>
        </w:tc>
        <w:tc>
          <w:tcPr>
            <w:tcW w:type="dxa" w:w="34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
            </w:r>
          </w:p>
        </w:tc>
      </w:tr>
    </w:tbl>
    <w:p>
      <w:pPr>
        <w:spacing w:before="0" w:after="80"/>
      </w:pPr>
      <w:r>
        <w:t xml:space="preserve"/>
      </w:r>
    </w:p>
    <w:p>
      <w:pPr>
        <w:spacing w:before="60" w:after="100"/>
      </w:pPr>
      <w:r>
        <w:rPr>
          <w:rFonts w:ascii="Arial" w:cs="Arial" w:eastAsia="Arial" w:hAnsi="Arial"/>
          <w:i/>
          <w:iCs/>
          <w:color w:val="666666"/>
          <w:sz w:val="22"/>
          <w:szCs w:val="22"/>
        </w:rPr>
        <w:t xml:space="preserve">* La línea de tiempo puede ajustarse en función del número de organizaciones que deban conectarse vía VPN y la complejidad de sus entornos de red.</w:t>
      </w:r>
    </w:p>
    <w:p>
      <w:pPr>
        <w:spacing w:before="0" w:after="80"/>
      </w:pPr>
      <w:r>
        <w:t xml:space="preserve"/>
      </w:r>
    </w:p>
    <w:p>
      <w:pPr>
        <w:pStyle w:val="Heading1"/>
        <w:pBdr>
          <w:bottom w:val="single" w:color="2E75B6" w:sz="6" w:space="4"/>
        </w:pBdr>
        <w:spacing w:before="360" w:after="160"/>
      </w:pPr>
      <w:r>
        <w:rPr>
          <w:rFonts w:ascii="Arial" w:cs="Arial" w:eastAsia="Arial" w:hAnsi="Arial"/>
          <w:b/>
          <w:bCs/>
          <w:color w:val="1F3864"/>
          <w:sz w:val="32"/>
          <w:szCs w:val="32"/>
        </w:rPr>
        <w:t xml:space="preserve">7. Plan de Actividades</w:t>
      </w:r>
    </w:p>
    <w:p>
      <w:pPr>
        <w:spacing w:before="60" w:after="100"/>
      </w:pPr>
      <w:r>
        <w:rPr>
          <w:rFonts w:ascii="Arial" w:cs="Arial" w:eastAsia="Arial" w:hAnsi="Arial"/>
          <w:sz w:val="22"/>
          <w:szCs w:val="22"/>
        </w:rPr>
        <w:t xml:space="preserve">A continuación se detalla el desglose de actividades, responsables y tiempos estimados para la implementación del proyecto: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2200"/>
        <w:gridCol w:w="1780"/>
        <w:gridCol w:w="1780"/>
      </w:tblGrid>
      <w:tr>
        <w:trPr>
          <w:tblHeader/>
        </w:trPr>
        <w:tc>
          <w:tcPr>
            <w:tcW w:type="dxa" w:w="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Actividad</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17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Duración</w:t>
            </w:r>
          </w:p>
        </w:tc>
        <w:tc>
          <w:tcPr>
            <w:tcW w:type="dxa" w:w="17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Semana(s)</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Kickoff y definición de requisitos detallados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Arquitecto Azure + Stakeholders</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 días</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Diseño de arquitectura y revisión de seguridad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Arquitecto Azure</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días</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Configuración de suscripción y tenant Azure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Administrador Azure</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 días</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Implementación de Azure AD / Entra ID y B2B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Administrador de Identidad</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días</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Despliegue de red (VNet, NSG, Private Endpoints)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Ingeniero de Redes</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 días</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Provisión de Storage Account (20 TB inicial)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Ingeniero de Infraestructura</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días</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7</w:t>
            </w:r>
          </w:p>
        </w:tc>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Configuración de Azure Files y niveles de Blob</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Ingeniero de Infraestructura</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 días</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Configuración de VPN Gateway (organizaciones)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Ingeniero de Redes</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días</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9</w:t>
            </w:r>
          </w:p>
        </w:tc>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Implementación de Key Vault y cifrado en reposo</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Ingeniero de Seguridad</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 días</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10</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Configuración de Azure Backup (políticas 50 TB)</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Ingeniero de Infraestructura</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días</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11</w:t>
            </w:r>
          </w:p>
        </w:tc>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Implementación de Azure Monitor y Log Analytics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Ingeniero de Operaciones</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 días</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12</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Incorporación y prueba de acceso de 25 usuarios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Administrador de Identidad</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días</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13</w:t>
            </w:r>
          </w:p>
        </w:tc>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Pruebas de carga, rendimiento y seguridad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QA / Seguridad</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 días</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6-7</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14</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Documentación técnica y operativa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Arquitecto Azure</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días</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15</w:t>
            </w:r>
          </w:p>
        </w:tc>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Capacitación a administradores de cada organización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Consultor de Adopción</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 días</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7-8</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16</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Go-Live y monitoreo post-despliegue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Todos</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días</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bl>
    <w:p>
      <w:pPr>
        <w:spacing w:before="0" w:after="80"/>
      </w:pPr>
      <w:r>
        <w:t xml:space="preserve"/>
      </w:r>
    </w:p>
    <w:p>
      <w:pPr>
        <w:pStyle w:val="Heading1"/>
        <w:pBdr>
          <w:bottom w:val="single" w:color="2E75B6" w:sz="6" w:space="4"/>
        </w:pBdr>
        <w:spacing w:before="360" w:after="160"/>
      </w:pPr>
      <w:r>
        <w:rPr>
          <w:rFonts w:ascii="Arial" w:cs="Arial" w:eastAsia="Arial" w:hAnsi="Arial"/>
          <w:b/>
          <w:bCs/>
          <w:color w:val="1F3864"/>
          <w:sz w:val="32"/>
          <w:szCs w:val="32"/>
        </w:rPr>
        <w:t xml:space="preserve">8. Lista de Servicios Microsoft Azure</w:t>
      </w:r>
    </w:p>
    <w:p>
      <w:pPr>
        <w:spacing w:before="60" w:after="100"/>
      </w:pPr>
      <w:r>
        <w:rPr>
          <w:rFonts w:ascii="Arial" w:cs="Arial" w:eastAsia="Arial" w:hAnsi="Arial"/>
          <w:sz w:val="22"/>
          <w:szCs w:val="22"/>
        </w:rPr>
        <w:t xml:space="preserve">Los siguientes servicios de Microsoft Azure serán utilizados como componentes de la solución propuesta. Todos los servicios se aprovisionarán bajo la suscripción del cliente y se gestionarán mediante Azure Resource Manager (ARM):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Servicio Azure</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 / Propósito</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Justificación en el Proyecto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Azure Active Directory B2B</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Gestión de identidades multi-organización</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Permite federar hasta 25 usuarios de distintas organizaciones con control de acceso independiente por tenant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Azure Storage Account (ADLS Gen2)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Almacenamiento de datos con capacidad escalable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Provisionamiento inicial de 20 TB con escalado automático hasta 50 TB; compatible con acceso colaborativo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Azure Blob Storage (Cool/Hot Tier)</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Almacenamiento de objetos por niveles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Optimiza costos separando datos activos (Hot) de datos históricos (Cool)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Azure Files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Almacenamiento de archivos compartidos SMB/NFS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Acceso simultáneo de múltiples usuarios a recursos compartidos desde cualquier ubicación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Azure Virtual Network (VNet)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Red privada virtual aislada</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Aísla el tráfico de red y permite conectividad segura entre organizaciones participantes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Azure Private Endpoint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Conectividad privada a servicios PaaS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Evita exposición a internet pública de los datos almacenados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Azure Firewall / NSG</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Control de tráfico y seguridad perimetral</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Reglas de acceso granulares por organización y usuario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Azure VPN Gateway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Conectividad VPN site-to-site / P2S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Conexión segura desde las redes internas de cada organización participante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Azure Key Vault</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Gestión de secretos, claves y certificados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Almacenamiento centralizado y seguro de credenciales de acceso y claves de cifrado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Microsoft Entra ID (Azure AD)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Directorio de identidades y autenticación MFA</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SSO y MFA para los 25 usuarios; políticas de acceso condicional por organización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Azure Monitor + Log Analytics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Monitoreo, alertas y auditoría</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Visibilidad en tiempo real del uso de almacenamiento, accesos y eventos de seguridad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Azure Backup</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Respaldo y recuperación de datos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Políticas de retención y puntos de recuperación para los 50 TB de datos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Azure Policy</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Gobernanza y cumplimiento normativo</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Aplicación de estándares de seguridad y nomenclatura en todos los recursos del proyecto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Azure Cost Management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 y optimización del gasto</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Alertas de presupuesto y reportes de consumo por organización o proyecto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Azure Resource Manager (ARM/Bicep)</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Infraestructura como código (IaC)</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Despliegue reproducible y versionado de todos los recursos del ambiente</w:t>
            </w:r>
          </w:p>
        </w:tc>
      </w:tr>
    </w:tbl>
    <w:p>
      <w:pPr>
        <w:spacing w:before="0" w:after="80"/>
      </w:pPr>
      <w:r>
        <w:t xml:space="preserve"/>
      </w:r>
    </w:p>
    <w:p>
      <w:pPr>
        <w:spacing w:before="60" w:after="100"/>
      </w:pPr>
      <w:r>
        <w:rPr>
          <w:rFonts w:ascii="Arial" w:cs="Arial" w:eastAsia="Arial" w:hAnsi="Arial"/>
          <w:i/>
          <w:iCs/>
          <w:color w:val="666666"/>
          <w:sz w:val="22"/>
          <w:szCs w:val="22"/>
        </w:rPr>
        <w:t xml:space="preserve">Nota: Los costos de los servicios dependerán de los niveles de redundancia, regiones seleccionadas y consumo real. Se recomienda usar la Calculadora de Precios de Azure para una estimación detallada.</w:t>
      </w:r>
    </w:p>
    <w:p>
      <w:pPr>
        <w:spacing w:before="0" w:after="80"/>
      </w:pPr>
      <w:r>
        <w:t xml:space="preserve"/>
      </w:r>
    </w:p>
    <w:p>
      <w:pPr>
        <w:pStyle w:val="Heading1"/>
        <w:pBdr>
          <w:bottom w:val="single" w:color="2E75B6" w:sz="6" w:space="4"/>
        </w:pBdr>
        <w:spacing w:before="360" w:after="160"/>
      </w:pPr>
      <w:r>
        <w:rPr>
          <w:rFonts w:ascii="Arial" w:cs="Arial" w:eastAsia="Arial" w:hAnsi="Arial"/>
          <w:b/>
          <w:bCs/>
          <w:color w:val="1F3864"/>
          <w:sz w:val="32"/>
          <w:szCs w:val="32"/>
        </w:rPr>
        <w:t xml:space="preserve">9. Criterios de Aceptación</w:t>
      </w:r>
    </w:p>
    <w:p>
      <w:pPr>
        <w:pStyle w:val="ListParagraph"/>
        <w:numPr>
          <w:ilvl w:val="0"/>
          <w:numId w:val="3"/>
        </w:numPr>
        <w:spacing w:before="40" w:after="40"/>
      </w:pPr>
      <w:r>
        <w:rPr>
          <w:rFonts w:ascii="Arial" w:cs="Arial" w:eastAsia="Arial" w:hAnsi="Arial"/>
          <w:sz w:val="22"/>
          <w:szCs w:val="22"/>
        </w:rPr>
        <w:t xml:space="preserve">El entorno de Azure está desplegado en la región seleccionada con todos los servicios operativos y validados.</w:t>
      </w:r>
    </w:p>
    <w:p>
      <w:pPr>
        <w:pStyle w:val="ListParagraph"/>
        <w:numPr>
          <w:ilvl w:val="0"/>
          <w:numId w:val="3"/>
        </w:numPr>
        <w:spacing w:before="40" w:after="40"/>
      </w:pPr>
      <w:r>
        <w:rPr>
          <w:rFonts w:ascii="Arial" w:cs="Arial" w:eastAsia="Arial" w:hAnsi="Arial"/>
          <w:sz w:val="22"/>
          <w:szCs w:val="22"/>
        </w:rPr>
        <w:t xml:space="preserve">El almacenamiento inicial de 20 TB está disponible, correctamente configurado y accesible por todos los usuarios autorizados.</w:t>
      </w:r>
    </w:p>
    <w:p>
      <w:pPr>
        <w:pStyle w:val="ListParagraph"/>
        <w:numPr>
          <w:ilvl w:val="0"/>
          <w:numId w:val="3"/>
        </w:numPr>
        <w:spacing w:before="40" w:after="40"/>
      </w:pPr>
      <w:r>
        <w:rPr>
          <w:rFonts w:ascii="Arial" w:cs="Arial" w:eastAsia="Arial" w:hAnsi="Arial"/>
          <w:sz w:val="22"/>
          <w:szCs w:val="22"/>
        </w:rPr>
        <w:t xml:space="preserve">Los 25 usuarios de las distintas organizaciones pueden autenticarse con MFA y acceder a los recursos asignados según sus permisos.</w:t>
      </w:r>
    </w:p>
    <w:p>
      <w:pPr>
        <w:pStyle w:val="ListParagraph"/>
        <w:numPr>
          <w:ilvl w:val="0"/>
          <w:numId w:val="3"/>
        </w:numPr>
        <w:spacing w:before="40" w:after="40"/>
      </w:pPr>
      <w:r>
        <w:rPr>
          <w:rFonts w:ascii="Arial" w:cs="Arial" w:eastAsia="Arial" w:hAnsi="Arial"/>
          <w:sz w:val="22"/>
          <w:szCs w:val="22"/>
        </w:rPr>
        <w:t xml:space="preserve">Cada organización puede gestionar sus propios usuarios y permisos de forma independiente sin afectar a otras organizaciones.</w:t>
      </w:r>
    </w:p>
    <w:p>
      <w:pPr>
        <w:pStyle w:val="ListParagraph"/>
        <w:numPr>
          <w:ilvl w:val="0"/>
          <w:numId w:val="3"/>
        </w:numPr>
        <w:spacing w:before="40" w:after="40"/>
      </w:pPr>
      <w:r>
        <w:rPr>
          <w:rFonts w:ascii="Arial" w:cs="Arial" w:eastAsia="Arial" w:hAnsi="Arial"/>
          <w:sz w:val="22"/>
          <w:szCs w:val="22"/>
        </w:rPr>
        <w:t xml:space="preserve">Las políticas de backup están activas y se ha realizado al menos una prueba exitosa de restauración.</w:t>
      </w:r>
    </w:p>
    <w:p>
      <w:pPr>
        <w:pStyle w:val="ListParagraph"/>
        <w:numPr>
          <w:ilvl w:val="0"/>
          <w:numId w:val="3"/>
        </w:numPr>
        <w:spacing w:before="40" w:after="40"/>
      </w:pPr>
      <w:r>
        <w:rPr>
          <w:rFonts w:ascii="Arial" w:cs="Arial" w:eastAsia="Arial" w:hAnsi="Arial"/>
          <w:sz w:val="22"/>
          <w:szCs w:val="22"/>
        </w:rPr>
        <w:t xml:space="preserve">Los dashboards de monitoreo en Azure Monitor muestran métricas de disponibilidad, uso de almacenamiento y eventos de seguridad.</w:t>
      </w:r>
    </w:p>
    <w:p>
      <w:pPr>
        <w:pStyle w:val="ListParagraph"/>
        <w:numPr>
          <w:ilvl w:val="0"/>
          <w:numId w:val="3"/>
        </w:numPr>
        <w:spacing w:before="40" w:after="40"/>
      </w:pPr>
      <w:r>
        <w:rPr>
          <w:rFonts w:ascii="Arial" w:cs="Arial" w:eastAsia="Arial" w:hAnsi="Arial"/>
          <w:sz w:val="22"/>
          <w:szCs w:val="22"/>
        </w:rPr>
        <w:t xml:space="preserve">La documentación técnica y operativa ha sido entregada y revisada por el cliente.</w:t>
      </w:r>
    </w:p>
    <w:p>
      <w:pPr>
        <w:pStyle w:val="ListParagraph"/>
        <w:numPr>
          <w:ilvl w:val="0"/>
          <w:numId w:val="3"/>
        </w:numPr>
        <w:spacing w:before="40" w:after="40"/>
      </w:pPr>
      <w:r>
        <w:rPr>
          <w:rFonts w:ascii="Arial" w:cs="Arial" w:eastAsia="Arial" w:hAnsi="Arial"/>
          <w:sz w:val="22"/>
          <w:szCs w:val="22"/>
        </w:rPr>
        <w:t xml:space="preserve">La sesión de capacitación ha sido impartida y los administradores de cada organización han validado su competencia en la plataforma.</w:t>
      </w:r>
    </w:p>
    <w:p>
      <w:pPr>
        <w:spacing w:before="0" w:after="80"/>
      </w:pPr>
      <w:r>
        <w:t xml:space="preserve"/>
      </w:r>
    </w:p>
    <w:p>
      <w:pPr>
        <w:pStyle w:val="Heading1"/>
        <w:pBdr>
          <w:bottom w:val="single" w:color="2E75B6" w:sz="6" w:space="4"/>
        </w:pBdr>
        <w:spacing w:before="360" w:after="160"/>
      </w:pPr>
      <w:r>
        <w:rPr>
          <w:rFonts w:ascii="Arial" w:cs="Arial" w:eastAsia="Arial" w:hAnsi="Arial"/>
          <w:b/>
          <w:bCs/>
          <w:color w:val="1F3864"/>
          <w:sz w:val="32"/>
          <w:szCs w:val="32"/>
        </w:rPr>
        <w:t xml:space="preserve">10. Supuestos y Restricciones</w:t>
      </w:r>
    </w:p>
    <w:p>
      <w:pPr>
        <w:pStyle w:val="Heading2"/>
        <w:spacing w:before="240" w:after="120"/>
      </w:pPr>
      <w:r>
        <w:rPr>
          <w:rFonts w:ascii="Arial" w:cs="Arial" w:eastAsia="Arial" w:hAnsi="Arial"/>
          <w:b/>
          <w:bCs/>
          <w:color w:val="2E75B6"/>
          <w:sz w:val="26"/>
          <w:szCs w:val="26"/>
        </w:rPr>
        <w:t xml:space="preserve">10.1 Supuestos</w:t>
      </w:r>
    </w:p>
    <w:p>
      <w:pPr>
        <w:pStyle w:val="ListParagraph"/>
        <w:numPr>
          <w:ilvl w:val="0"/>
          <w:numId w:val="2"/>
        </w:numPr>
        <w:spacing w:before="40" w:after="40"/>
      </w:pPr>
      <w:r>
        <w:rPr>
          <w:rFonts w:ascii="Arial" w:cs="Arial" w:eastAsia="Arial" w:hAnsi="Arial"/>
          <w:b w:val="false"/>
          <w:bCs w:val="false"/>
          <w:sz w:val="22"/>
          <w:szCs w:val="22"/>
        </w:rPr>
        <w:t xml:space="preserve">El cliente cuenta con una suscripción activa de Microsoft Azure con permisos de Owner o Contributor a nivel de suscripción.</w:t>
      </w:r>
    </w:p>
    <w:p>
      <w:pPr>
        <w:pStyle w:val="ListParagraph"/>
        <w:numPr>
          <w:ilvl w:val="0"/>
          <w:numId w:val="2"/>
        </w:numPr>
        <w:spacing w:before="40" w:after="40"/>
      </w:pPr>
      <w:r>
        <w:rPr>
          <w:rFonts w:ascii="Arial" w:cs="Arial" w:eastAsia="Arial" w:hAnsi="Arial"/>
          <w:b w:val="false"/>
          <w:bCs w:val="false"/>
          <w:sz w:val="22"/>
          <w:szCs w:val="22"/>
        </w:rPr>
        <w:t xml:space="preserve">Cada organización participante proveerá acceso de prueba a su red interna para la configuración de VPN durante la fase de integración.</w:t>
      </w:r>
    </w:p>
    <w:p>
      <w:pPr>
        <w:pStyle w:val="ListParagraph"/>
        <w:numPr>
          <w:ilvl w:val="0"/>
          <w:numId w:val="2"/>
        </w:numPr>
        <w:spacing w:before="40" w:after="40"/>
      </w:pPr>
      <w:r>
        <w:rPr>
          <w:rFonts w:ascii="Arial" w:cs="Arial" w:eastAsia="Arial" w:hAnsi="Arial"/>
          <w:b w:val="false"/>
          <w:bCs w:val="false"/>
          <w:sz w:val="22"/>
          <w:szCs w:val="22"/>
        </w:rPr>
        <w:t xml:space="preserve">Los usuarios finales cuentan con dispositivos compatibles con los requisitos de Azure AD (MFA, navegadores actualizados).</w:t>
      </w:r>
    </w:p>
    <w:p>
      <w:pPr>
        <w:pStyle w:val="ListParagraph"/>
        <w:numPr>
          <w:ilvl w:val="0"/>
          <w:numId w:val="2"/>
        </w:numPr>
        <w:spacing w:before="40" w:after="40"/>
      </w:pPr>
      <w:r>
        <w:rPr>
          <w:rFonts w:ascii="Arial" w:cs="Arial" w:eastAsia="Arial" w:hAnsi="Arial"/>
          <w:b w:val="false"/>
          <w:bCs w:val="false"/>
          <w:sz w:val="22"/>
          <w:szCs w:val="22"/>
        </w:rPr>
        <w:t xml:space="preserve">Los datos a almacenar no requieren cumplimiento regulatorio especializado (HIPAA, PCI-DSS) más allá de los controles base incluidos.</w:t>
      </w:r>
    </w:p>
    <w:p>
      <w:pPr>
        <w:pStyle w:val="ListParagraph"/>
        <w:numPr>
          <w:ilvl w:val="0"/>
          <w:numId w:val="2"/>
        </w:numPr>
        <w:spacing w:before="40" w:after="40"/>
      </w:pPr>
      <w:r>
        <w:rPr>
          <w:rFonts w:ascii="Arial" w:cs="Arial" w:eastAsia="Arial" w:hAnsi="Arial"/>
          <w:b w:val="false"/>
          <w:bCs w:val="false"/>
          <w:sz w:val="22"/>
          <w:szCs w:val="22"/>
        </w:rPr>
        <w:t xml:space="preserve">El proveedor tendrá acceso a un entorno de pruebas durante el periodo de implementación.</w:t>
      </w:r>
    </w:p>
    <w:p>
      <w:pPr>
        <w:pStyle w:val="Heading2"/>
        <w:spacing w:before="240" w:after="120"/>
      </w:pPr>
      <w:r>
        <w:rPr>
          <w:rFonts w:ascii="Arial" w:cs="Arial" w:eastAsia="Arial" w:hAnsi="Arial"/>
          <w:b/>
          <w:bCs/>
          <w:color w:val="2E75B6"/>
          <w:sz w:val="26"/>
          <w:szCs w:val="26"/>
        </w:rPr>
        <w:t xml:space="preserve">10.2 Restricciones</w:t>
      </w:r>
    </w:p>
    <w:p>
      <w:pPr>
        <w:pStyle w:val="ListParagraph"/>
        <w:numPr>
          <w:ilvl w:val="0"/>
          <w:numId w:val="2"/>
        </w:numPr>
        <w:spacing w:before="40" w:after="40"/>
      </w:pPr>
      <w:r>
        <w:rPr>
          <w:rFonts w:ascii="Arial" w:cs="Arial" w:eastAsia="Arial" w:hAnsi="Arial"/>
          <w:b w:val="false"/>
          <w:bCs w:val="false"/>
          <w:sz w:val="22"/>
          <w:szCs w:val="22"/>
        </w:rPr>
        <w:t xml:space="preserve">La capacidad máxima de almacenamiento está limitada a 50 TB en esta fase del proyecto.</w:t>
      </w:r>
    </w:p>
    <w:p>
      <w:pPr>
        <w:pStyle w:val="ListParagraph"/>
        <w:numPr>
          <w:ilvl w:val="0"/>
          <w:numId w:val="2"/>
        </w:numPr>
        <w:spacing w:before="40" w:after="40"/>
      </w:pPr>
      <w:r>
        <w:rPr>
          <w:rFonts w:ascii="Arial" w:cs="Arial" w:eastAsia="Arial" w:hAnsi="Arial"/>
          <w:b w:val="false"/>
          <w:bCs w:val="false"/>
          <w:sz w:val="22"/>
          <w:szCs w:val="22"/>
        </w:rPr>
        <w:t xml:space="preserve">El número máximo de usuarios colaborativos incluidos en esta propuesta es de 25.</w:t>
      </w:r>
    </w:p>
    <w:p>
      <w:pPr>
        <w:pStyle w:val="ListParagraph"/>
        <w:numPr>
          <w:ilvl w:val="0"/>
          <w:numId w:val="2"/>
        </w:numPr>
        <w:spacing w:before="40" w:after="40"/>
      </w:pPr>
      <w:r>
        <w:rPr>
          <w:rFonts w:ascii="Arial" w:cs="Arial" w:eastAsia="Arial" w:hAnsi="Arial"/>
          <w:b w:val="false"/>
          <w:bCs w:val="false"/>
          <w:sz w:val="22"/>
          <w:szCs w:val="22"/>
        </w:rPr>
        <w:t xml:space="preserve">La duración del proyecto es de 8 semanas; retrasos por parte del cliente pueden extender el plazo sin costo adicional por un máximo de 2 semanas.</w:t>
      </w:r>
    </w:p>
    <w:p>
      <w:pPr>
        <w:spacing w:before="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 2026 — Propuesta Confidencial</w:t>
    </w:r>
    <w:r>
      <w:rPr>
        <w:rFonts w:ascii="Arial" w:cs="Arial" w:eastAsia="Arial" w:hAnsi="Arial"/>
        <w:color w:val="888888"/>
        <w:sz w:val="18"/>
        <w:szCs w:val="18"/>
      </w:rPr>
      <w:t xml:space="preserve">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Propuesta de Servicios Azure — Plataforma Colaborativa Multi-Organización</w:t>
    </w:r>
    <w:r>
      <w:rPr>
        <w:rFonts w:ascii="Arial" w:cs="Arial" w:eastAsia="Arial" w:hAnsi="Arial"/>
        <w:i/>
        <w:iCs/>
        <w:color w:val="AAAAAA"/>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2026-03-09T03:14:07.598Z</dcterms:created>
  <dcterms:modified xsi:type="dcterms:W3CDTF">2026-03-09T03:14:07.599Z</dcterms:modified>
</cp:coreProperties>
</file>

<file path=docProps/custom.xml><?xml version="1.0" encoding="utf-8"?>
<Properties xmlns="http://schemas.openxmlformats.org/officeDocument/2006/custom-properties" xmlns:vt="http://schemas.openxmlformats.org/officeDocument/2006/docPropsVTypes"/>
</file>