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jc w:val="center"/>
      </w:pPr>
      <w:r>
        <w:rPr>
          <w:rFonts w:ascii="Arial" w:cs="Arial" w:eastAsia="Arial" w:hAnsi="Arial"/>
          <w:b/>
          <w:bCs/>
          <w:caps/>
          <w:color w:val="595959"/>
          <w:sz w:val="28"/>
          <w:szCs w:val="28"/>
        </w:rPr>
        <w:t xml:space="preserve">RESUMEN EJECUTIVO</w:t>
      </w:r>
    </w:p>
    <w:p>
      <w:pPr>
        <w:spacing w:before="40" w:after="80"/>
        <w:jc w:val="center"/>
      </w:pPr>
      <w:r>
        <w:rPr>
          <w:rFonts w:ascii="Arial" w:cs="Arial" w:eastAsia="Arial" w:hAnsi="Arial"/>
          <w:b/>
          <w:bCs/>
          <w:color w:val="002060"/>
          <w:sz w:val="64"/>
          <w:szCs w:val="64"/>
        </w:rPr>
        <w:t xml:space="preserve">Azure Event Hubs</w:t>
      </w:r>
    </w:p>
    <w:p>
      <w:pPr>
        <w:spacing w:before="0" w:after="40"/>
        <w:jc w:val="center"/>
      </w:pPr>
      <w:r>
        <w:rPr>
          <w:rFonts w:ascii="Arial" w:cs="Arial" w:eastAsia="Arial" w:hAnsi="Arial"/>
          <w:color w:val="2E75B6"/>
          <w:sz w:val="28"/>
          <w:szCs w:val="28"/>
        </w:rPr>
        <w:t xml:space="preserve">Plataforma de Ingesta y Streaming de Eventos a Escala</w:t>
      </w:r>
    </w:p>
    <w:p>
      <w:pPr>
        <w:pBdr>
          <w:bottom w:val="single" w:color="0070C0" w:sz="12"/>
        </w:pBdr>
        <w:spacing w:after="3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Borders>
              <w:top w:val="single" w:color="BBBBBB" w:sz="1"/>
              <w:left w:val="single" w:color="BBBBBB" w:sz="1"/>
              <w:bottom w:val="single" w:color="BBBBBB" w:sz="1"/>
              <w:right w:val="single" w:color="BBBBBB" w:sz="1"/>
            </w:tcBorders>
            <w:shd w:fill="002060" w:val="clear"/>
            <w:tcMar>
              <w:top w:type="dxa" w:w="160"/>
              <w:left w:type="dxa" w:w="100"/>
              <w:bottom w:type="dxa" w:w="160"/>
              <w:right w:type="dxa" w:w="100"/>
            </w:tcMar>
          </w:tcPr>
          <w:p>
            <w:pPr>
              <w:jc w:val="center"/>
            </w:pPr>
            <w:r>
              <w:rPr>
                <w:rFonts w:ascii="Arial" w:cs="Arial" w:eastAsia="Arial" w:hAnsi="Arial"/>
                <w:b/>
                <w:bCs/>
                <w:color w:val="FFFFFF"/>
                <w:sz w:val="48"/>
                <w:szCs w:val="48"/>
              </w:rPr>
              <w:t xml:space="preserve">10 M+</w:t>
            </w:r>
          </w:p>
          <w:p>
            <w:pPr>
              <w:jc w:val="center"/>
            </w:pPr>
            <w:r>
              <w:rPr>
                <w:rFonts w:ascii="Arial" w:cs="Arial" w:eastAsia="Arial" w:hAnsi="Arial"/>
                <w:color w:val="AAD4F5"/>
                <w:sz w:val="18"/>
                <w:szCs w:val="18"/>
              </w:rPr>
              <w:t xml:space="preserve">eventos/seg</w:t>
            </w:r>
          </w:p>
        </w:tc>
        <w:tc>
          <w:tcPr>
            <w:tcBorders>
              <w:top w:val="single" w:color="BBBBBB" w:sz="1"/>
              <w:left w:val="single" w:color="BBBBBB" w:sz="1"/>
              <w:bottom w:val="single" w:color="BBBBBB" w:sz="1"/>
              <w:right w:val="single" w:color="BBBBBB" w:sz="1"/>
            </w:tcBorders>
            <w:shd w:fill="2E75B6" w:val="clear"/>
            <w:tcMar>
              <w:top w:type="dxa" w:w="160"/>
              <w:left w:type="dxa" w:w="100"/>
              <w:bottom w:type="dxa" w:w="160"/>
              <w:right w:type="dxa" w:w="100"/>
            </w:tcMar>
          </w:tcPr>
          <w:p>
            <w:pPr>
              <w:jc w:val="center"/>
            </w:pPr>
            <w:r>
              <w:rPr>
                <w:rFonts w:ascii="Arial" w:cs="Arial" w:eastAsia="Arial" w:hAnsi="Arial"/>
                <w:b/>
                <w:bCs/>
                <w:color w:val="FFFFFF"/>
                <w:sz w:val="48"/>
                <w:szCs w:val="48"/>
              </w:rPr>
              <w:t xml:space="preserve">99.99%</w:t>
            </w:r>
          </w:p>
          <w:p>
            <w:pPr>
              <w:jc w:val="center"/>
            </w:pPr>
            <w:r>
              <w:rPr>
                <w:rFonts w:ascii="Arial" w:cs="Arial" w:eastAsia="Arial" w:hAnsi="Arial"/>
                <w:color w:val="D6EAFF"/>
                <w:sz w:val="18"/>
                <w:szCs w:val="18"/>
              </w:rPr>
              <w:t xml:space="preserve">SLA garantizado</w:t>
            </w:r>
          </w:p>
        </w:tc>
        <w:tc>
          <w:tcPr>
            <w:tcBorders>
              <w:top w:val="single" w:color="BBBBBB" w:sz="1"/>
              <w:left w:val="single" w:color="BBBBBB" w:sz="1"/>
              <w:bottom w:val="single" w:color="BBBBBB" w:sz="1"/>
              <w:right w:val="single" w:color="BBBBBB" w:sz="1"/>
            </w:tcBorders>
            <w:shd w:fill="002060" w:val="clear"/>
            <w:tcMar>
              <w:top w:type="dxa" w:w="160"/>
              <w:left w:type="dxa" w:w="100"/>
              <w:bottom w:type="dxa" w:w="160"/>
              <w:right w:type="dxa" w:w="100"/>
            </w:tcMar>
          </w:tcPr>
          <w:p>
            <w:pPr>
              <w:jc w:val="center"/>
            </w:pPr>
            <w:r>
              <w:rPr>
                <w:rFonts w:ascii="Arial" w:cs="Arial" w:eastAsia="Arial" w:hAnsi="Arial"/>
                <w:b/>
                <w:bCs/>
                <w:color w:val="FFFFFF"/>
                <w:sz w:val="48"/>
                <w:szCs w:val="48"/>
              </w:rPr>
              <w:t xml:space="preserve">90 días</w:t>
            </w:r>
          </w:p>
          <w:p>
            <w:pPr>
              <w:jc w:val="center"/>
            </w:pPr>
            <w:r>
              <w:rPr>
                <w:rFonts w:ascii="Arial" w:cs="Arial" w:eastAsia="Arial" w:hAnsi="Arial"/>
                <w:color w:val="AAD4F5"/>
                <w:sz w:val="18"/>
                <w:szCs w:val="18"/>
              </w:rPr>
              <w:t xml:space="preserve">retención máx. (Premium)</w:t>
            </w:r>
          </w:p>
        </w:tc>
        <w:tc>
          <w:tcPr>
            <w:tcBorders>
              <w:top w:val="single" w:color="BBBBBB" w:sz="1"/>
              <w:left w:val="single" w:color="BBBBBB" w:sz="1"/>
              <w:bottom w:val="single" w:color="BBBBBB" w:sz="1"/>
              <w:right w:val="single" w:color="BBBBBB" w:sz="1"/>
            </w:tcBorders>
            <w:shd w:fill="2E75B6" w:val="clear"/>
            <w:tcMar>
              <w:top w:type="dxa" w:w="160"/>
              <w:left w:type="dxa" w:w="100"/>
              <w:bottom w:type="dxa" w:w="160"/>
              <w:right w:type="dxa" w:w="100"/>
            </w:tcMar>
          </w:tcPr>
          <w:p>
            <w:pPr>
              <w:jc w:val="center"/>
            </w:pPr>
            <w:r>
              <w:rPr>
                <w:rFonts w:ascii="Arial" w:cs="Arial" w:eastAsia="Arial" w:hAnsi="Arial"/>
                <w:b/>
                <w:bCs/>
                <w:color w:val="FFFFFF"/>
                <w:sz w:val="48"/>
                <w:szCs w:val="48"/>
              </w:rPr>
              <w:t xml:space="preserve">Kafka</w:t>
            </w:r>
          </w:p>
          <w:p>
            <w:pPr>
              <w:jc w:val="center"/>
            </w:pPr>
            <w:r>
              <w:rPr>
                <w:rFonts w:ascii="Arial" w:cs="Arial" w:eastAsia="Arial" w:hAnsi="Arial"/>
                <w:color w:val="D6EAFF"/>
                <w:sz w:val="18"/>
                <w:szCs w:val="18"/>
              </w:rPr>
              <w:t xml:space="preserve">compatible sin reescritura</w:t>
            </w:r>
          </w:p>
        </w:tc>
      </w:tr>
    </w:tbl>
    <w:p>
      <w:pPr>
        <w:spacing w:before="200" w:after="80"/>
        <w:jc w:val="center"/>
      </w:pPr>
      <w:r>
        <w:rPr>
          <w:rFonts w:ascii="Arial" w:cs="Arial" w:eastAsia="Arial" w:hAnsi="Arial"/>
          <w:color w:val="595959"/>
          <w:sz w:val="18"/>
          <w:szCs w:val="18"/>
        </w:rPr>
        <w:t xml:space="preserve">Versión 1.0  |  Marzo 2025  |  Para uso interno</w:t>
      </w:r>
    </w:p>
    <w:p>
      <w:r>
        <w:br w:type="page"/>
      </w:r>
    </w:p>
    <w:p>
      <w:pPr>
        <w:pStyle w:val="Heading1"/>
        <w:pBdr>
          <w:bottom w:val="single" w:color="0070C0" w:sz="8"/>
        </w:pBdr>
        <w:spacing w:before="360" w:after="180"/>
      </w:pPr>
      <w:r>
        <w:rPr>
          <w:rFonts w:ascii="Arial" w:cs="Arial" w:eastAsia="Arial" w:hAnsi="Arial"/>
          <w:b/>
          <w:bCs/>
          <w:color w:val="002060"/>
          <w:sz w:val="30"/>
          <w:szCs w:val="30"/>
        </w:rPr>
        <w:t xml:space="preserve">1. ¿Qué es Azure Event Hubs?</w:t>
      </w:r>
    </w:p>
    <w:p>
      <w:pPr>
        <w:spacing w:before="60" w:after="100"/>
      </w:pPr>
      <w:r>
        <w:rPr>
          <w:rFonts w:ascii="Arial" w:cs="Arial" w:eastAsia="Arial" w:hAnsi="Arial"/>
          <w:color w:val="333333"/>
          <w:sz w:val="20"/>
          <w:szCs w:val="20"/>
        </w:rPr>
        <w:t xml:space="preserve">Azure Event Hubs es el servicio gestionado de Microsoft Azure para la ingesta y procesamiento de streams de eventos en tiempo real a escala masiva. Actúa como una puerta de entrada a los datos de eventos de una organización: recibe millones de eventos por segundo provenientes de cualquier fuente (aplicaciones, dispositivos IoT, sistemas de telemetría, logs) y los pone a disposición de uno o varios consumidores de manera confiable y con baja latencia.</w:t>
      </w:r>
    </w:p>
    <w:p>
      <w:pPr>
        <w:spacing w:before="120" w:after="60"/>
      </w:pPr>
      <w:r>
        <w:rPr>
          <w:rFonts w:ascii="Arial" w:cs="Arial" w:eastAsia="Arial" w:hAnsi="Arial"/>
          <w:color w:val="595959"/>
          <w:sz w:val="20"/>
          <w:szCs w:val="20"/>
        </w:rPr>
        <w:t xml:space="preserve">Conceptualmente funciona como un bus de mensajería distribuido con las siguientes características estructurales: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tcBorders>
              <w:top w:val="single" w:color="BBBBBB" w:sz="1"/>
              <w:left w:val="single" w:color="BBBBBB" w:sz="1"/>
              <w:bottom w:val="single" w:color="BBBBBB" w:sz="1"/>
              <w:right w:val="single" w:color="BBBBBB"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Concepto</w:t>
            </w:r>
          </w:p>
        </w:tc>
        <w:tc>
          <w:tcPr>
            <w:tcW w:type="dxa" w:w="7520"/>
            <w:tcBorders>
              <w:top w:val="single" w:color="BBBBBB" w:sz="1"/>
              <w:left w:val="single" w:color="BBBBBB" w:sz="1"/>
              <w:bottom w:val="single" w:color="BBBBBB" w:sz="1"/>
              <w:right w:val="single" w:color="BBBBBB"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Descripción</w:t>
            </w:r>
          </w:p>
        </w:tc>
      </w:tr>
      <w:tr>
        <w:tc>
          <w:tcPr>
            <w:tcW w:type="dxa" w:w="220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bCs/>
                <w:color w:val="333333"/>
                <w:sz w:val="19"/>
                <w:szCs w:val="19"/>
              </w:rPr>
              <w:t xml:space="preserve">Namespace</w:t>
            </w:r>
          </w:p>
        </w:tc>
        <w:tc>
          <w:tcPr>
            <w:tcW w:type="dxa" w:w="752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Contenedor lógico que agrupa uno o varios Event Hubs. Define el SKU, la capacidad y las políticas de seguridad.</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bCs/>
                <w:color w:val="333333"/>
                <w:sz w:val="19"/>
                <w:szCs w:val="19"/>
              </w:rPr>
              <w:t xml:space="preserve">Event Hub</w:t>
            </w:r>
          </w:p>
        </w:tc>
        <w:tc>
          <w:tcPr>
            <w:tcW w:type="dxa" w:w="752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Canal de ingesta equivalente a un topic de Kafka. Cada hub se divide en particiones para escalabilidad horizontal.</w:t>
            </w:r>
          </w:p>
        </w:tc>
      </w:tr>
      <w:tr>
        <w:tc>
          <w:tcPr>
            <w:tcW w:type="dxa" w:w="220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bCs/>
                <w:color w:val="333333"/>
                <w:sz w:val="19"/>
                <w:szCs w:val="19"/>
              </w:rPr>
              <w:t xml:space="preserve">Partición</w:t>
            </w:r>
          </w:p>
        </w:tc>
        <w:tc>
          <w:tcPr>
            <w:tcW w:type="dxa" w:w="752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Unidad de paralelismo. Los eventos se distribuyen entre particiones por clave o round-robin. Más particiones = más consumidores paralelos.</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bCs/>
                <w:color w:val="333333"/>
                <w:sz w:val="19"/>
                <w:szCs w:val="19"/>
              </w:rPr>
              <w:t xml:space="preserve">Consumer Group</w:t>
            </w:r>
          </w:p>
        </w:tc>
        <w:tc>
          <w:tcPr>
            <w:tcW w:type="dxa" w:w="752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Vista independiente del stream para cada aplicación lectora. Distintos equipos pueden leer los mismos eventos sin interferirse.</w:t>
            </w:r>
          </w:p>
        </w:tc>
      </w:tr>
      <w:tr>
        <w:tc>
          <w:tcPr>
            <w:tcW w:type="dxa" w:w="220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bCs/>
                <w:color w:val="333333"/>
                <w:sz w:val="19"/>
                <w:szCs w:val="19"/>
              </w:rPr>
              <w:t xml:space="preserve">Capture</w:t>
            </w:r>
          </w:p>
        </w:tc>
        <w:tc>
          <w:tcPr>
            <w:tcW w:type="dxa" w:w="752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Función de archivado automático de eventos a Azure Blob Storage o Azure Data Lake Storage Gen2 en formato Avro.</w:t>
            </w:r>
          </w:p>
        </w:tc>
      </w:tr>
    </w:tbl>
    <w:p>
      <w:pPr>
        <w:spacing w:before="180" w:after="80"/>
      </w:pPr>
      <w:r>
        <w:rPr>
          <w:rFonts w:ascii="Arial" w:cs="Arial" w:eastAsia="Arial" w:hAnsi="Arial"/>
          <w:b/>
          <w:bCs/>
          <w:color w:val="002060"/>
          <w:sz w:val="20"/>
          <w:szCs w:val="20"/>
        </w:rPr>
        <w:t xml:space="preserve">Casos de uso más comunes:</w:t>
      </w:r>
    </w:p>
    <w:p>
      <w:pPr>
        <w:pStyle w:val="ListParagraph"/>
        <w:numPr>
          <w:ilvl w:val="0"/>
          <w:numId w:val="2"/>
        </w:numPr>
        <w:spacing w:before="50" w:after="50"/>
      </w:pPr>
      <w:r>
        <w:rPr>
          <w:rFonts w:ascii="Arial" w:cs="Arial" w:eastAsia="Arial" w:hAnsi="Arial"/>
          <w:color w:val="333333"/>
          <w:sz w:val="20"/>
          <w:szCs w:val="20"/>
        </w:rPr>
        <w:t xml:space="preserve">Ingesta de telemetría IoT y datos de sensores industriales</w:t>
      </w:r>
    </w:p>
    <w:p>
      <w:pPr>
        <w:pStyle w:val="ListParagraph"/>
        <w:numPr>
          <w:ilvl w:val="0"/>
          <w:numId w:val="2"/>
        </w:numPr>
        <w:spacing w:before="50" w:after="50"/>
      </w:pPr>
      <w:r>
        <w:rPr>
          <w:rFonts w:ascii="Arial" w:cs="Arial" w:eastAsia="Arial" w:hAnsi="Arial"/>
          <w:color w:val="333333"/>
          <w:sz w:val="20"/>
          <w:szCs w:val="20"/>
        </w:rPr>
        <w:t xml:space="preserve">Pipeline de datos en tiempo real hacia Azure Stream Analytics, Databricks o Synapse</w:t>
      </w:r>
    </w:p>
    <w:p>
      <w:pPr>
        <w:pStyle w:val="ListParagraph"/>
        <w:numPr>
          <w:ilvl w:val="0"/>
          <w:numId w:val="2"/>
        </w:numPr>
        <w:spacing w:before="50" w:after="50"/>
      </w:pPr>
      <w:r>
        <w:rPr>
          <w:rFonts w:ascii="Arial" w:cs="Arial" w:eastAsia="Arial" w:hAnsi="Arial"/>
          <w:color w:val="333333"/>
          <w:sz w:val="20"/>
          <w:szCs w:val="20"/>
        </w:rPr>
        <w:t xml:space="preserve">Log aggregation y auditoría de eventos de múltiples microservicios</w:t>
      </w:r>
    </w:p>
    <w:p>
      <w:pPr>
        <w:pStyle w:val="ListParagraph"/>
        <w:numPr>
          <w:ilvl w:val="0"/>
          <w:numId w:val="2"/>
        </w:numPr>
        <w:spacing w:before="50" w:after="50"/>
      </w:pPr>
      <w:r>
        <w:rPr>
          <w:rFonts w:ascii="Arial" w:cs="Arial" w:eastAsia="Arial" w:hAnsi="Arial"/>
          <w:color w:val="333333"/>
          <w:sz w:val="20"/>
          <w:szCs w:val="20"/>
        </w:rPr>
        <w:t xml:space="preserve">Detección de fraude y anomalías en tiempo real (fintech, banca)</w:t>
      </w:r>
    </w:p>
    <w:p>
      <w:pPr>
        <w:pStyle w:val="ListParagraph"/>
        <w:numPr>
          <w:ilvl w:val="0"/>
          <w:numId w:val="2"/>
        </w:numPr>
        <w:spacing w:before="50" w:after="50"/>
      </w:pPr>
      <w:r>
        <w:rPr>
          <w:rFonts w:ascii="Arial" w:cs="Arial" w:eastAsia="Arial" w:hAnsi="Arial"/>
          <w:color w:val="333333"/>
          <w:sz w:val="20"/>
          <w:szCs w:val="20"/>
        </w:rPr>
        <w:t xml:space="preserve">Migración de workloads Apache Kafka a la nube sin cambio de código</w:t>
      </w:r>
    </w:p>
    <w:p>
      <w:pPr>
        <w:pStyle w:val="Heading1"/>
        <w:pBdr>
          <w:bottom w:val="single" w:color="0070C0" w:sz="8"/>
        </w:pBdr>
        <w:spacing w:before="360" w:after="180"/>
      </w:pPr>
      <w:r>
        <w:rPr>
          <w:rFonts w:ascii="Arial" w:cs="Arial" w:eastAsia="Arial" w:hAnsi="Arial"/>
          <w:b/>
          <w:bCs/>
          <w:color w:val="002060"/>
          <w:sz w:val="30"/>
          <w:szCs w:val="30"/>
        </w:rPr>
        <w:t xml:space="preserve">2. Ventajas (Pros)</w:t>
      </w:r>
    </w:p>
    <w:p>
      <w:pPr>
        <w:spacing w:before="60" w:after="100"/>
      </w:pPr>
      <w:r>
        <w:rPr>
          <w:rFonts w:ascii="Arial" w:cs="Arial" w:eastAsia="Arial" w:hAnsi="Arial"/>
          <w:color w:val="333333"/>
          <w:sz w:val="20"/>
          <w:szCs w:val="20"/>
        </w:rPr>
        <w:t xml:space="preserve">A continuación se describen las principales ventajas que hacen de Azure Event Hubs una opción sólida para arquitecturas de eventos empresariales: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BBBBBB" w:sz="1"/>
              <w:left w:val="single" w:color="BBBBBB" w:sz="1"/>
              <w:bottom w:val="single" w:color="BBBBBB" w:sz="1"/>
              <w:right w:val="single" w:color="BBBBBB" w:sz="1"/>
            </w:tcBorders>
            <w:shd w:fill="1A5C1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Ventaja</w:t>
            </w:r>
          </w:p>
        </w:tc>
        <w:tc>
          <w:tcPr>
            <w:tcW w:type="dxa" w:w="6720"/>
            <w:tcBorders>
              <w:top w:val="single" w:color="BBBBBB" w:sz="1"/>
              <w:left w:val="single" w:color="BBBBBB" w:sz="1"/>
              <w:bottom w:val="single" w:color="BBBBBB" w:sz="1"/>
              <w:right w:val="single" w:color="BBBBBB" w:sz="1"/>
            </w:tcBorders>
            <w:shd w:fill="1A5C1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Detalle</w:t>
            </w:r>
          </w:p>
        </w:tc>
      </w:tr>
      <w:tr>
        <w:tc>
          <w:tcPr>
            <w:tcW w:type="dxa" w:w="3000"/>
            <w:tcBorders>
              <w:top w:val="single" w:color="BBBBBB" w:sz="1"/>
              <w:left w:val="single" w:color="BBBBBB" w:sz="1"/>
              <w:bottom w:val="single" w:color="BBBBBB" w:sz="1"/>
              <w:right w:val="single" w:color="BBBBBB" w:sz="1"/>
            </w:tcBorders>
            <w:shd w:fill="E2EFDA" w:val="clear"/>
            <w:tcMar>
              <w:top w:type="dxa" w:w="90"/>
              <w:left w:type="dxa" w:w="140"/>
              <w:bottom w:type="dxa" w:w="90"/>
              <w:right w:type="dxa" w:w="140"/>
            </w:tcMar>
          </w:tcPr>
          <w:p>
            <w:pPr>
              <w:jc w:val="left"/>
            </w:pPr>
            <w:r>
              <w:rPr>
                <w:rFonts w:ascii="Arial" w:cs="Arial" w:eastAsia="Arial" w:hAnsi="Arial"/>
                <w:b/>
                <w:bCs/>
                <w:color w:val="333333"/>
                <w:sz w:val="19"/>
                <w:szCs w:val="19"/>
              </w:rPr>
              <w:t xml:space="preserve">Escalabilidad automática</w:t>
            </w:r>
          </w:p>
        </w:tc>
        <w:tc>
          <w:tcPr>
            <w:tcW w:type="dxa" w:w="6720"/>
            <w:tcBorders>
              <w:top w:val="single" w:color="BBBBBB" w:sz="1"/>
              <w:left w:val="single" w:color="BBBBBB" w:sz="1"/>
              <w:bottom w:val="single" w:color="BBBBBB" w:sz="1"/>
              <w:right w:val="single" w:color="BBBBBB" w:sz="1"/>
            </w:tcBorders>
            <w:shd w:fill="E2EFDA"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Auto-inflate incrementa los Throughput Units automáticamente ante picos de carga, sin intervención manual ni downtime.</w:t>
            </w:r>
          </w:p>
        </w:tc>
      </w:tr>
      <w:tr>
        <w:tc>
          <w:tcPr>
            <w:tcW w:type="dxa" w:w="3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bCs/>
                <w:color w:val="333333"/>
                <w:sz w:val="19"/>
                <w:szCs w:val="19"/>
              </w:rPr>
              <w:t xml:space="preserve">Compatibilidad con Kafka</w:t>
            </w:r>
          </w:p>
        </w:tc>
        <w:tc>
          <w:tcPr>
            <w:tcW w:type="dxa" w:w="672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El endpoint Kafka nativo permite migrar aplicaciones existentes con solo cambiar la cadena de conexión; no se requiere reescribir código productor/consumidor.</w:t>
            </w:r>
          </w:p>
        </w:tc>
      </w:tr>
      <w:tr>
        <w:tc>
          <w:tcPr>
            <w:tcW w:type="dxa" w:w="3000"/>
            <w:tcBorders>
              <w:top w:val="single" w:color="BBBBBB" w:sz="1"/>
              <w:left w:val="single" w:color="BBBBBB" w:sz="1"/>
              <w:bottom w:val="single" w:color="BBBBBB" w:sz="1"/>
              <w:right w:val="single" w:color="BBBBBB" w:sz="1"/>
            </w:tcBorders>
            <w:shd w:fill="E2EFDA" w:val="clear"/>
            <w:tcMar>
              <w:top w:type="dxa" w:w="90"/>
              <w:left w:type="dxa" w:w="140"/>
              <w:bottom w:type="dxa" w:w="90"/>
              <w:right w:type="dxa" w:w="140"/>
            </w:tcMar>
          </w:tcPr>
          <w:p>
            <w:pPr>
              <w:jc w:val="left"/>
            </w:pPr>
            <w:r>
              <w:rPr>
                <w:rFonts w:ascii="Arial" w:cs="Arial" w:eastAsia="Arial" w:hAnsi="Arial"/>
                <w:b/>
                <w:bCs/>
                <w:color w:val="333333"/>
                <w:sz w:val="19"/>
                <w:szCs w:val="19"/>
              </w:rPr>
              <w:t xml:space="preserve">Totalmente gestionado</w:t>
            </w:r>
          </w:p>
        </w:tc>
        <w:tc>
          <w:tcPr>
            <w:tcW w:type="dxa" w:w="6720"/>
            <w:tcBorders>
              <w:top w:val="single" w:color="BBBBBB" w:sz="1"/>
              <w:left w:val="single" w:color="BBBBBB" w:sz="1"/>
              <w:bottom w:val="single" w:color="BBBBBB" w:sz="1"/>
              <w:right w:val="single" w:color="BBBBBB" w:sz="1"/>
            </w:tcBorders>
            <w:shd w:fill="E2EFDA"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Microsoft gestiona parches, alta disponibilidad, replicación y upgrades. El equipo operativo se enfoca en el negocio, no en la infraestructura.</w:t>
            </w:r>
          </w:p>
        </w:tc>
      </w:tr>
      <w:tr>
        <w:tc>
          <w:tcPr>
            <w:tcW w:type="dxa" w:w="3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bCs/>
                <w:color w:val="333333"/>
                <w:sz w:val="19"/>
                <w:szCs w:val="19"/>
              </w:rPr>
              <w:t xml:space="preserve">Integración nativa con Azure</w:t>
            </w:r>
          </w:p>
        </w:tc>
        <w:tc>
          <w:tcPr>
            <w:tcW w:type="dxa" w:w="672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Conectores nativos con Stream Analytics, Azure Functions, Logic Apps, Synapse Analytics, Databricks y Power BI, reduciendo el tiempo de integración.</w:t>
            </w:r>
          </w:p>
        </w:tc>
      </w:tr>
      <w:tr>
        <w:tc>
          <w:tcPr>
            <w:tcW w:type="dxa" w:w="3000"/>
            <w:tcBorders>
              <w:top w:val="single" w:color="BBBBBB" w:sz="1"/>
              <w:left w:val="single" w:color="BBBBBB" w:sz="1"/>
              <w:bottom w:val="single" w:color="BBBBBB" w:sz="1"/>
              <w:right w:val="single" w:color="BBBBBB" w:sz="1"/>
            </w:tcBorders>
            <w:shd w:fill="E2EFDA" w:val="clear"/>
            <w:tcMar>
              <w:top w:type="dxa" w:w="90"/>
              <w:left w:type="dxa" w:w="140"/>
              <w:bottom w:type="dxa" w:w="90"/>
              <w:right w:type="dxa" w:w="140"/>
            </w:tcMar>
          </w:tcPr>
          <w:p>
            <w:pPr>
              <w:jc w:val="left"/>
            </w:pPr>
            <w:r>
              <w:rPr>
                <w:rFonts w:ascii="Arial" w:cs="Arial" w:eastAsia="Arial" w:hAnsi="Arial"/>
                <w:b/>
                <w:bCs/>
                <w:color w:val="333333"/>
                <w:sz w:val="19"/>
                <w:szCs w:val="19"/>
              </w:rPr>
              <w:t xml:space="preserve">Seguridad enterprise-grade</w:t>
            </w:r>
          </w:p>
        </w:tc>
        <w:tc>
          <w:tcPr>
            <w:tcW w:type="dxa" w:w="6720"/>
            <w:tcBorders>
              <w:top w:val="single" w:color="BBBBBB" w:sz="1"/>
              <w:left w:val="single" w:color="BBBBBB" w:sz="1"/>
              <w:bottom w:val="single" w:color="BBBBBB" w:sz="1"/>
              <w:right w:val="single" w:color="BBBBBB" w:sz="1"/>
            </w:tcBorders>
            <w:shd w:fill="E2EFDA"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Autenticación con Azure Active Directory (sin contraseñas), Private Endpoints, cifrado en tránsito y en reposo, Customer Managed Keys y Defender for Cloud.</w:t>
            </w:r>
          </w:p>
        </w:tc>
      </w:tr>
      <w:tr>
        <w:tc>
          <w:tcPr>
            <w:tcW w:type="dxa" w:w="3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bCs/>
                <w:color w:val="333333"/>
                <w:sz w:val="19"/>
                <w:szCs w:val="19"/>
              </w:rPr>
              <w:t xml:space="preserve">Alta disponibilidad (99.99%)</w:t>
            </w:r>
          </w:p>
        </w:tc>
        <w:tc>
          <w:tcPr>
            <w:tcW w:type="dxa" w:w="672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SLA de 99.99% con Availability Zones habilitado. Geo-Disaster Recovery (Geo-DR) permite conmutación a región secundaria en minutos.</w:t>
            </w:r>
          </w:p>
        </w:tc>
      </w:tr>
      <w:tr>
        <w:tc>
          <w:tcPr>
            <w:tcW w:type="dxa" w:w="3000"/>
            <w:tcBorders>
              <w:top w:val="single" w:color="BBBBBB" w:sz="1"/>
              <w:left w:val="single" w:color="BBBBBB" w:sz="1"/>
              <w:bottom w:val="single" w:color="BBBBBB" w:sz="1"/>
              <w:right w:val="single" w:color="BBBBBB" w:sz="1"/>
            </w:tcBorders>
            <w:shd w:fill="E2EFDA" w:val="clear"/>
            <w:tcMar>
              <w:top w:type="dxa" w:w="90"/>
              <w:left w:type="dxa" w:w="140"/>
              <w:bottom w:type="dxa" w:w="90"/>
              <w:right w:type="dxa" w:w="140"/>
            </w:tcMar>
          </w:tcPr>
          <w:p>
            <w:pPr>
              <w:jc w:val="left"/>
            </w:pPr>
            <w:r>
              <w:rPr>
                <w:rFonts w:ascii="Arial" w:cs="Arial" w:eastAsia="Arial" w:hAnsi="Arial"/>
                <w:b/>
                <w:bCs/>
                <w:color w:val="333333"/>
                <w:sz w:val="19"/>
                <w:szCs w:val="19"/>
              </w:rPr>
              <w:t xml:space="preserve">Modelo de consumo flexible</w:t>
            </w:r>
          </w:p>
        </w:tc>
        <w:tc>
          <w:tcPr>
            <w:tcW w:type="dxa" w:w="6720"/>
            <w:tcBorders>
              <w:top w:val="single" w:color="BBBBBB" w:sz="1"/>
              <w:left w:val="single" w:color="BBBBBB" w:sz="1"/>
              <w:bottom w:val="single" w:color="BBBBBB" w:sz="1"/>
              <w:right w:val="single" w:color="BBBBBB" w:sz="1"/>
            </w:tcBorders>
            <w:shd w:fill="E2EFDA"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Pago por uso (TU por hora) con opción Premium para mayor aislamiento. No hay compromisos de capacidad mínima obligatoria en Standard.</w:t>
            </w:r>
          </w:p>
        </w:tc>
      </w:tr>
      <w:tr>
        <w:tc>
          <w:tcPr>
            <w:tcW w:type="dxa" w:w="3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bCs/>
                <w:color w:val="333333"/>
                <w:sz w:val="19"/>
                <w:szCs w:val="19"/>
              </w:rPr>
              <w:t xml:space="preserve">Multi-protocolo</w:t>
            </w:r>
          </w:p>
        </w:tc>
        <w:tc>
          <w:tcPr>
            <w:tcW w:type="dxa" w:w="672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Soporta AMQP 1.0, HTTPS y protocolo Kafka nativo. Los productores y consumidores pueden usar SDKs en .NET, Java, Python, Go, JavaScript y más.</w:t>
            </w:r>
          </w:p>
        </w:tc>
      </w:tr>
    </w:tbl>
    <w:p>
      <w:pPr>
        <w:pStyle w:val="Heading1"/>
        <w:pBdr>
          <w:bottom w:val="single" w:color="0070C0" w:sz="8"/>
        </w:pBdr>
        <w:spacing w:before="360" w:after="180"/>
      </w:pPr>
      <w:r>
        <w:rPr>
          <w:rFonts w:ascii="Arial" w:cs="Arial" w:eastAsia="Arial" w:hAnsi="Arial"/>
          <w:b/>
          <w:bCs/>
          <w:color w:val="002060"/>
          <w:sz w:val="30"/>
          <w:szCs w:val="30"/>
        </w:rPr>
        <w:t xml:space="preserve">3. Desventajas y Consideraciones (Contras)</w:t>
      </w:r>
    </w:p>
    <w:p>
      <w:pPr>
        <w:spacing w:before="60" w:after="100"/>
      </w:pPr>
      <w:r>
        <w:rPr>
          <w:rFonts w:ascii="Arial" w:cs="Arial" w:eastAsia="Arial" w:hAnsi="Arial"/>
          <w:color w:val="333333"/>
          <w:sz w:val="20"/>
          <w:szCs w:val="20"/>
        </w:rPr>
        <w:t xml:space="preserve">Como toda tecnología, Azure Event Hubs tiene limitaciones que deben considerarse antes de adoptar la solución: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BBBBBB" w:sz="1"/>
              <w:left w:val="single" w:color="BBBBBB" w:sz="1"/>
              <w:bottom w:val="single" w:color="BBBBBB" w:sz="1"/>
              <w:right w:val="single" w:color="BBBBBB" w:sz="1"/>
            </w:tcBorders>
            <w:shd w:fill="7B202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Consideración</w:t>
            </w:r>
          </w:p>
        </w:tc>
        <w:tc>
          <w:tcPr>
            <w:tcW w:type="dxa" w:w="6720"/>
            <w:tcBorders>
              <w:top w:val="single" w:color="BBBBBB" w:sz="1"/>
              <w:left w:val="single" w:color="BBBBBB" w:sz="1"/>
              <w:bottom w:val="single" w:color="BBBBBB" w:sz="1"/>
              <w:right w:val="single" w:color="BBBBBB" w:sz="1"/>
            </w:tcBorders>
            <w:shd w:fill="7B202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Detalle y Mitigación</w:t>
            </w:r>
          </w:p>
        </w:tc>
      </w:tr>
      <w:tr>
        <w:tc>
          <w:tcPr>
            <w:tcW w:type="dxa" w:w="3000"/>
            <w:tcBorders>
              <w:top w:val="single" w:color="BBBBBB" w:sz="1"/>
              <w:left w:val="single" w:color="BBBBBB" w:sz="1"/>
              <w:bottom w:val="single" w:color="BBBBBB" w:sz="1"/>
              <w:right w:val="single" w:color="BBBBBB" w:sz="1"/>
            </w:tcBorders>
            <w:shd w:fill="FCE4D6" w:val="clear"/>
            <w:tcMar>
              <w:top w:type="dxa" w:w="90"/>
              <w:left w:type="dxa" w:w="140"/>
              <w:bottom w:type="dxa" w:w="90"/>
              <w:right w:type="dxa" w:w="140"/>
            </w:tcMar>
          </w:tcPr>
          <w:p>
            <w:pPr>
              <w:jc w:val="left"/>
            </w:pPr>
            <w:r>
              <w:rPr>
                <w:rFonts w:ascii="Arial" w:cs="Arial" w:eastAsia="Arial" w:hAnsi="Arial"/>
                <w:b/>
                <w:bCs/>
                <w:color w:val="333333"/>
                <w:sz w:val="19"/>
                <w:szCs w:val="19"/>
              </w:rPr>
              <w:t xml:space="preserve">Particiones inmutables (Standard)</w:t>
            </w:r>
          </w:p>
        </w:tc>
        <w:tc>
          <w:tcPr>
            <w:tcW w:type="dxa" w:w="6720"/>
            <w:tcBorders>
              <w:top w:val="single" w:color="BBBBBB" w:sz="1"/>
              <w:left w:val="single" w:color="BBBBBB" w:sz="1"/>
              <w:bottom w:val="single" w:color="BBBBBB" w:sz="1"/>
              <w:right w:val="single" w:color="BBBBBB" w:sz="1"/>
            </w:tcBorders>
            <w:shd w:fill="FCE4D6"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En el tier Standard, el número de particiones no puede modificarse tras la creación del hub. Mitigación: planificar el número de particiones considerando el crecimiento a 2-3 años. Premium sí permite ajuste.</w:t>
            </w:r>
          </w:p>
        </w:tc>
      </w:tr>
      <w:tr>
        <w:tc>
          <w:tcPr>
            <w:tcW w:type="dxa" w:w="3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bCs/>
                <w:color w:val="333333"/>
                <w:sz w:val="19"/>
                <w:szCs w:val="19"/>
              </w:rPr>
              <w:t xml:space="preserve">Sin enrutamiento por contenido</w:t>
            </w:r>
          </w:p>
        </w:tc>
        <w:tc>
          <w:tcPr>
            <w:tcW w:type="dxa" w:w="672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Event Hubs no filtra ni enruta mensajes según su contenido (a diferencia de Service Bus). Para routing complejo se debe usar Azure Stream Analytics o Functions como intermediario.</w:t>
            </w:r>
          </w:p>
        </w:tc>
      </w:tr>
      <w:tr>
        <w:tc>
          <w:tcPr>
            <w:tcW w:type="dxa" w:w="3000"/>
            <w:tcBorders>
              <w:top w:val="single" w:color="BBBBBB" w:sz="1"/>
              <w:left w:val="single" w:color="BBBBBB" w:sz="1"/>
              <w:bottom w:val="single" w:color="BBBBBB" w:sz="1"/>
              <w:right w:val="single" w:color="BBBBBB" w:sz="1"/>
            </w:tcBorders>
            <w:shd w:fill="FCE4D6" w:val="clear"/>
            <w:tcMar>
              <w:top w:type="dxa" w:w="90"/>
              <w:left w:type="dxa" w:w="140"/>
              <w:bottom w:type="dxa" w:w="90"/>
              <w:right w:type="dxa" w:w="140"/>
            </w:tcMar>
          </w:tcPr>
          <w:p>
            <w:pPr>
              <w:jc w:val="left"/>
            </w:pPr>
            <w:r>
              <w:rPr>
                <w:rFonts w:ascii="Arial" w:cs="Arial" w:eastAsia="Arial" w:hAnsi="Arial"/>
                <w:b/>
                <w:bCs/>
                <w:color w:val="333333"/>
                <w:sz w:val="19"/>
                <w:szCs w:val="19"/>
              </w:rPr>
              <w:t xml:space="preserve">Costo puede escalar rápido</w:t>
            </w:r>
          </w:p>
        </w:tc>
        <w:tc>
          <w:tcPr>
            <w:tcW w:type="dxa" w:w="6720"/>
            <w:tcBorders>
              <w:top w:val="single" w:color="BBBBBB" w:sz="1"/>
              <w:left w:val="single" w:color="BBBBBB" w:sz="1"/>
              <w:bottom w:val="single" w:color="BBBBBB" w:sz="1"/>
              <w:right w:val="single" w:color="BBBBBB" w:sz="1"/>
            </w:tcBorders>
            <w:shd w:fill="FCE4D6"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En cargas con alta retención (días) y muchos TUs, el costo mensual puede ser significativo. Mitigación: usar Capture solo donde se necesite, y revisar el tier adecuado (Standard vs Premium).</w:t>
            </w:r>
          </w:p>
        </w:tc>
      </w:tr>
      <w:tr>
        <w:tc>
          <w:tcPr>
            <w:tcW w:type="dxa" w:w="3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bCs/>
                <w:color w:val="333333"/>
                <w:sz w:val="19"/>
                <w:szCs w:val="19"/>
              </w:rPr>
              <w:t xml:space="preserve">Sin mensajes individuales (DLQ)</w:t>
            </w:r>
          </w:p>
        </w:tc>
        <w:tc>
          <w:tcPr>
            <w:tcW w:type="dxa" w:w="672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Event Hubs no tiene Dead Letter Queue nativa. Mensajes con errores no se reencolan automáticamente. Mitigación: implementar lógica de reintento en el consumidor o usar Service Bus para ese patrón.</w:t>
            </w:r>
          </w:p>
        </w:tc>
      </w:tr>
      <w:tr>
        <w:tc>
          <w:tcPr>
            <w:tcW w:type="dxa" w:w="3000"/>
            <w:tcBorders>
              <w:top w:val="single" w:color="BBBBBB" w:sz="1"/>
              <w:left w:val="single" w:color="BBBBBB" w:sz="1"/>
              <w:bottom w:val="single" w:color="BBBBBB" w:sz="1"/>
              <w:right w:val="single" w:color="BBBBBB" w:sz="1"/>
            </w:tcBorders>
            <w:shd w:fill="FCE4D6" w:val="clear"/>
            <w:tcMar>
              <w:top w:type="dxa" w:w="90"/>
              <w:left w:type="dxa" w:w="140"/>
              <w:bottom w:type="dxa" w:w="90"/>
              <w:right w:type="dxa" w:w="140"/>
            </w:tcMar>
          </w:tcPr>
          <w:p>
            <w:pPr>
              <w:jc w:val="left"/>
            </w:pPr>
            <w:r>
              <w:rPr>
                <w:rFonts w:ascii="Arial" w:cs="Arial" w:eastAsia="Arial" w:hAnsi="Arial"/>
                <w:b/>
                <w:bCs/>
                <w:color w:val="333333"/>
                <w:sz w:val="19"/>
                <w:szCs w:val="19"/>
              </w:rPr>
              <w:t xml:space="preserve">Compatibilidad Kafka parcial</w:t>
            </w:r>
          </w:p>
        </w:tc>
        <w:tc>
          <w:tcPr>
            <w:tcW w:type="dxa" w:w="6720"/>
            <w:tcBorders>
              <w:top w:val="single" w:color="BBBBBB" w:sz="1"/>
              <w:left w:val="single" w:color="BBBBBB" w:sz="1"/>
              <w:bottom w:val="single" w:color="BBBBBB" w:sz="1"/>
              <w:right w:val="single" w:color="BBBBBB" w:sz="1"/>
            </w:tcBorders>
            <w:shd w:fill="FCE4D6"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Aunque el endpoint Kafka es compatible, características avanzadas como Kafka Streams, Kafka Connect con todos los conectores, o transacciones Kafka tienen soporte limitado.</w:t>
            </w:r>
          </w:p>
        </w:tc>
      </w:tr>
      <w:tr>
        <w:tc>
          <w:tcPr>
            <w:tcW w:type="dxa" w:w="3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bCs/>
                <w:color w:val="333333"/>
                <w:sz w:val="19"/>
                <w:szCs w:val="19"/>
              </w:rPr>
              <w:t xml:space="preserve">Latencia no es sub-milisegundo</w:t>
            </w:r>
          </w:p>
        </w:tc>
        <w:tc>
          <w:tcPr>
            <w:tcW w:type="dxa" w:w="672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La latencia típica es de 5-20 ms. Para casos que requieren latencia sub-ms (trading de alta frecuencia), se deben evaluar alternativas especializadas.</w:t>
            </w:r>
          </w:p>
        </w:tc>
      </w:tr>
      <w:tr>
        <w:tc>
          <w:tcPr>
            <w:tcW w:type="dxa" w:w="3000"/>
            <w:tcBorders>
              <w:top w:val="single" w:color="BBBBBB" w:sz="1"/>
              <w:left w:val="single" w:color="BBBBBB" w:sz="1"/>
              <w:bottom w:val="single" w:color="BBBBBB" w:sz="1"/>
              <w:right w:val="single" w:color="BBBBBB" w:sz="1"/>
            </w:tcBorders>
            <w:shd w:fill="FCE4D6" w:val="clear"/>
            <w:tcMar>
              <w:top w:type="dxa" w:w="90"/>
              <w:left w:type="dxa" w:w="140"/>
              <w:bottom w:type="dxa" w:w="90"/>
              <w:right w:type="dxa" w:w="140"/>
            </w:tcMar>
          </w:tcPr>
          <w:p>
            <w:pPr>
              <w:jc w:val="left"/>
            </w:pPr>
            <w:r>
              <w:rPr>
                <w:rFonts w:ascii="Arial" w:cs="Arial" w:eastAsia="Arial" w:hAnsi="Arial"/>
                <w:b/>
                <w:bCs/>
                <w:color w:val="333333"/>
                <w:sz w:val="19"/>
                <w:szCs w:val="19"/>
              </w:rPr>
              <w:t xml:space="preserve">Curva de aprendizaje operacional</w:t>
            </w:r>
          </w:p>
        </w:tc>
        <w:tc>
          <w:tcPr>
            <w:tcW w:type="dxa" w:w="6720"/>
            <w:tcBorders>
              <w:top w:val="single" w:color="BBBBBB" w:sz="1"/>
              <w:left w:val="single" w:color="BBBBBB" w:sz="1"/>
              <w:bottom w:val="single" w:color="BBBBBB" w:sz="1"/>
              <w:right w:val="single" w:color="BBBBBB" w:sz="1"/>
            </w:tcBorders>
            <w:shd w:fill="FCE4D6"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Conceptos como particiones, consumer groups, checkpointing y offset management requieren familiarización. Mitigación: training al equipo y uso del SDK EventProcessorClient que abstrae parte de esta complejidad.</w:t>
            </w:r>
          </w:p>
        </w:tc>
      </w:tr>
    </w:tbl>
    <w:p>
      <w:r>
        <w:br w:type="page"/>
      </w:r>
    </w:p>
    <w:p>
      <w:pPr>
        <w:pStyle w:val="Heading1"/>
        <w:pBdr>
          <w:bottom w:val="single" w:color="0070C0" w:sz="8"/>
        </w:pBdr>
        <w:spacing w:before="360" w:after="180"/>
      </w:pPr>
      <w:r>
        <w:rPr>
          <w:rFonts w:ascii="Arial" w:cs="Arial" w:eastAsia="Arial" w:hAnsi="Arial"/>
          <w:b/>
          <w:bCs/>
          <w:color w:val="002060"/>
          <w:sz w:val="30"/>
          <w:szCs w:val="30"/>
        </w:rPr>
        <w:t xml:space="preserve">4. Caso de Éxito de Referencia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BBBBBB" w:sz="1"/>
              <w:left w:val="single" w:color="BBBBBB" w:sz="1"/>
              <w:bottom w:val="single" w:color="BBBBBB" w:sz="1"/>
              <w:right w:val="single" w:color="BBBBBB" w:sz="1"/>
            </w:tcBorders>
            <w:shd w:fill="002060" w:val="clear"/>
            <w:tcMar>
              <w:top w:type="dxa" w:w="200"/>
              <w:left w:type="dxa" w:w="280"/>
              <w:bottom w:type="dxa" w:w="200"/>
              <w:right w:type="dxa" w:w="280"/>
            </w:tcMar>
          </w:tcPr>
          <w:p>
            <w:pPr>
              <w:jc w:val="center"/>
            </w:pPr>
            <w:r>
              <w:rPr>
                <w:rFonts w:ascii="Arial" w:cs="Arial" w:eastAsia="Arial" w:hAnsi="Arial"/>
                <w:b/>
                <w:bCs/>
                <w:color w:val="FFFFFF"/>
                <w:sz w:val="26"/>
                <w:szCs w:val="26"/>
              </w:rPr>
              <w:t xml:space="preserve">Grupo Financiero Internacional — Detección de Fraude en Tiempo Real</w:t>
            </w:r>
          </w:p>
          <w:p>
            <w:pPr>
              <w:spacing w:before="60"/>
              <w:jc w:val="center"/>
            </w:pPr>
            <w:r>
              <w:rPr>
                <w:rFonts w:ascii="Arial" w:cs="Arial" w:eastAsia="Arial" w:hAnsi="Arial"/>
                <w:color w:val="AAD4F5"/>
                <w:sz w:val="19"/>
                <w:szCs w:val="19"/>
              </w:rPr>
              <w:t xml:space="preserve">Sector: Banca y Servicios Financieros  |  Región: Europa + Latinoamérica</w:t>
            </w:r>
          </w:p>
        </w:tc>
      </w:tr>
    </w:tbl>
    <w:p>
      <w:pPr>
        <w:spacing w:before="180" w:after="80"/>
      </w:pPr>
      <w:r>
        <w:rPr>
          <w:rFonts w:ascii="Arial" w:cs="Arial" w:eastAsia="Arial" w:hAnsi="Arial"/>
          <w:b/>
          <w:bCs/>
          <w:color w:val="002060"/>
          <w:sz w:val="22"/>
          <w:szCs w:val="22"/>
        </w:rPr>
        <w:t xml:space="preserve">Contexto y Problema</w:t>
      </w:r>
    </w:p>
    <w:p>
      <w:pPr>
        <w:spacing w:before="60" w:after="100"/>
      </w:pPr>
      <w:r>
        <w:rPr>
          <w:rFonts w:ascii="Arial" w:cs="Arial" w:eastAsia="Arial" w:hAnsi="Arial"/>
          <w:color w:val="333333"/>
          <w:sz w:val="20"/>
          <w:szCs w:val="20"/>
        </w:rPr>
        <w:t xml:space="preserve">Un grupo financiero con operaciones en 12 países y más de 8 millones de transacciones diarias enfrentaba un sistema legacy de detección de fraude basado en procesamiento por lotes (batch) nocturno. Las transacciones fraudulentas no se detectaban hasta horas después de ocurridas, generando pérdidas anuales estimadas en USD 45 millones y daño reputacional con clientes.</w:t>
      </w:r>
    </w:p>
    <w:p>
      <w:pPr>
        <w:spacing w:before="160" w:after="80"/>
      </w:pPr>
      <w:r>
        <w:rPr>
          <w:rFonts w:ascii="Arial" w:cs="Arial" w:eastAsia="Arial" w:hAnsi="Arial"/>
          <w:b/>
          <w:bCs/>
          <w:color w:val="002060"/>
          <w:sz w:val="22"/>
          <w:szCs w:val="22"/>
        </w:rPr>
        <w:t xml:space="preserve">Solución Implementada</w:t>
      </w:r>
    </w:p>
    <w:p>
      <w:pPr>
        <w:spacing w:before="60" w:after="100"/>
      </w:pPr>
      <w:r>
        <w:rPr>
          <w:rFonts w:ascii="Arial" w:cs="Arial" w:eastAsia="Arial" w:hAnsi="Arial"/>
          <w:color w:val="333333"/>
          <w:sz w:val="20"/>
          <w:szCs w:val="20"/>
        </w:rPr>
        <w:t xml:space="preserve">Se diseñó una arquitectura de streaming en tiempo real usando Azure Event Hubs como plataforma central de ingesta, integrando los siguientes componentes:</w:t>
      </w:r>
    </w:p>
    <w:p>
      <w:pPr>
        <w:pStyle w:val="ListParagraph"/>
        <w:numPr>
          <w:ilvl w:val="0"/>
          <w:numId w:val="2"/>
        </w:numPr>
        <w:spacing w:before="50" w:after="50"/>
      </w:pPr>
      <w:r>
        <w:rPr>
          <w:rFonts w:ascii="Arial" w:cs="Arial" w:eastAsia="Arial" w:hAnsi="Arial"/>
          <w:color w:val="333333"/>
          <w:sz w:val="20"/>
          <w:szCs w:val="20"/>
        </w:rPr>
        <w:t xml:space="preserve">Azure Event Hubs Premium con 32 particiones recibiendo todas las transacciones en tiempo real desde los core bancarios</w:t>
      </w:r>
    </w:p>
    <w:p>
      <w:pPr>
        <w:pStyle w:val="ListParagraph"/>
        <w:numPr>
          <w:ilvl w:val="0"/>
          <w:numId w:val="2"/>
        </w:numPr>
        <w:spacing w:before="50" w:after="50"/>
      </w:pPr>
      <w:r>
        <w:rPr>
          <w:rFonts w:ascii="Arial" w:cs="Arial" w:eastAsia="Arial" w:hAnsi="Arial"/>
          <w:color w:val="333333"/>
          <w:sz w:val="20"/>
          <w:szCs w:val="20"/>
        </w:rPr>
        <w:t xml:space="preserve">Azure Stream Analytics procesando patrones de fraude con ventanas temporales de 60 segundos</w:t>
      </w:r>
    </w:p>
    <w:p>
      <w:pPr>
        <w:pStyle w:val="ListParagraph"/>
        <w:numPr>
          <w:ilvl w:val="0"/>
          <w:numId w:val="2"/>
        </w:numPr>
        <w:spacing w:before="50" w:after="50"/>
      </w:pPr>
      <w:r>
        <w:rPr>
          <w:rFonts w:ascii="Arial" w:cs="Arial" w:eastAsia="Arial" w:hAnsi="Arial"/>
          <w:color w:val="333333"/>
          <w:sz w:val="20"/>
          <w:szCs w:val="20"/>
        </w:rPr>
        <w:t xml:space="preserve">Azure Machine Learning desplegado como Function consumiendo eventos enriquecidos para scoring de riesgo</w:t>
      </w:r>
    </w:p>
    <w:p>
      <w:pPr>
        <w:pStyle w:val="ListParagraph"/>
        <w:numPr>
          <w:ilvl w:val="0"/>
          <w:numId w:val="2"/>
        </w:numPr>
        <w:spacing w:before="50" w:after="50"/>
      </w:pPr>
      <w:r>
        <w:rPr>
          <w:rFonts w:ascii="Arial" w:cs="Arial" w:eastAsia="Arial" w:hAnsi="Arial"/>
          <w:color w:val="333333"/>
          <w:sz w:val="20"/>
          <w:szCs w:val="20"/>
        </w:rPr>
        <w:t xml:space="preserve">Azure Synapse Analytics para análisis histórico y entrenamiento continuo del modelo de ML</w:t>
      </w:r>
    </w:p>
    <w:p>
      <w:pPr>
        <w:pStyle w:val="ListParagraph"/>
        <w:numPr>
          <w:ilvl w:val="0"/>
          <w:numId w:val="2"/>
        </w:numPr>
        <w:spacing w:before="50" w:after="50"/>
      </w:pPr>
      <w:r>
        <w:rPr>
          <w:rFonts w:ascii="Arial" w:cs="Arial" w:eastAsia="Arial" w:hAnsi="Arial"/>
          <w:color w:val="333333"/>
          <w:sz w:val="20"/>
          <w:szCs w:val="20"/>
        </w:rPr>
        <w:t xml:space="preserve">Event Hubs Capture hacia Azure Data Lake para auditoría regulatoria (retención de 7 años)</w:t>
      </w:r>
    </w:p>
    <w:p>
      <w:pPr>
        <w:spacing w:before="160" w:after="80"/>
      </w:pPr>
      <w:r>
        <w:rPr>
          <w:rFonts w:ascii="Arial" w:cs="Arial" w:eastAsia="Arial" w:hAnsi="Arial"/>
          <w:b/>
          <w:bCs/>
          <w:color w:val="002060"/>
          <w:sz w:val="22"/>
          <w:szCs w:val="22"/>
        </w:rPr>
        <w:t xml:space="preserve">Resultados Obtenidos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BBBBBB" w:sz="1"/>
              <w:left w:val="single" w:color="BBBBBB" w:sz="1"/>
              <w:bottom w:val="single" w:color="BBBBBB" w:sz="1"/>
              <w:right w:val="single" w:color="BBBBBB"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Métrica</w:t>
            </w:r>
          </w:p>
        </w:tc>
        <w:tc>
          <w:tcPr>
            <w:tcW w:type="dxa" w:w="4860"/>
            <w:tcBorders>
              <w:top w:val="single" w:color="BBBBBB" w:sz="1"/>
              <w:left w:val="single" w:color="BBBBBB" w:sz="1"/>
              <w:bottom w:val="single" w:color="BBBBBB" w:sz="1"/>
              <w:right w:val="single" w:color="BBBBBB"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Resultado</w:t>
            </w:r>
          </w:p>
        </w:tc>
      </w:tr>
      <w:tr>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bCs/>
                <w:color w:val="333333"/>
                <w:sz w:val="19"/>
                <w:szCs w:val="19"/>
              </w:rPr>
              <w:t xml:space="preserve">Tiempo de detección de fraude</w:t>
            </w:r>
          </w:p>
        </w:tc>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De 8-12 horas a menos de 90 segundos</w:t>
            </w:r>
          </w:p>
        </w:tc>
      </w:tr>
      <w:tr>
        <w:tc>
          <w:tcPr>
            <w:tcW w:type="dxa" w:w="4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bCs/>
                <w:color w:val="333333"/>
                <w:sz w:val="19"/>
                <w:szCs w:val="19"/>
              </w:rPr>
              <w:t xml:space="preserve">Reducción de pérdidas por fraude</w:t>
            </w:r>
          </w:p>
        </w:tc>
        <w:tc>
          <w:tcPr>
            <w:tcW w:type="dxa" w:w="4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68% en el primer año (USD ~30 M recuperados)</w:t>
            </w:r>
          </w:p>
        </w:tc>
      </w:tr>
      <w:tr>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bCs/>
                <w:color w:val="333333"/>
                <w:sz w:val="19"/>
                <w:szCs w:val="19"/>
              </w:rPr>
              <w:t xml:space="preserve">Volumen de eventos procesados</w:t>
            </w:r>
          </w:p>
        </w:tc>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Pico de 250,000 eventos/segundo sin degradación</w:t>
            </w:r>
          </w:p>
        </w:tc>
      </w:tr>
      <w:tr>
        <w:tc>
          <w:tcPr>
            <w:tcW w:type="dxa" w:w="4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bCs/>
                <w:color w:val="333333"/>
                <w:sz w:val="19"/>
                <w:szCs w:val="19"/>
              </w:rPr>
              <w:t xml:space="preserve">Disponibilidad del servicio</w:t>
            </w:r>
          </w:p>
        </w:tc>
        <w:tc>
          <w:tcPr>
            <w:tcW w:type="dxa" w:w="4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99.97% en los primeros 18 meses de producción</w:t>
            </w:r>
          </w:p>
        </w:tc>
      </w:tr>
      <w:tr>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bCs/>
                <w:color w:val="333333"/>
                <w:sz w:val="19"/>
                <w:szCs w:val="19"/>
              </w:rPr>
              <w:t xml:space="preserve">Tiempo de implementación</w:t>
            </w:r>
          </w:p>
        </w:tc>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4 meses desde kick-off hasta go-live en producción</w:t>
            </w:r>
          </w:p>
        </w:tc>
      </w:tr>
      <w:tr>
        <w:tc>
          <w:tcPr>
            <w:tcW w:type="dxa" w:w="4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bCs/>
                <w:color w:val="333333"/>
                <w:sz w:val="19"/>
                <w:szCs w:val="19"/>
              </w:rPr>
              <w:t xml:space="preserve">ROI del proyecto</w:t>
            </w:r>
          </w:p>
        </w:tc>
        <w:tc>
          <w:tcPr>
            <w:tcW w:type="dxa" w:w="4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Positivo a los 7 meses de operación en producción</w:t>
            </w:r>
          </w:p>
        </w:tc>
      </w:tr>
    </w:tbl>
    <w:p>
      <w:pPr>
        <w:spacing w:before="160" w:after="80"/>
      </w:pPr>
      <w:r>
        <w:rPr>
          <w:rFonts w:ascii="Arial" w:cs="Arial" w:eastAsia="Arial" w:hAnsi="Arial"/>
          <w:b/>
          <w:bCs/>
          <w:color w:val="002060"/>
          <w:sz w:val="22"/>
          <w:szCs w:val="22"/>
        </w:rPr>
        <w:t xml:space="preserve">Lecciones Aprendidas</w:t>
      </w:r>
    </w:p>
    <w:p>
      <w:pPr>
        <w:pStyle w:val="ListParagraph"/>
        <w:numPr>
          <w:ilvl w:val="0"/>
          <w:numId w:val="2"/>
        </w:numPr>
        <w:spacing w:before="50" w:after="50"/>
      </w:pPr>
      <w:r>
        <w:rPr>
          <w:rFonts w:ascii="Arial" w:cs="Arial" w:eastAsia="Arial" w:hAnsi="Arial"/>
          <w:color w:val="333333"/>
          <w:sz w:val="20"/>
          <w:szCs w:val="20"/>
        </w:rPr>
        <w:t xml:space="preserve">La compatibilidad Kafka permitió reutilizar los productores existentes sin reescritura, acortando el proyecto en 6 semanas</w:t>
      </w:r>
    </w:p>
    <w:p>
      <w:pPr>
        <w:pStyle w:val="ListParagraph"/>
        <w:numPr>
          <w:ilvl w:val="0"/>
          <w:numId w:val="2"/>
        </w:numPr>
        <w:spacing w:before="50" w:after="50"/>
      </w:pPr>
      <w:r>
        <w:rPr>
          <w:rFonts w:ascii="Arial" w:cs="Arial" w:eastAsia="Arial" w:hAnsi="Arial"/>
          <w:color w:val="333333"/>
          <w:sz w:val="20"/>
          <w:szCs w:val="20"/>
        </w:rPr>
        <w:t xml:space="preserve">El escalado automático de TUs absorbió picos de fin de mes sin intervención operativa</w:t>
      </w:r>
    </w:p>
    <w:p>
      <w:pPr>
        <w:pStyle w:val="ListParagraph"/>
        <w:numPr>
          <w:ilvl w:val="0"/>
          <w:numId w:val="2"/>
        </w:numPr>
        <w:spacing w:before="50" w:after="50"/>
      </w:pPr>
      <w:r>
        <w:rPr>
          <w:rFonts w:ascii="Arial" w:cs="Arial" w:eastAsia="Arial" w:hAnsi="Arial"/>
          <w:color w:val="333333"/>
          <w:sz w:val="20"/>
          <w:szCs w:val="20"/>
        </w:rPr>
        <w:t xml:space="preserve">El equipo de seguridad destacó la facilidad de cumplimiento con PCI-DSS gracias a CMK y Private Endpoints</w:t>
      </w:r>
    </w:p>
    <w:p>
      <w:pPr>
        <w:pStyle w:val="ListParagraph"/>
        <w:numPr>
          <w:ilvl w:val="0"/>
          <w:numId w:val="2"/>
        </w:numPr>
        <w:spacing w:before="50" w:after="50"/>
      </w:pPr>
      <w:r>
        <w:rPr>
          <w:rFonts w:ascii="Arial" w:cs="Arial" w:eastAsia="Arial" w:hAnsi="Arial"/>
          <w:color w:val="333333"/>
          <w:sz w:val="20"/>
          <w:szCs w:val="20"/>
        </w:rPr>
        <w:t xml:space="preserve">Se recomienda planificar el número de particiones con holgura desde el inicio: migrar de 16 a 32 particiones requirió recrear el hub</w:t>
      </w:r>
    </w:p>
    <w:p>
      <w:pPr>
        <w:pStyle w:val="Heading1"/>
        <w:pBdr>
          <w:bottom w:val="single" w:color="0070C0" w:sz="8"/>
        </w:pBdr>
        <w:spacing w:before="360" w:after="180"/>
      </w:pPr>
      <w:r>
        <w:rPr>
          <w:rFonts w:ascii="Arial" w:cs="Arial" w:eastAsia="Arial" w:hAnsi="Arial"/>
          <w:b/>
          <w:bCs/>
          <w:color w:val="002060"/>
          <w:sz w:val="30"/>
          <w:szCs w:val="30"/>
        </w:rPr>
        <w:t xml:space="preserve">5. ¿Cómo Iniciar la Planeación?</w:t>
      </w:r>
    </w:p>
    <w:p>
      <w:pPr>
        <w:spacing w:before="60" w:after="100"/>
      </w:pPr>
      <w:r>
        <w:rPr>
          <w:rFonts w:ascii="Arial" w:cs="Arial" w:eastAsia="Arial" w:hAnsi="Arial"/>
          <w:color w:val="333333"/>
          <w:sz w:val="20"/>
          <w:szCs w:val="20"/>
        </w:rPr>
        <w:t xml:space="preserve">A continuación se describe un proceso estructurado de 5 pasos para iniciar la planeación de una implementación de Azure Event Hubs en su organización: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9120"/>
      </w:tblGrid>
      <w:tr>
        <w:tc>
          <w:tcPr>
            <w:tcBorders>
              <w:top w:val="single" w:color="BBBBBB" w:sz="1"/>
              <w:left w:val="single" w:color="BBBBBB" w:sz="1"/>
              <w:bottom w:val="single" w:color="BBBBBB" w:sz="1"/>
              <w:right w:val="single" w:color="BBBBBB" w:sz="1"/>
            </w:tcBorders>
            <w:shd w:fill="002060"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1</w:t>
            </w:r>
          </w:p>
        </w:tc>
        <w:tc>
          <w:tcPr>
            <w:tcBorders>
              <w:top w:val="single" w:color="BBBBBB" w:sz="1"/>
              <w:left w:val="single" w:color="BBBBBB" w:sz="1"/>
              <w:bottom w:val="single" w:color="BBBBBB" w:sz="1"/>
              <w:right w:val="single" w:color="BBBBBB" w:sz="1"/>
            </w:tcBorders>
            <w:shd w:fill="DEEAF1" w:val="clear"/>
            <w:tcMar>
              <w:top w:type="dxa" w:w="120"/>
              <w:left w:type="dxa" w:w="200"/>
              <w:bottom w:type="dxa" w:w="120"/>
              <w:right w:type="dxa" w:w="200"/>
            </w:tcMar>
          </w:tcPr>
          <w:p>
            <w:pPr>
              <w:spacing w:after="60"/>
            </w:pPr>
            <w:r>
              <w:rPr>
                <w:rFonts w:ascii="Arial" w:cs="Arial" w:eastAsia="Arial" w:hAnsi="Arial"/>
                <w:b/>
                <w:bCs/>
                <w:color w:val="002060"/>
                <w:sz w:val="22"/>
                <w:szCs w:val="22"/>
              </w:rPr>
              <w:t xml:space="preserve">Definir el Caso de Negocio y Requerimientos</w:t>
            </w:r>
          </w:p>
          <w:p>
            <w:r>
              <w:rPr>
                <w:rFonts w:ascii="Arial" w:cs="Arial" w:eastAsia="Arial" w:hAnsi="Arial"/>
                <w:color w:val="444444"/>
                <w:sz w:val="19"/>
                <w:szCs w:val="19"/>
              </w:rPr>
              <w:t xml:space="preserve">Identificar qué problema de negocio resuelve Event Hubs: ¿latencia en procesos?, ¿integración de sistemas?, ¿analítica en tiempo real? Estimar el volumen de eventos esperado (eventos/seg, KB/evento), los sistemas origen y destino, y los requisitos de retención y cumplimiento.</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9120"/>
      </w:tblGrid>
      <w:tr>
        <w:tc>
          <w:tcPr>
            <w:tcBorders>
              <w:top w:val="single" w:color="BBBBBB" w:sz="1"/>
              <w:left w:val="single" w:color="BBBBBB" w:sz="1"/>
              <w:bottom w:val="single" w:color="BBBBBB" w:sz="1"/>
              <w:right w:val="single" w:color="BBBBBB" w:sz="1"/>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2</w:t>
            </w:r>
          </w:p>
        </w:tc>
        <w:tc>
          <w:tcPr>
            <w:tcBorders>
              <w:top w:val="single" w:color="BBBBBB" w:sz="1"/>
              <w:left w:val="single" w:color="BBBBBB" w:sz="1"/>
              <w:bottom w:val="single" w:color="BBBBBB" w:sz="1"/>
              <w:right w:val="single" w:color="BBBBBB" w:sz="1"/>
            </w:tcBorders>
            <w:shd w:fill="F2F2F2" w:val="clear"/>
            <w:tcMar>
              <w:top w:type="dxa" w:w="120"/>
              <w:left w:type="dxa" w:w="200"/>
              <w:bottom w:type="dxa" w:w="120"/>
              <w:right w:type="dxa" w:w="200"/>
            </w:tcMar>
          </w:tcPr>
          <w:p>
            <w:pPr>
              <w:spacing w:after="60"/>
            </w:pPr>
            <w:r>
              <w:rPr>
                <w:rFonts w:ascii="Arial" w:cs="Arial" w:eastAsia="Arial" w:hAnsi="Arial"/>
                <w:b/>
                <w:bCs/>
                <w:color w:val="002060"/>
                <w:sz w:val="22"/>
                <w:szCs w:val="22"/>
              </w:rPr>
              <w:t xml:space="preserve">Seleccionar el Tier y Dimensionamiento Inicial</w:t>
            </w:r>
          </w:p>
          <w:p>
            <w:r>
              <w:rPr>
                <w:rFonts w:ascii="Arial" w:cs="Arial" w:eastAsia="Arial" w:hAnsi="Arial"/>
                <w:color w:val="444444"/>
                <w:sz w:val="19"/>
                <w:szCs w:val="19"/>
              </w:rPr>
              <w:t xml:space="preserve">Elegir entre Standard (costo menor, funcionalidades core) y Premium (VNet, Schema Registry, retención extendida, aislamiento). Dimensionar el número de Throughput Units o Processing Units según el volumen estimado, y definir el número de particiones con margen de crecimiento. Usar la Azure Pricing Calculator para estimar el costo mensual.</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9120"/>
      </w:tblGrid>
      <w:tr>
        <w:tc>
          <w:tcPr>
            <w:tcBorders>
              <w:top w:val="single" w:color="BBBBBB" w:sz="1"/>
              <w:left w:val="single" w:color="BBBBBB" w:sz="1"/>
              <w:bottom w:val="single" w:color="BBBBBB" w:sz="1"/>
              <w:right w:val="single" w:color="BBBBBB" w:sz="1"/>
            </w:tcBorders>
            <w:shd w:fill="002060"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3</w:t>
            </w:r>
          </w:p>
        </w:tc>
        <w:tc>
          <w:tcPr>
            <w:tcBorders>
              <w:top w:val="single" w:color="BBBBBB" w:sz="1"/>
              <w:left w:val="single" w:color="BBBBBB" w:sz="1"/>
              <w:bottom w:val="single" w:color="BBBBBB" w:sz="1"/>
              <w:right w:val="single" w:color="BBBBBB" w:sz="1"/>
            </w:tcBorders>
            <w:shd w:fill="DEEAF1" w:val="clear"/>
            <w:tcMar>
              <w:top w:type="dxa" w:w="120"/>
              <w:left w:type="dxa" w:w="200"/>
              <w:bottom w:type="dxa" w:w="120"/>
              <w:right w:type="dxa" w:w="200"/>
            </w:tcMar>
          </w:tcPr>
          <w:p>
            <w:pPr>
              <w:spacing w:after="60"/>
            </w:pPr>
            <w:r>
              <w:rPr>
                <w:rFonts w:ascii="Arial" w:cs="Arial" w:eastAsia="Arial" w:hAnsi="Arial"/>
                <w:b/>
                <w:bCs/>
                <w:color w:val="002060"/>
                <w:sz w:val="22"/>
                <w:szCs w:val="22"/>
              </w:rPr>
              <w:t xml:space="preserve">Diseñar la Arquitectura y Modelo de Seguridad</w:t>
            </w:r>
          </w:p>
          <w:p>
            <w:r>
              <w:rPr>
                <w:rFonts w:ascii="Arial" w:cs="Arial" w:eastAsia="Arial" w:hAnsi="Arial"/>
                <w:color w:val="444444"/>
                <w:sz w:val="19"/>
                <w:szCs w:val="19"/>
              </w:rPr>
              <w:t xml:space="preserve">Definir el diagrama de arquitectura: fuentes de eventos, flujo de datos, sistemas consumidores e integraciones. Diseñar el modelo de seguridad: uso de Managed Identities, Private Endpoints, control de acceso por Consumer Group y política de cifrado. Validar que la red virtual y el DNS privado están listos para recibir la integración.</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9120"/>
      </w:tblGrid>
      <w:tr>
        <w:tc>
          <w:tcPr>
            <w:tcBorders>
              <w:top w:val="single" w:color="BBBBBB" w:sz="1"/>
              <w:left w:val="single" w:color="BBBBBB" w:sz="1"/>
              <w:bottom w:val="single" w:color="BBBBBB" w:sz="1"/>
              <w:right w:val="single" w:color="BBBBBB" w:sz="1"/>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4</w:t>
            </w:r>
          </w:p>
        </w:tc>
        <w:tc>
          <w:tcPr>
            <w:tcBorders>
              <w:top w:val="single" w:color="BBBBBB" w:sz="1"/>
              <w:left w:val="single" w:color="BBBBBB" w:sz="1"/>
              <w:bottom w:val="single" w:color="BBBBBB" w:sz="1"/>
              <w:right w:val="single" w:color="BBBBBB" w:sz="1"/>
            </w:tcBorders>
            <w:shd w:fill="F2F2F2" w:val="clear"/>
            <w:tcMar>
              <w:top w:type="dxa" w:w="120"/>
              <w:left w:type="dxa" w:w="200"/>
              <w:bottom w:type="dxa" w:w="120"/>
              <w:right w:type="dxa" w:w="200"/>
            </w:tcMar>
          </w:tcPr>
          <w:p>
            <w:pPr>
              <w:spacing w:after="60"/>
            </w:pPr>
            <w:r>
              <w:rPr>
                <w:rFonts w:ascii="Arial" w:cs="Arial" w:eastAsia="Arial" w:hAnsi="Arial"/>
                <w:b/>
                <w:bCs/>
                <w:color w:val="002060"/>
                <w:sz w:val="22"/>
                <w:szCs w:val="22"/>
              </w:rPr>
              <w:t xml:space="preserve">Armar el Equipo y Plan de Proyecto</w:t>
            </w:r>
          </w:p>
          <w:p>
            <w:r>
              <w:rPr>
                <w:rFonts w:ascii="Arial" w:cs="Arial" w:eastAsia="Arial" w:hAnsi="Arial"/>
                <w:color w:val="444444"/>
                <w:sz w:val="19"/>
                <w:szCs w:val="19"/>
              </w:rPr>
              <w:t xml:space="preserve">Identificar los roles necesarios: Arquitecto Azure, Ingeniero DevOps/IaC, equipo de Networking, Seguridad, Desarrollo (SDK) y Monitoring. Elaborar un plan de proyecto con las 4 fases descritas en el documento técnico complementario (Aprovisionamiento, Seguridad, Monitoreo, Integración y Pruebas). Estimar un timeline de 4 a 6 semanas para una implementación standard.</w:t>
            </w:r>
          </w:p>
        </w:tc>
      </w:tr>
    </w:tbl>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9120"/>
      </w:tblGrid>
      <w:tr>
        <w:tc>
          <w:tcPr>
            <w:tcBorders>
              <w:top w:val="single" w:color="BBBBBB" w:sz="1"/>
              <w:left w:val="single" w:color="BBBBBB" w:sz="1"/>
              <w:bottom w:val="single" w:color="BBBBBB" w:sz="1"/>
              <w:right w:val="single" w:color="BBBBBB" w:sz="1"/>
            </w:tcBorders>
            <w:shd w:fill="002060"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5</w:t>
            </w:r>
          </w:p>
        </w:tc>
        <w:tc>
          <w:tcPr>
            <w:tcBorders>
              <w:top w:val="single" w:color="BBBBBB" w:sz="1"/>
              <w:left w:val="single" w:color="BBBBBB" w:sz="1"/>
              <w:bottom w:val="single" w:color="BBBBBB" w:sz="1"/>
              <w:right w:val="single" w:color="BBBBBB" w:sz="1"/>
            </w:tcBorders>
            <w:shd w:fill="DEEAF1" w:val="clear"/>
            <w:tcMar>
              <w:top w:type="dxa" w:w="120"/>
              <w:left w:type="dxa" w:w="200"/>
              <w:bottom w:type="dxa" w:w="120"/>
              <w:right w:type="dxa" w:w="200"/>
            </w:tcMar>
          </w:tcPr>
          <w:p>
            <w:pPr>
              <w:spacing w:after="60"/>
            </w:pPr>
            <w:r>
              <w:rPr>
                <w:rFonts w:ascii="Arial" w:cs="Arial" w:eastAsia="Arial" w:hAnsi="Arial"/>
                <w:b/>
                <w:bCs/>
                <w:color w:val="002060"/>
                <w:sz w:val="22"/>
                <w:szCs w:val="22"/>
              </w:rPr>
              <w:t xml:space="preserve">Ejecutar un Proof of Concept (PoC)</w:t>
            </w:r>
          </w:p>
          <w:p>
            <w:r>
              <w:rPr>
                <w:rFonts w:ascii="Arial" w:cs="Arial" w:eastAsia="Arial" w:hAnsi="Arial"/>
                <w:color w:val="444444"/>
                <w:sz w:val="19"/>
                <w:szCs w:val="19"/>
              </w:rPr>
              <w:t xml:space="preserve">Antes del proyecto completo, ejecutar un PoC de 1-2 semanas en un entorno de desarrollo o sandbox. El objetivo es validar la conectividad de extremo a extremo, la compatibilidad de los SDKs o protocolo Kafka con las aplicaciones existentes, la latencia real obtenida y los costos efectivos. Los aprendizajes del PoC alimentan directamente el diseño final.</w:t>
            </w:r>
          </w:p>
        </w:tc>
      </w:tr>
    </w:tbl>
    <w:p>
      <w:pPr>
        <w:spacing w:before="300" w:after="120"/>
      </w:pPr>
      <w:r>
        <w:rPr>
          <w:rFonts w:ascii="Arial" w:cs="Arial" w:eastAsia="Arial" w:hAnsi="Arial"/>
          <w:b/>
          <w:bCs/>
          <w:color w:val="002060"/>
          <w:sz w:val="24"/>
          <w:szCs w:val="24"/>
        </w:rPr>
        <w:t xml:space="preserve">Checklist de Inicio Rápido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BBBBBB" w:sz="1"/>
              <w:left w:val="single" w:color="BBBBBB" w:sz="1"/>
              <w:bottom w:val="single" w:color="BBBBBB" w:sz="1"/>
              <w:right w:val="single" w:color="BBBBBB"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Actividad de Planeación</w:t>
            </w:r>
          </w:p>
        </w:tc>
        <w:tc>
          <w:tcPr>
            <w:tcW w:type="dxa" w:w="4860"/>
            <w:tcBorders>
              <w:top w:val="single" w:color="BBBBBB" w:sz="1"/>
              <w:left w:val="single" w:color="BBBBBB" w:sz="1"/>
              <w:bottom w:val="single" w:color="BBBBBB" w:sz="1"/>
              <w:right w:val="single" w:color="BBBBBB"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 Sugerido al Inicio</w:t>
            </w:r>
          </w:p>
        </w:tc>
      </w:tr>
      <w:tr>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Caso de negocio documentado con KPIs esperados</w:t>
            </w:r>
          </w:p>
        </w:tc>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Completar antes del kick-off</w:t>
            </w:r>
          </w:p>
        </w:tc>
      </w:tr>
      <w:tr>
        <w:tc>
          <w:tcPr>
            <w:tcW w:type="dxa" w:w="4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Volumen de eventos estimado (eventos/seg, MB/seg)</w:t>
            </w:r>
          </w:p>
        </w:tc>
        <w:tc>
          <w:tcPr>
            <w:tcW w:type="dxa" w:w="4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Completar antes del kick-off</w:t>
            </w:r>
          </w:p>
        </w:tc>
      </w:tr>
      <w:tr>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Tier seleccionado (Standard / Premium) con justificación</w:t>
            </w:r>
          </w:p>
        </w:tc>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Semana 1</w:t>
            </w:r>
          </w:p>
        </w:tc>
      </w:tr>
      <w:tr>
        <w:tc>
          <w:tcPr>
            <w:tcW w:type="dxa" w:w="4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Diagrama de arquitectura borrador aprobado</w:t>
            </w:r>
          </w:p>
        </w:tc>
        <w:tc>
          <w:tcPr>
            <w:tcW w:type="dxa" w:w="4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Semana 1</w:t>
            </w:r>
          </w:p>
        </w:tc>
      </w:tr>
      <w:tr>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Roles y equipo de proyecto asignado</w:t>
            </w:r>
          </w:p>
        </w:tc>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Semana 1</w:t>
            </w:r>
          </w:p>
        </w:tc>
      </w:tr>
      <w:tr>
        <w:tc>
          <w:tcPr>
            <w:tcW w:type="dxa" w:w="4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Suscripción Azure y Resource Group disponibles</w:t>
            </w:r>
          </w:p>
        </w:tc>
        <w:tc>
          <w:tcPr>
            <w:tcW w:type="dxa" w:w="4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Semana 1</w:t>
            </w:r>
          </w:p>
        </w:tc>
      </w:tr>
      <w:tr>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VNet y subnet para Private Endpoint definidas</w:t>
            </w:r>
          </w:p>
        </w:tc>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Semana 1-2</w:t>
            </w:r>
          </w:p>
        </w:tc>
      </w:tr>
      <w:tr>
        <w:tc>
          <w:tcPr>
            <w:tcW w:type="dxa" w:w="4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PoC ejecutado y lecciones documentadas</w:t>
            </w:r>
          </w:p>
        </w:tc>
        <w:tc>
          <w:tcPr>
            <w:tcW w:type="dxa" w:w="4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Semanas 1-2</w:t>
            </w:r>
          </w:p>
        </w:tc>
      </w:tr>
      <w:tr>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Estimación de costos aprobada por finanzas</w:t>
            </w:r>
          </w:p>
        </w:tc>
        <w:tc>
          <w:tcPr>
            <w:tcW w:type="dxa" w:w="486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Antes de Fase 1</w:t>
            </w:r>
          </w:p>
        </w:tc>
      </w:tr>
    </w:tbl>
    <w:p>
      <w:r>
        <w:br w:type="page"/>
      </w:r>
    </w:p>
    <w:p>
      <w:pPr>
        <w:pStyle w:val="Heading1"/>
        <w:pBdr>
          <w:bottom w:val="single" w:color="0070C0" w:sz="8"/>
        </w:pBdr>
        <w:spacing w:before="360" w:after="180"/>
      </w:pPr>
      <w:r>
        <w:rPr>
          <w:rFonts w:ascii="Arial" w:cs="Arial" w:eastAsia="Arial" w:hAnsi="Arial"/>
          <w:b/>
          <w:bCs/>
          <w:color w:val="002060"/>
          <w:sz w:val="30"/>
          <w:szCs w:val="30"/>
        </w:rPr>
        <w:t xml:space="preserve">6. Próximos Pasos Recomendados</w:t>
      </w:r>
    </w:p>
    <w:p>
      <w:pPr>
        <w:spacing w:before="60" w:after="100"/>
      </w:pPr>
      <w:r>
        <w:rPr>
          <w:rFonts w:ascii="Arial" w:cs="Arial" w:eastAsia="Arial" w:hAnsi="Arial"/>
          <w:color w:val="333333"/>
          <w:sz w:val="20"/>
          <w:szCs w:val="20"/>
        </w:rPr>
        <w:t xml:space="preserve">Una vez tomada la decisión de avanzar con Azure Event Hubs, se recomiendan los siguientes próximos pasos inmediatos: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020"/>
      </w:tblGrid>
      <w:tr>
        <w:tc>
          <w:tcPr>
            <w:tcW w:type="dxa" w:w="700"/>
            <w:tcBorders>
              <w:top w:val="single" w:color="BBBBBB" w:sz="1"/>
              <w:left w:val="single" w:color="BBBBBB" w:sz="1"/>
              <w:bottom w:val="single" w:color="BBBBBB" w:sz="1"/>
              <w:right w:val="single" w:color="BBBBBB"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Paso</w:t>
            </w:r>
          </w:p>
        </w:tc>
        <w:tc>
          <w:tcPr>
            <w:tcW w:type="dxa" w:w="5000"/>
            <w:tcBorders>
              <w:top w:val="single" w:color="BBBBBB" w:sz="1"/>
              <w:left w:val="single" w:color="BBBBBB" w:sz="1"/>
              <w:bottom w:val="single" w:color="BBBBBB" w:sz="1"/>
              <w:right w:val="single" w:color="BBBBBB"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Acción</w:t>
            </w:r>
          </w:p>
        </w:tc>
        <w:tc>
          <w:tcPr>
            <w:tcW w:type="dxa" w:w="4020"/>
            <w:tcBorders>
              <w:top w:val="single" w:color="BBBBBB" w:sz="1"/>
              <w:left w:val="single" w:color="BBBBBB" w:sz="1"/>
              <w:bottom w:val="single" w:color="BBBBBB" w:sz="1"/>
              <w:right w:val="single" w:color="BBBBBB"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Responsable Sugerido</w:t>
            </w:r>
          </w:p>
        </w:tc>
      </w:tr>
      <w:tr>
        <w:tc>
          <w:tcPr>
            <w:tcW w:type="dxa" w:w="70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center"/>
            </w:pPr>
            <w:r>
              <w:rPr>
                <w:rFonts w:ascii="Arial" w:cs="Arial" w:eastAsia="Arial" w:hAnsi="Arial"/>
                <w:b/>
                <w:bCs/>
                <w:color w:val="333333"/>
                <w:sz w:val="19"/>
                <w:szCs w:val="19"/>
              </w:rPr>
              <w:t xml:space="preserve">1</w:t>
            </w:r>
          </w:p>
        </w:tc>
        <w:tc>
          <w:tcPr>
            <w:tcW w:type="dxa" w:w="500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Agendar sesión de discovery con el equipo técnico y de negocio para validar requerimientos y volúmenes</w:t>
            </w:r>
          </w:p>
        </w:tc>
        <w:tc>
          <w:tcPr>
            <w:tcW w:type="dxa" w:w="402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Project Manager + Arquitecto</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center"/>
            </w:pPr>
            <w:r>
              <w:rPr>
                <w:rFonts w:ascii="Arial" w:cs="Arial" w:eastAsia="Arial" w:hAnsi="Arial"/>
                <w:b/>
                <w:bCs/>
                <w:color w:val="333333"/>
                <w:sz w:val="19"/>
                <w:szCs w:val="19"/>
              </w:rPr>
              <w:t xml:space="preserve">2</w:t>
            </w:r>
          </w:p>
        </w:tc>
        <w:tc>
          <w:tcPr>
            <w:tcW w:type="dxa" w:w="5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Solicitar acceso a una suscripción Azure de desarrollo para iniciar el PoC</w:t>
            </w:r>
          </w:p>
        </w:tc>
        <w:tc>
          <w:tcPr>
            <w:tcW w:type="dxa" w:w="402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DevOps / Cloud Admin</w:t>
            </w:r>
          </w:p>
        </w:tc>
      </w:tr>
      <w:tr>
        <w:tc>
          <w:tcPr>
            <w:tcW w:type="dxa" w:w="70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center"/>
            </w:pPr>
            <w:r>
              <w:rPr>
                <w:rFonts w:ascii="Arial" w:cs="Arial" w:eastAsia="Arial" w:hAnsi="Arial"/>
                <w:b/>
                <w:bCs/>
                <w:color w:val="333333"/>
                <w:sz w:val="19"/>
                <w:szCs w:val="19"/>
              </w:rPr>
              <w:t xml:space="preserve">3</w:t>
            </w:r>
          </w:p>
        </w:tc>
        <w:tc>
          <w:tcPr>
            <w:tcW w:type="dxa" w:w="500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Revisar el documento de Requerimientos Técnicos y Actividades (documento complementario)</w:t>
            </w:r>
          </w:p>
        </w:tc>
        <w:tc>
          <w:tcPr>
            <w:tcW w:type="dxa" w:w="402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Todo el equipo técnico</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center"/>
            </w:pPr>
            <w:r>
              <w:rPr>
                <w:rFonts w:ascii="Arial" w:cs="Arial" w:eastAsia="Arial" w:hAnsi="Arial"/>
                <w:b/>
                <w:bCs/>
                <w:color w:val="333333"/>
                <w:sz w:val="19"/>
                <w:szCs w:val="19"/>
              </w:rPr>
              <w:t xml:space="preserve">4</w:t>
            </w:r>
          </w:p>
        </w:tc>
        <w:tc>
          <w:tcPr>
            <w:tcW w:type="dxa" w:w="5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Ejecutar estimación de costos en Azure Pricing Calculator con los volúmenes identificados</w:t>
            </w:r>
          </w:p>
        </w:tc>
        <w:tc>
          <w:tcPr>
            <w:tcW w:type="dxa" w:w="402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Arquitecto + Finanzas</w:t>
            </w:r>
          </w:p>
        </w:tc>
      </w:tr>
      <w:tr>
        <w:tc>
          <w:tcPr>
            <w:tcW w:type="dxa" w:w="70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center"/>
            </w:pPr>
            <w:r>
              <w:rPr>
                <w:rFonts w:ascii="Arial" w:cs="Arial" w:eastAsia="Arial" w:hAnsi="Arial"/>
                <w:b/>
                <w:bCs/>
                <w:color w:val="333333"/>
                <w:sz w:val="19"/>
                <w:szCs w:val="19"/>
              </w:rPr>
              <w:t xml:space="preserve">5</w:t>
            </w:r>
          </w:p>
        </w:tc>
        <w:tc>
          <w:tcPr>
            <w:tcW w:type="dxa" w:w="500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Presentar este resumen ejecutivo a stakeholders y obtener aprobación para iniciar el proyecto</w:t>
            </w:r>
          </w:p>
        </w:tc>
        <w:tc>
          <w:tcPr>
            <w:tcW w:type="dxa" w:w="4020"/>
            <w:tcBorders>
              <w:top w:val="single" w:color="BBBBBB" w:sz="1"/>
              <w:left w:val="single" w:color="BBBBBB" w:sz="1"/>
              <w:bottom w:val="single" w:color="BBBBBB" w:sz="1"/>
              <w:right w:val="single" w:color="BBBBBB" w:sz="1"/>
            </w:tcBorders>
            <w:shd w:fill="DEEAF1" w:val="clear"/>
            <w:tcMar>
              <w:top w:type="dxa" w:w="90"/>
              <w:left w:type="dxa" w:w="140"/>
              <w:bottom w:type="dxa" w:w="90"/>
              <w:right w:type="dxa" w:w="140"/>
            </w:tcMar>
          </w:tcPr>
          <w:p>
            <w:pPr>
              <w:jc w:val="left"/>
            </w:pPr>
            <w:r>
              <w:rPr>
                <w:rFonts w:ascii="Arial" w:cs="Arial" w:eastAsia="Arial" w:hAnsi="Arial"/>
                <w:b w:val="false"/>
                <w:bCs w:val="false"/>
                <w:color w:val="333333"/>
                <w:sz w:val="19"/>
                <w:szCs w:val="19"/>
              </w:rPr>
              <w:t xml:space="preserve">Project Manager</w:t>
            </w:r>
          </w:p>
        </w:tc>
      </w:tr>
    </w:tbl>
    <w:p>
      <w:pPr>
        <w:spacing w:before="3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BBBBBB" w:sz="1"/>
              <w:left w:val="single" w:color="BBBBBB" w:sz="1"/>
              <w:bottom w:val="single" w:color="BBBBBB" w:sz="1"/>
              <w:right w:val="single" w:color="BBBBBB" w:sz="1"/>
            </w:tcBorders>
            <w:shd w:fill="FFF2CC" w:val="clear"/>
            <w:tcMar>
              <w:top w:type="dxa" w:w="180"/>
              <w:left w:type="dxa" w:w="280"/>
              <w:bottom w:type="dxa" w:w="180"/>
              <w:right w:type="dxa" w:w="280"/>
            </w:tcMar>
          </w:tcPr>
          <w:p>
            <w:pPr>
              <w:spacing w:after="80"/>
            </w:pPr>
            <w:r>
              <w:rPr>
                <w:rFonts w:ascii="Arial" w:cs="Arial" w:eastAsia="Arial" w:hAnsi="Arial"/>
                <w:b/>
                <w:bCs/>
                <w:color w:val="7F6000"/>
                <w:sz w:val="22"/>
                <w:szCs w:val="22"/>
              </w:rPr>
              <w:t xml:space="preserve">Recomendación Final</w:t>
            </w:r>
          </w:p>
          <w:p>
            <w:r>
              <w:rPr>
                <w:rFonts w:ascii="Arial" w:cs="Arial" w:eastAsia="Arial" w:hAnsi="Arial"/>
                <w:color w:val="555500"/>
                <w:sz w:val="19"/>
                <w:szCs w:val="19"/>
              </w:rPr>
              <w:t xml:space="preserve">Azure Event Hubs es una solución madura, probada a escala global y con un ecosistema de integraciones muy amplio dentro de Azure. Es la opción recomendada para organizaciones que ya operan en Azure o que buscan reducir la carga operativa de mantener un cluster Kafka propio. La clave del éxito está en una planeación cuidadosa del número de particiones, el tier correcto según los requerimientos de seguridad y retención, y una estrategia de monitoreo proactiva desde el primer día.</w:t>
            </w:r>
          </w:p>
        </w:tc>
      </w:tr>
    </w:tbl>
    <w:p>
      <w:pPr>
        <w:spacing w:before="300"/>
      </w:pP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C0" w:sz="4"/>
      </w:pBdr>
      <w:spacing w:before="60"/>
      <w:jc w:val="center"/>
    </w:pPr>
    <w:r>
      <w:rPr>
        <w:rFonts w:ascii="Arial" w:cs="Arial" w:eastAsia="Arial" w:hAnsi="Arial"/>
        <w:color w:val="595959"/>
        <w:sz w:val="17"/>
        <w:szCs w:val="17"/>
      </w:rPr>
      <w:t xml:space="preserve">Confidencial – Uso Interno  |  Marzo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C0" w:sz="6"/>
      </w:pBdr>
      <w:spacing w:after="80"/>
    </w:pPr>
    <w:r>
      <w:rPr>
        <w:rFonts w:ascii="Arial" w:cs="Arial" w:eastAsia="Arial" w:hAnsi="Arial"/>
        <w:b/>
        <w:bCs/>
        <w:color w:val="002060"/>
        <w:sz w:val="19"/>
        <w:szCs w:val="19"/>
      </w:rPr>
      <w:t xml:space="preserve">Azure Event Hubs</w:t>
    </w:r>
    <w:r>
      <w:rPr>
        <w:rFonts w:ascii="Arial" w:cs="Arial" w:eastAsia="Arial" w:hAnsi="Arial"/>
        <w:color w:val="595959"/>
        <w:sz w:val="18"/>
        <w:szCs w:val="18"/>
      </w:rPr>
      <w:t xml:space="preserve">  |  Resumen Ejecutivo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2060"/>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2026-03-12T05:34:18.818Z</dcterms:created>
  <dcterms:modified xsi:type="dcterms:W3CDTF">2026-03-12T05:34:18.819Z</dcterms:modified>
</cp:coreProperties>
</file>

<file path=docProps/custom.xml><?xml version="1.0" encoding="utf-8"?>
<Properties xmlns="http://schemas.openxmlformats.org/officeDocument/2006/custom-properties" xmlns:vt="http://schemas.openxmlformats.org/officeDocument/2006/docPropsVTypes"/>
</file>