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
      </w:pPr>
      <w:r>
        <w:t xml:space="preserve"/>
      </w:r>
    </w:p>
    <w:p>
      <w:pPr>
        <w:spacing w:after="40" w:before="0"/>
        <w:jc w:val="center"/>
      </w:pPr>
      <w:r>
        <w:rPr>
          <w:rFonts w:ascii="Calibri" w:cs="Calibri" w:eastAsia="Calibri" w:hAnsi="Calibri"/>
          <w:b/>
          <w:bCs/>
          <w:color w:val="0D2137"/>
          <w:sz w:val="56"/>
          <w:szCs w:val="56"/>
        </w:rPr>
        <w:t xml:space="preserve">ESTRATEGIA DE PROYECTO</w:t>
      </w:r>
    </w:p>
    <w:p>
      <w:pPr>
        <w:pBdr>
          <w:bottom w:val="single" w:color="1565C0" w:sz="8" w:space="6"/>
        </w:pBdr>
        <w:spacing w:after="40" w:before="0"/>
        <w:jc w:val="center"/>
      </w:pPr>
      <w:r>
        <w:rPr>
          <w:rFonts w:ascii="Calibri" w:cs="Calibri" w:eastAsia="Calibri" w:hAnsi="Calibri"/>
          <w:color w:val="1565C0"/>
          <w:sz w:val="32"/>
          <w:szCs w:val="32"/>
        </w:rPr>
        <w:t xml:space="preserve">Migración de Log Shipping → SQL Server Always On</w:t>
      </w:r>
    </w:p>
    <w:p>
      <w:pPr>
        <w:spacing w:after="0" w:before="70"/>
      </w:pPr>
      <w:r>
        <w:t xml:space="preserve"/>
      </w:r>
    </w:p>
    <w:p>
      <w:pPr>
        <w:jc w:val="center"/>
      </w:pPr>
      <w:r>
        <w:rPr>
          <w:rFonts w:ascii="Calibri" w:cs="Calibri" w:eastAsia="Calibri" w:hAnsi="Calibri"/>
          <w:i/>
          <w:iCs/>
          <w:color w:val="555555"/>
          <w:sz w:val="22"/>
          <w:szCs w:val="22"/>
        </w:rPr>
        <w:t xml:space="preserve">Modalidad: Tiempo y Materiales (T&amp;M)  ·  20 Bases de Datos  ·  ~100 GB  ·  ≈ 300 Horas</w:t>
      </w:r>
    </w:p>
    <w:p>
      <w:pPr>
        <w:spacing w:after="0" w:before="21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c>
          <w:tcPr>
            <w:tcW w:type="dxa" w:w="30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Parámetro</w:t>
            </w:r>
          </w:p>
        </w:tc>
        <w:tc>
          <w:tcPr>
            <w:tcW w:type="dxa" w:w="52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Valor</w:t>
            </w:r>
          </w:p>
        </w:tc>
      </w:tr>
      <w:tr>
        <w:tc>
          <w:tcPr>
            <w:tcW w:type="dxa" w:w="30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Origen</w:t>
            </w:r>
          </w:p>
        </w:tc>
        <w:tc>
          <w:tcPr>
            <w:tcW w:type="dxa" w:w="5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SQL Server — Standalone con Log Shipping activo</w:t>
            </w:r>
          </w:p>
        </w:tc>
      </w:tr>
      <w:tr>
        <w:tc>
          <w:tcPr>
            <w:tcW w:type="dxa" w:w="3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Destino</w:t>
            </w:r>
          </w:p>
        </w:tc>
        <w:tc>
          <w:tcPr>
            <w:tcW w:type="dxa" w:w="5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SQL Server 2022 Enterprise — Always On Availability Groups</w:t>
            </w:r>
          </w:p>
        </w:tc>
      </w:tr>
      <w:tr>
        <w:tc>
          <w:tcPr>
            <w:tcW w:type="dxa" w:w="30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Bases de datos</w:t>
            </w:r>
          </w:p>
        </w:tc>
        <w:tc>
          <w:tcPr>
            <w:tcW w:type="dxa" w:w="5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20 bases de datos productivas (~100 GB total estimado)</w:t>
            </w:r>
          </w:p>
        </w:tc>
      </w:tr>
      <w:tr>
        <w:tc>
          <w:tcPr>
            <w:tcW w:type="dxa" w:w="3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Modalidad de servicio</w:t>
            </w:r>
          </w:p>
        </w:tc>
        <w:tc>
          <w:tcPr>
            <w:tcW w:type="dxa" w:w="5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Tiempo y Materiales (T&amp;M) — Horas ejecutadas y documentadas</w:t>
            </w:r>
          </w:p>
        </w:tc>
      </w:tr>
      <w:tr>
        <w:tc>
          <w:tcPr>
            <w:tcW w:type="dxa" w:w="30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bCs/>
                <w:color w:val="1565C0"/>
                <w:sz w:val="18"/>
                <w:szCs w:val="18"/>
              </w:rPr>
              <w:t xml:space="preserve">Esfuerzo total estimado</w:t>
            </w:r>
          </w:p>
        </w:tc>
        <w:tc>
          <w:tcPr>
            <w:tcW w:type="dxa" w:w="5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bCs/>
                <w:color w:val="1565C0"/>
                <w:sz w:val="18"/>
                <w:szCs w:val="18"/>
              </w:rPr>
              <w:t xml:space="preserve">≈ 300 horas distribuidas en 4 perfiles (DBA, Infraestructura, Dev, PM)</w:t>
            </w:r>
          </w:p>
        </w:tc>
      </w:tr>
      <w:tr>
        <w:tc>
          <w:tcPr>
            <w:tcW w:type="dxa" w:w="3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Duración estimada</w:t>
            </w:r>
          </w:p>
        </w:tc>
        <w:tc>
          <w:tcPr>
            <w:tcW w:type="dxa" w:w="5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12 semanas (~3 meses) desde kick-off hasta cierre</w:t>
            </w:r>
          </w:p>
        </w:tc>
      </w:tr>
      <w:tr>
        <w:tc>
          <w:tcPr>
            <w:tcW w:type="dxa" w:w="30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Documento preparado por</w:t>
            </w:r>
          </w:p>
        </w:tc>
        <w:tc>
          <w:tcPr>
            <w:tcW w:type="dxa" w:w="5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[Nombre del consultor / empresa]</w:t>
            </w:r>
          </w:p>
        </w:tc>
      </w:tr>
      <w:tr>
        <w:tc>
          <w:tcPr>
            <w:tcW w:type="dxa" w:w="3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Versión</w:t>
            </w:r>
          </w:p>
        </w:tc>
        <w:tc>
          <w:tcPr>
            <w:tcW w:type="dxa" w:w="5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1.0 — Propuesta inicial</w:t>
            </w:r>
          </w:p>
        </w:tc>
      </w:tr>
    </w:tbl>
    <w:p>
      <w:r>
        <w:br w:type="page"/>
      </w:r>
    </w:p>
    <w:p>
      <w:pPr>
        <w:pBdr>
          <w:left w:val="single" w:color="FFD600" w:sz="16" w:space="4"/>
        </w:pBdr>
        <w:shd w:fill="1A1F26" w:val="clear"/>
        <w:spacing w:after="80" w:before="0"/>
      </w:pPr>
      <w:r>
        <w:rPr>
          <w:rFonts w:ascii="Calibri" w:cs="Calibri" w:eastAsia="Calibri" w:hAnsi="Calibri"/>
          <w:b/>
          <w:bCs/>
          <w:color w:val="FFD600"/>
          <w:sz w:val="20"/>
          <w:szCs w:val="20"/>
        </w:rPr>
        <w:t xml:space="preserve">  📌  NOTA INTERNA PARA EL CONSULTOR — No compartir con el cliente en esta versión</w:t>
      </w:r>
    </w:p>
    <w:p>
      <w:pPr>
        <w:shd w:fill="1A1F26" w:val="clear"/>
        <w:spacing w:after="40" w:before="80"/>
      </w:pPr>
      <w:r>
        <w:rPr>
          <w:rFonts w:ascii="Calibri" w:cs="Calibri" w:eastAsia="Calibri" w:hAnsi="Calibri"/>
          <w:i/>
          <w:iCs/>
          <w:color w:val="A0AEC0"/>
          <w:sz w:val="17"/>
          <w:szCs w:val="17"/>
        </w:rPr>
        <w:t xml:space="preserve">  Este documento cumple dos propósitos: (1) es tu herramienta para estimar y vender el proyecto correctamente bajo modalidad T&amp;M, y (2) una vez limpio de notas internas, es el documento que presentas al cliente para que entienda la complejidad real. La sección '¿Por qué Always On NO es un checkbox?' está diseñada específicamente para gestionar las expectativas del cliente sin sonar confrontacional — se presenta como educación técnica, no como crítica.</w:t>
      </w:r>
    </w:p>
    <w:p>
      <w:pPr>
        <w:shd w:fill="1A1F26" w:val="clear"/>
        <w:spacing w:after="80" w:before="40"/>
      </w:pPr>
      <w:r>
        <w:rPr>
          <w:rFonts w:ascii="Calibri" w:cs="Calibri" w:eastAsia="Calibri" w:hAnsi="Calibri"/>
          <w:i/>
          <w:iCs/>
          <w:color w:val="A0AEC0"/>
          <w:sz w:val="17"/>
          <w:szCs w:val="17"/>
        </w:rPr>
        <w:t xml:space="preserve">  Estrategia de presentación recomendada: Presenta primero el Gantt y el desglose de horas. Si el cliente cuestiona el tiempo, muéstrale la tabla de la Sección 1 (checkbox vs realidad). Si aún así resiste, recuerda: los proyectos subdimensionados terminan siendo más costosos y dañan la relación. Un cliente bien informado es un cliente que vuelve.</w:t>
      </w:r>
    </w:p>
    <w:p>
      <w:pPr>
        <w:spacing w:after="0" w:before="140"/>
      </w:pPr>
      <w:r>
        <w:t xml:space="preserve"/>
      </w:r>
    </w:p>
    <w:p>
      <w:pPr>
        <w:shd w:fill="B71C1C" w:val="clear"/>
        <w:spacing w:after="0" w:before="300"/>
      </w:pPr>
      <w:r>
        <w:rPr>
          <w:rFonts w:ascii="Calibri" w:cs="Calibri" w:eastAsia="Calibri" w:hAnsi="Calibri"/>
          <w:b/>
          <w:bCs/>
          <w:color w:val="FFFFFF"/>
          <w:sz w:val="28"/>
          <w:szCs w:val="28"/>
        </w:rPr>
        <w:t xml:space="preserve">  ⚠️  1.  ¿Por qué Always On NO es un 'checkbox'?  </w:t>
      </w:r>
    </w:p>
    <w:p>
      <w:pPr>
        <w:shd w:fill="B71C1C" w:val="clear"/>
        <w:spacing w:after="100" w:before="0"/>
      </w:pPr>
      <w:r>
        <w:rPr>
          <w:rFonts w:ascii="Calibri" w:cs="Calibri" w:eastAsia="Calibri" w:hAnsi="Calibri"/>
          <w:i/>
          <w:iCs/>
          <w:color w:val="CCDDEE"/>
          <w:sz w:val="17"/>
          <w:szCs w:val="17"/>
        </w:rPr>
        <w:t xml:space="preserve">       Gestión de expectativas técnicas — para compartir con el cliente  </w:t>
      </w:r>
    </w:p>
    <w:p>
      <w:pPr>
        <w:spacing w:after="0" w:before="70"/>
      </w:pPr>
      <w:r>
        <w:t xml:space="preserve"/>
      </w:r>
    </w:p>
    <w:p>
      <w:pPr>
        <w:spacing w:after="60" w:before="60"/>
      </w:pPr>
      <w:r>
        <w:rPr>
          <w:rFonts w:ascii="Calibri" w:cs="Calibri" w:eastAsia="Calibri" w:hAnsi="Calibri"/>
          <w:color w:val="1A1A2E"/>
          <w:sz w:val="20"/>
          <w:szCs w:val="20"/>
        </w:rPr>
        <w:t xml:space="preserve">Uno de los malentendidos más comunes sobre SQL Server Always On es creer que se trata simplemente de activar una opción en la configuración del servidor. En realidad, Always On Availability Groups es una solución de alta disponibilidad y recuperación ante desastres que requiere la instalación, configuración e integración de múltiples componentes de infraestructura, base de datos, red y aplicación.</w:t>
      </w:r>
    </w:p>
    <w:p>
      <w:pPr>
        <w:spacing w:after="0" w:before="70"/>
      </w:pPr>
      <w:r>
        <w:t xml:space="preserve"/>
      </w:r>
    </w:p>
    <w:p>
      <w:pPr>
        <w:spacing w:after="60" w:before="60"/>
      </w:pPr>
      <w:r>
        <w:rPr>
          <w:rFonts w:ascii="Calibri" w:cs="Calibri" w:eastAsia="Calibri" w:hAnsi="Calibri"/>
          <w:color w:val="1A1A2E"/>
          <w:sz w:val="20"/>
          <w:szCs w:val="20"/>
        </w:rPr>
        <w:t xml:space="preserve">La siguiente tabla muestra la diferencia entre la percepción inicial y la realidad técnica de cada aspecto del proyecto:</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E9E9E" w:sz="4"/>
              <w:left w:val="single" w:color="9E9E9E" w:sz="4"/>
              <w:bottom w:val="single" w:color="9E9E9E" w:sz="4"/>
              <w:right w:val="single" w:color="9E9E9E" w:sz="4"/>
            </w:tcBorders>
            <w:shd w:fill="9E9E9E"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Lo que el cliente cree</w:t>
            </w:r>
          </w:p>
        </w:tc>
        <w:tc>
          <w:tcPr>
            <w:tcW w:type="dxa" w:w="308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La realidad técnica</w:t>
            </w:r>
          </w:p>
        </w:tc>
        <w:tc>
          <w:tcPr>
            <w:tcW w:type="dxa" w:w="3080"/>
            <w:tcBorders>
              <w:top w:val="single" w:color="E65100" w:sz="4"/>
              <w:left w:val="single" w:color="E65100" w:sz="4"/>
              <w:bottom w:val="single" w:color="E65100" w:sz="4"/>
              <w:right w:val="single" w:color="E65100" w:sz="4"/>
            </w:tcBorders>
            <w:shd w:fill="E65100"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Impacto si se ignora</w:t>
            </w:r>
          </w:p>
        </w:tc>
      </w:tr>
      <w:tr>
        <w:tc>
          <w:tcPr>
            <w:tcW w:type="dxa" w:w="3200"/>
            <w:tcBorders>
              <w:top w:val="single" w:color="CFD8DC" w:sz="4"/>
              <w:left w:val="single" w:color="CFD8DC" w:sz="4"/>
              <w:bottom w:val="single" w:color="CFD8DC" w:sz="4"/>
              <w:right w:val="single" w:color="CFD8DC" w:sz="4"/>
            </w:tcBorders>
            <w:shd w:fill="FFF8F8" w:val="clear"/>
            <w:tcMar>
              <w:top w:type="dxa" w:w="80"/>
              <w:left w:type="dxa" w:w="120"/>
              <w:bottom w:type="dxa" w:w="80"/>
              <w:right w:type="dxa" w:w="120"/>
            </w:tcMar>
            <w:vAlign w:val="center"/>
          </w:tcPr>
          <w:p>
            <w:pPr>
              <w:jc w:val="left"/>
            </w:pPr>
            <w:r>
              <w:rPr>
                <w:rFonts w:ascii="Calibri" w:cs="Calibri" w:eastAsia="Calibri" w:hAnsi="Calibri"/>
                <w:b/>
                <w:bCs/>
                <w:color w:val="B71C1C"/>
                <w:sz w:val="18"/>
                <w:szCs w:val="18"/>
              </w:rPr>
              <w:t xml:space="preserve">"Solo activo Always On en SQL Configuration Manager"</w:t>
            </w:r>
          </w:p>
        </w:tc>
        <w:tc>
          <w:tcPr>
            <w:tcW w:type="dxa" w:w="30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Requiere WSFC, endpoints, AG, Listener, Read-Only Routing, objetos de instancia en cada nodo</w:t>
            </w:r>
          </w:p>
        </w:tc>
        <w:tc>
          <w:tcPr>
            <w:tcW w:type="dxa" w:w="30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E65100"/>
                <w:sz w:val="18"/>
                <w:szCs w:val="18"/>
              </w:rPr>
              <w:t xml:space="preserve">El AG no se puede crear sin WSFC. Sin Listener las apps no hacen failover automático.</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B71C1C"/>
                <w:sz w:val="18"/>
                <w:szCs w:val="18"/>
              </w:rPr>
              <w:t xml:space="preserve">"Las bases de datos se sincronizan solas"</w:t>
            </w:r>
          </w:p>
        </w:tc>
        <w:tc>
          <w:tcPr>
            <w:tcW w:type="dxa" w:w="30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Cada BD debe: estar en modo FULL, tener backup base, restaurarse con NORECOVERY en cada réplica, y luego unirse al AG</w:t>
            </w:r>
          </w:p>
        </w:tc>
        <w:tc>
          <w:tcPr>
            <w:tcW w:type="dxa" w:w="30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E65100"/>
                <w:sz w:val="18"/>
                <w:szCs w:val="18"/>
              </w:rPr>
              <w:t xml:space="preserve">BDs en modo SIMPLE no pueden unirse. Sin seed manual el AG no inicia.</w:t>
            </w:r>
          </w:p>
        </w:tc>
      </w:tr>
      <w:tr>
        <w:tc>
          <w:tcPr>
            <w:tcW w:type="dxa" w:w="3200"/>
            <w:tcBorders>
              <w:top w:val="single" w:color="CFD8DC" w:sz="4"/>
              <w:left w:val="single" w:color="CFD8DC" w:sz="4"/>
              <w:bottom w:val="single" w:color="CFD8DC" w:sz="4"/>
              <w:right w:val="single" w:color="CFD8DC" w:sz="4"/>
            </w:tcBorders>
            <w:shd w:fill="FFF8F8" w:val="clear"/>
            <w:tcMar>
              <w:top w:type="dxa" w:w="80"/>
              <w:left w:type="dxa" w:w="120"/>
              <w:bottom w:type="dxa" w:w="80"/>
              <w:right w:type="dxa" w:w="120"/>
            </w:tcMar>
            <w:vAlign w:val="center"/>
          </w:tcPr>
          <w:p>
            <w:pPr>
              <w:jc w:val="left"/>
            </w:pPr>
            <w:r>
              <w:rPr>
                <w:rFonts w:ascii="Calibri" w:cs="Calibri" w:eastAsia="Calibri" w:hAnsi="Calibri"/>
                <w:b/>
                <w:bCs/>
                <w:color w:val="B71C1C"/>
                <w:sz w:val="18"/>
                <w:szCs w:val="18"/>
              </w:rPr>
              <w:t xml:space="preserve">"Las aplicaciones se conectan igual que antes"</w:t>
            </w:r>
          </w:p>
        </w:tc>
        <w:tc>
          <w:tcPr>
            <w:tcW w:type="dxa" w:w="30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Todas las cadenas de conexión deben apuntar al AG Listener con MultiSubnetFailover=True y ApplicationIntent según lectura/escritura</w:t>
            </w:r>
          </w:p>
        </w:tc>
        <w:tc>
          <w:tcPr>
            <w:tcW w:type="dxa" w:w="30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E65100"/>
                <w:sz w:val="18"/>
                <w:szCs w:val="18"/>
              </w:rPr>
              <w:t xml:space="preserve">Sin MultiSubnetFailover=True la app puede tardar 60+ seg en detectar el failover.</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B71C1C"/>
                <w:sz w:val="18"/>
                <w:szCs w:val="18"/>
              </w:rPr>
              <w:t xml:space="preserve">"El failover es instantáneo y transparente"</w:t>
            </w:r>
          </w:p>
        </w:tc>
        <w:tc>
          <w:tcPr>
            <w:tcW w:type="dxa" w:w="30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El failover automático (síncrono) tarda 15-30 seg. Requiere que la app maneje reconexión correctamente</w:t>
            </w:r>
          </w:p>
        </w:tc>
        <w:tc>
          <w:tcPr>
            <w:tcW w:type="dxa" w:w="30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E65100"/>
                <w:sz w:val="18"/>
                <w:szCs w:val="18"/>
              </w:rPr>
              <w:t xml:space="preserve">Apps sin retry logic fallarán al momento del failover aunque el AG esté bien configurado.</w:t>
            </w:r>
          </w:p>
        </w:tc>
      </w:tr>
      <w:tr>
        <w:tc>
          <w:tcPr>
            <w:tcW w:type="dxa" w:w="3200"/>
            <w:tcBorders>
              <w:top w:val="single" w:color="CFD8DC" w:sz="4"/>
              <w:left w:val="single" w:color="CFD8DC" w:sz="4"/>
              <w:bottom w:val="single" w:color="CFD8DC" w:sz="4"/>
              <w:right w:val="single" w:color="CFD8DC" w:sz="4"/>
            </w:tcBorders>
            <w:shd w:fill="FFF8F8" w:val="clear"/>
            <w:tcMar>
              <w:top w:type="dxa" w:w="80"/>
              <w:left w:type="dxa" w:w="120"/>
              <w:bottom w:type="dxa" w:w="80"/>
              <w:right w:type="dxa" w:w="120"/>
            </w:tcMar>
            <w:vAlign w:val="center"/>
          </w:tcPr>
          <w:p>
            <w:pPr>
              <w:jc w:val="left"/>
            </w:pPr>
            <w:r>
              <w:rPr>
                <w:rFonts w:ascii="Calibri" w:cs="Calibri" w:eastAsia="Calibri" w:hAnsi="Calibri"/>
                <w:b/>
                <w:bCs/>
                <w:color w:val="B71C1C"/>
                <w:sz w:val="18"/>
                <w:szCs w:val="18"/>
              </w:rPr>
              <w:t xml:space="preserve">"Logins y jobs se replican automáticamente"</w:t>
            </w:r>
          </w:p>
        </w:tc>
        <w:tc>
          <w:tcPr>
            <w:tcW w:type="dxa" w:w="30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Logins SQL, SQL Agent Jobs, Linked Servers y credenciales NO se replican. Deben crearse manualmente en cada réplica</w:t>
            </w:r>
          </w:p>
        </w:tc>
        <w:tc>
          <w:tcPr>
            <w:tcW w:type="dxa" w:w="30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E65100"/>
                <w:sz w:val="18"/>
                <w:szCs w:val="18"/>
              </w:rPr>
              <w:t xml:space="preserve">Post-failover, los usuarios no podrán acceder y los jobs de mantenimiento no correrán en el nuevo primario.</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B71C1C"/>
                <w:sz w:val="18"/>
                <w:szCs w:val="18"/>
              </w:rPr>
              <w:t xml:space="preserve">"El proceso toma 1-2 días"</w:t>
            </w:r>
          </w:p>
        </w:tc>
        <w:tc>
          <w:tcPr>
            <w:tcW w:type="dxa" w:w="30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El proceso involucra: diagnóstico, WSFC, AG, seed de 20 BDs, pruebas de failover, actualización de apps, cutover y monitoreo</w:t>
            </w:r>
          </w:p>
        </w:tc>
        <w:tc>
          <w:tcPr>
            <w:tcW w:type="dxa" w:w="30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E65100"/>
                <w:sz w:val="18"/>
                <w:szCs w:val="18"/>
              </w:rPr>
              <w:t xml:space="preserve">Sin diagnóstico previo, errores inesperados pueden extender el proyecto semanas.</w:t>
            </w:r>
          </w:p>
        </w:tc>
      </w:tr>
    </w:tbl>
    <w:p>
      <w:pPr>
        <w:spacing w:after="0" w:before="70"/>
      </w:pPr>
      <w:r>
        <w:t xml:space="preserve"/>
      </w:r>
    </w:p>
    <w:p>
      <w:pPr>
        <w:pBdr>
          <w:left w:val="single" w:color="B71C1C" w:sz="12" w:space="4"/>
        </w:pBdr>
        <w:shd w:fill="FFEBEE" w:val="clear"/>
        <w:spacing w:after="80" w:before="100"/>
      </w:pPr>
      <w:r>
        <w:rPr>
          <w:rFonts w:ascii="Calibri" w:cs="Calibri" w:eastAsia="Calibri" w:hAnsi="Calibri"/>
          <w:i/>
          <w:iCs/>
          <w:color w:val="B71C1C"/>
          <w:sz w:val="18"/>
          <w:szCs w:val="18"/>
        </w:rPr>
        <w:t xml:space="preserve">  Analogía para el cliente: Migrar de Log Shipping a Always On es equivalente a cambiar el sistema eléctrico completo de un edificio mientras los inquilinos siguen viviendo en él. No es solo 'cambiar un switch' — requiere planear, construir el nuevo circuito en paralelo, probar cada tomacorriente, y luego hacer el corte de forma controlada para que nadie se quede sin luz.</w:t>
      </w:r>
    </w:p>
    <w:p>
      <w:r>
        <w:br w:type="page"/>
      </w:r>
    </w:p>
    <w:p>
      <w:pPr>
        <w:shd w:fill="1565C0" w:val="clear"/>
        <w:spacing w:after="0" w:before="300"/>
      </w:pPr>
      <w:r>
        <w:rPr>
          <w:rFonts w:ascii="Calibri" w:cs="Calibri" w:eastAsia="Calibri" w:hAnsi="Calibri"/>
          <w:b/>
          <w:bCs/>
          <w:color w:val="FFFFFF"/>
          <w:sz w:val="28"/>
          <w:szCs w:val="28"/>
        </w:rPr>
        <w:t xml:space="preserve">  🗺️  2.  Estrategia de Migración  </w:t>
      </w:r>
    </w:p>
    <w:p>
      <w:pPr>
        <w:shd w:fill="1565C0" w:val="clear"/>
        <w:spacing w:after="100" w:before="0"/>
      </w:pPr>
      <w:r>
        <w:rPr>
          <w:rFonts w:ascii="Calibri" w:cs="Calibri" w:eastAsia="Calibri" w:hAnsi="Calibri"/>
          <w:i/>
          <w:iCs/>
          <w:color w:val="CCDDEE"/>
          <w:sz w:val="17"/>
          <w:szCs w:val="17"/>
        </w:rPr>
        <w:t xml:space="preserve">       Enfoque metodológico lado a lado (Side-by-Side) con pre-seed para minimizar downtime  </w:t>
      </w:r>
    </w:p>
    <w:p>
      <w:pPr>
        <w:spacing w:after="0" w:before="7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2.1  Principio fundamental: construir en paralelo, cortar en ventana</w:t>
      </w:r>
    </w:p>
    <w:p>
      <w:pPr>
        <w:spacing w:after="60" w:before="60"/>
      </w:pPr>
      <w:r>
        <w:rPr>
          <w:rFonts w:ascii="Calibri" w:cs="Calibri" w:eastAsia="Calibri" w:hAnsi="Calibri"/>
          <w:color w:val="1A1A2E"/>
          <w:sz w:val="20"/>
          <w:szCs w:val="20"/>
        </w:rPr>
        <w:t xml:space="preserve">La estrategia elegida es Side-by-Side con pre-seed: el ambiente de Always On se construye completamente en paralelo al Log Shipping existente. El Log Shipping permanece activo hasta el último momento. El corte (cutover) se realiza en una ventana de mantenimiento controlada y con plan de rollback documentado.</w:t>
      </w:r>
    </w:p>
    <w:p>
      <w:pPr>
        <w:spacing w:after="0" w:before="70"/>
      </w:pPr>
      <w:r>
        <w:t xml:space="preserve"/>
      </w:r>
    </w:p>
    <w:p>
      <w:pPr>
        <w:spacing w:after="60" w:before="60"/>
      </w:pPr>
      <w:r>
        <w:rPr>
          <w:rFonts w:ascii="Calibri" w:cs="Calibri" w:eastAsia="Calibri" w:hAnsi="Calibri"/>
          <w:b/>
          <w:bCs/>
          <w:color w:val="1A1A2E"/>
          <w:sz w:val="20"/>
          <w:szCs w:val="20"/>
        </w:rPr>
        <w:t xml:space="preserve">Esta estrategia garantiza:</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Cero pérdida de datos al momento del cutover (RPO = 0 en modo síncrono).</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Mínimo tiempo de inactividad durante la ventana de mantenimiento (downtime &lt; 1 hora).</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Posibilidad de rollback completo al Log Shipping si algo sale mal durante el cutover.</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Validación completa en UAT antes de tocar Producción.</w:t>
      </w:r>
    </w:p>
    <w:p>
      <w:pPr>
        <w:spacing w:after="0" w:before="14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2.2  Por qué Log Shipping y Always On NO pueden coexistir en la misma BD</w:t>
      </w:r>
    </w:p>
    <w:p>
      <w:pPr>
        <w:pBdr>
          <w:left w:val="single" w:color="E65100" w:sz="12" w:space="4"/>
        </w:pBdr>
        <w:shd w:fill="FFF3E0" w:val="clear"/>
        <w:spacing w:after="80" w:before="80"/>
      </w:pPr>
      <w:r>
        <w:rPr>
          <w:rFonts w:ascii="Calibri" w:cs="Calibri" w:eastAsia="Calibri" w:hAnsi="Calibri"/>
          <w:b/>
          <w:bCs/>
          <w:color w:val="E65100"/>
          <w:sz w:val="18"/>
          <w:szCs w:val="18"/>
        </w:rPr>
        <w:t xml:space="preserve">  ⚠️  Punto crítico a comunicar al cliente: El Log Shipping y el Always On AG NO pueden estar activos simultáneamente sobre la misma base de datos. La migración requiere detener formalmente el Log Shipping, completar la sincronización del AG, y luego redirigir las aplicaciones al Listener. Este proceso es el corazón del cutover y es irreversible una vez iniciado.</w:t>
      </w:r>
    </w:p>
    <w:p>
      <w:pPr>
        <w:spacing w:after="0" w:before="70"/>
      </w:pPr>
      <w:r>
        <w:t xml:space="preserve"/>
      </w:r>
    </w:p>
    <w:p>
      <w:pPr>
        <w:spacing w:after="60" w:before="60"/>
      </w:pPr>
      <w:r>
        <w:rPr>
          <w:rFonts w:ascii="Calibri" w:cs="Calibri" w:eastAsia="Calibri" w:hAnsi="Calibri"/>
          <w:color w:val="1A1A2E"/>
          <w:sz w:val="20"/>
          <w:szCs w:val="20"/>
        </w:rPr>
        <w:t xml:space="preserve">El proceso de transición para cada base de datos es:</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Paso 1: Tomar backup FULL de la BD en el servidor origen (Log Shipping activo).</w:t>
      </w:r>
    </w:p>
    <w:p>
      <w:pPr>
        <w:pStyle w:val="ListParagraph"/>
        <w:numPr>
          <w:ilvl w:val="1"/>
          <w:numId w:val="3"/>
        </w:numPr>
        <w:spacing w:after="40" w:before="40"/>
      </w:pPr>
      <w:r>
        <w:rPr>
          <w:rFonts w:ascii="Calibri" w:cs="Calibri" w:eastAsia="Calibri" w:hAnsi="Calibri"/>
          <w:color w:val="455A64"/>
          <w:sz w:val="18"/>
          <w:szCs w:val="18"/>
        </w:rPr>
        <w:t xml:space="preserve">Comando: BACKUP DATABASE [NombreDB] TO DISK = '...\backup.bak' WITH INIT, COMPRESSION, CHECKSUM</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Paso 2: Restaurar la BD en cada réplica del AG con WITH NORECOVERY (pre-seed, días antes del cutover).</w:t>
      </w:r>
    </w:p>
    <w:p>
      <w:pPr>
        <w:pStyle w:val="ListParagraph"/>
        <w:numPr>
          <w:ilvl w:val="1"/>
          <w:numId w:val="3"/>
        </w:numPr>
        <w:spacing w:after="40" w:before="40"/>
      </w:pPr>
      <w:r>
        <w:rPr>
          <w:rFonts w:ascii="Calibri" w:cs="Calibri" w:eastAsia="Calibri" w:hAnsi="Calibri"/>
          <w:color w:val="455A64"/>
          <w:sz w:val="18"/>
          <w:szCs w:val="18"/>
        </w:rPr>
        <w:t xml:space="preserve">Comando: RESTORE DATABASE [NombreDB] FROM DISK = '...\backup.bak' WITH NORECOVERY, MOVE '...', MOVE '...'</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Paso 3: En la ventana de mantenimiento, detener el Log Shipping y tomar backup de LOG final (tail-log).</w:t>
      </w:r>
    </w:p>
    <w:p>
      <w:pPr>
        <w:pStyle w:val="ListParagraph"/>
        <w:numPr>
          <w:ilvl w:val="1"/>
          <w:numId w:val="3"/>
        </w:numPr>
        <w:spacing w:after="40" w:before="40"/>
      </w:pPr>
      <w:r>
        <w:rPr>
          <w:rFonts w:ascii="Calibri" w:cs="Calibri" w:eastAsia="Calibri" w:hAnsi="Calibri"/>
          <w:color w:val="455A64"/>
          <w:sz w:val="18"/>
          <w:szCs w:val="18"/>
        </w:rPr>
        <w:t xml:space="preserve">Comando: BACKUP LOG [NombreDB] TO DISK = '...\taillog.bak' WITH NORECOVERY</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Paso 4: Restaurar el tail-log en las réplicas y agregar la BD al Availability Group.</w:t>
      </w:r>
    </w:p>
    <w:p>
      <w:pPr>
        <w:pStyle w:val="ListParagraph"/>
        <w:numPr>
          <w:ilvl w:val="1"/>
          <w:numId w:val="3"/>
        </w:numPr>
        <w:spacing w:after="40" w:before="40"/>
      </w:pPr>
      <w:r>
        <w:rPr>
          <w:rFonts w:ascii="Calibri" w:cs="Calibri" w:eastAsia="Calibri" w:hAnsi="Calibri"/>
          <w:color w:val="455A64"/>
          <w:sz w:val="18"/>
          <w:szCs w:val="18"/>
        </w:rPr>
        <w:t xml:space="preserve">Comando: ALTER AVAILABILITY GROUP [AG_Nombre] ADD DATABASE [NombreDB]</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Paso 5: Desde cada réplica secundaria, unir la BD al AG.</w:t>
      </w:r>
    </w:p>
    <w:p>
      <w:pPr>
        <w:pStyle w:val="ListParagraph"/>
        <w:numPr>
          <w:ilvl w:val="1"/>
          <w:numId w:val="3"/>
        </w:numPr>
        <w:spacing w:after="40" w:before="40"/>
      </w:pPr>
      <w:r>
        <w:rPr>
          <w:rFonts w:ascii="Calibri" w:cs="Calibri" w:eastAsia="Calibri" w:hAnsi="Calibri"/>
          <w:color w:val="455A64"/>
          <w:sz w:val="18"/>
          <w:szCs w:val="18"/>
        </w:rPr>
        <w:t xml:space="preserve">Comando: ALTER DATABASE [NombreDB] SET HADR AVAILABILITY GROUP = [AG_Nombre]</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Paso 6: Verificar sincronización: estado debe ser SYNCHRONIZED con log send queue = 0.</w:t>
      </w:r>
    </w:p>
    <w:p>
      <w:pPr>
        <w:spacing w:after="0" w:before="14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2.3  Cadenas de conexión — el cambio más impactante para las aplicaciones</w:t>
      </w:r>
    </w:p>
    <w:p>
      <w:pPr>
        <w:spacing w:after="60" w:before="60"/>
      </w:pPr>
      <w:r>
        <w:rPr>
          <w:rFonts w:ascii="Calibri" w:cs="Calibri" w:eastAsia="Calibri" w:hAnsi="Calibri"/>
          <w:color w:val="1A1A2E"/>
          <w:sz w:val="20"/>
          <w:szCs w:val="20"/>
        </w:rPr>
        <w:t xml:space="preserve">Cada aplicación que hoy apunta directamente al servidor SQL debe actualizarse para apuntar al AG Listener. Este es el cambio con mayor superficie de impacto y el que más coordinación requiere con los equipos de desarrollo:</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80"/>
        <w:gridCol w:w="4380"/>
      </w:tblGrid>
      <w:tr>
        <w:tc>
          <w:tcPr>
            <w:tcW w:type="dxa" w:w="12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Tipo</w:t>
            </w:r>
          </w:p>
        </w:tc>
        <w:tc>
          <w:tcPr>
            <w:tcW w:type="dxa" w:w="378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ANTES — Cadena Standalone / Log Shipping</w:t>
            </w:r>
          </w:p>
        </w:tc>
        <w:tc>
          <w:tcPr>
            <w:tcW w:type="dxa" w:w="4380"/>
            <w:tcBorders>
              <w:top w:val="single" w:color="1B5E20" w:sz="4"/>
              <w:left w:val="single" w:color="1B5E20" w:sz="4"/>
              <w:bottom w:val="single" w:color="1B5E20" w:sz="4"/>
              <w:right w:val="single" w:color="1B5E20" w:sz="4"/>
            </w:tcBorders>
            <w:shd w:fill="1B5E20"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DESPUÉS — Cadena Always On Listener</w:t>
            </w:r>
          </w:p>
        </w:tc>
      </w:tr>
      <w:tr>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Lectura / Escritura</w:t>
            </w:r>
          </w:p>
        </w:tc>
        <w:tc>
          <w:tcPr>
            <w:tcW w:type="dxa" w:w="37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B71C1C"/>
                <w:sz w:val="18"/>
                <w:szCs w:val="18"/>
              </w:rPr>
              <w:t xml:space="preserve">Server=SQL-PROD-01;Database=MiDB;Integrated Security=True;</w:t>
            </w:r>
          </w:p>
        </w:tc>
        <w:tc>
          <w:tcPr>
            <w:tcW w:type="dxa" w:w="43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val="false"/>
                <w:bCs w:val="false"/>
                <w:color w:val="1B5E20"/>
                <w:sz w:val="18"/>
                <w:szCs w:val="18"/>
              </w:rPr>
              <w:t xml:space="preserve">Server=AG-LISTENER,1433;Database=MiDB;Integrated Security=True;MultiSubnetFailover=True;</w:t>
            </w:r>
          </w:p>
        </w:tc>
      </w:tr>
      <w:tr>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Solo Lectura
(Reportes/BI)</w:t>
            </w:r>
          </w:p>
        </w:tc>
        <w:tc>
          <w:tcPr>
            <w:tcW w:type="dxa" w:w="37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B71C1C"/>
                <w:sz w:val="18"/>
                <w:szCs w:val="18"/>
              </w:rPr>
              <w:t xml:space="preserve">Server=SQL-PROD-01-SEC;Database=MiDB;Integrated Security=True;
(Conexión directa al secundario de LS)</w:t>
            </w:r>
          </w:p>
        </w:tc>
        <w:tc>
          <w:tcPr>
            <w:tcW w:type="dxa" w:w="43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val="false"/>
                <w:bCs w:val="false"/>
                <w:color w:val="1B5E20"/>
                <w:sz w:val="18"/>
                <w:szCs w:val="18"/>
              </w:rPr>
              <w:t xml:space="preserve">Server=AG-LISTENER,1433;Database=MiDB;Integrated Security=True;MultiSubnetFailover=True;ApplicationIntent=ReadOnly;</w:t>
            </w:r>
          </w:p>
        </w:tc>
      </w:tr>
    </w:tbl>
    <w:p>
      <w:r>
        <w:br w:type="page"/>
      </w:r>
    </w:p>
    <w:p>
      <w:pPr>
        <w:shd w:fill="1B5E20" w:val="clear"/>
        <w:spacing w:after="0" w:before="300"/>
      </w:pPr>
      <w:r>
        <w:rPr>
          <w:rFonts w:ascii="Calibri" w:cs="Calibri" w:eastAsia="Calibri" w:hAnsi="Calibri"/>
          <w:b/>
          <w:bCs/>
          <w:color w:val="FFFFFF"/>
          <w:sz w:val="28"/>
          <w:szCs w:val="28"/>
        </w:rPr>
        <w:t xml:space="preserve">  📋  3.  Plan de Actividades y Desglose de Horas (T&amp;M)  </w:t>
      </w:r>
    </w:p>
    <w:p>
      <w:pPr>
        <w:shd w:fill="1B5E20" w:val="clear"/>
        <w:spacing w:after="100" w:before="0"/>
      </w:pPr>
      <w:r>
        <w:rPr>
          <w:rFonts w:ascii="Calibri" w:cs="Calibri" w:eastAsia="Calibri" w:hAnsi="Calibri"/>
          <w:i/>
          <w:iCs/>
          <w:color w:val="CCDDEE"/>
          <w:sz w:val="17"/>
          <w:szCs w:val="17"/>
        </w:rPr>
        <w:t xml:space="preserve">       Estimación detallada: 20 BDs · ~100 GB · 4 perfiles · ≈ 300 horas  </w:t>
      </w:r>
    </w:p>
    <w:p>
      <w:pPr>
        <w:spacing w:after="0" w:before="70"/>
      </w:pPr>
      <w:r>
        <w:t xml:space="preserve"/>
      </w:r>
    </w:p>
    <w:p>
      <w:pPr>
        <w:spacing w:after="60" w:before="60"/>
      </w:pPr>
      <w:r>
        <w:rPr>
          <w:rFonts w:ascii="Calibri" w:cs="Calibri" w:eastAsia="Calibri" w:hAnsi="Calibri"/>
          <w:color w:val="1A1A2E"/>
          <w:sz w:val="20"/>
          <w:szCs w:val="20"/>
        </w:rPr>
        <w:t xml:space="preserve">El siguiente desglose presenta cada actividad con el perfil responsable y las horas estimadas bajo modalidad Tiempo y Materiales. Las horas se basan en el inventario conocido (20 BDs, ~100 GB) y pueden ajustarse conforme se complete el levantamiento técnico en la Fase 1.</w:t>
      </w:r>
    </w:p>
    <w:p>
      <w:pPr>
        <w:spacing w:after="0" w:before="7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3.1  Resumen ejecutivo de horas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200"/>
        <w:gridCol w:w="1200"/>
        <w:gridCol w:w="1200"/>
        <w:gridCol w:w="1200"/>
        <w:gridCol w:w="1200"/>
      </w:tblGrid>
      <w:tr>
        <w:tc>
          <w:tcPr>
            <w:tcW w:type="dxa" w:w="56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w:t>
            </w:r>
          </w:p>
        </w:tc>
        <w:tc>
          <w:tcPr>
            <w:tcW w:type="dxa" w:w="26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Fase</w:t>
            </w:r>
          </w:p>
        </w:tc>
        <w:tc>
          <w:tcPr>
            <w:tcW w:type="dxa" w:w="1200"/>
            <w:tcBorders>
              <w:top w:val="single" w:color="1565C0" w:sz="4"/>
              <w:left w:val="single" w:color="1565C0" w:sz="4"/>
              <w:bottom w:val="single" w:color="1565C0" w:sz="4"/>
              <w:right w:val="single" w:color="1565C0" w:sz="4"/>
            </w:tcBorders>
            <w:shd w:fill="1565C0"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DBA Senior</w:t>
            </w:r>
          </w:p>
        </w:tc>
        <w:tc>
          <w:tcPr>
            <w:tcW w:type="dxa" w:w="1200"/>
            <w:tcBorders>
              <w:top w:val="single" w:color="4A148C" w:sz="4"/>
              <w:left w:val="single" w:color="4A148C" w:sz="4"/>
              <w:bottom w:val="single" w:color="4A148C" w:sz="4"/>
              <w:right w:val="single" w:color="4A148C" w:sz="4"/>
            </w:tcBorders>
            <w:shd w:fill="4A148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Arq. Infra</w:t>
            </w:r>
          </w:p>
        </w:tc>
        <w:tc>
          <w:tcPr>
            <w:tcW w:type="dxa" w:w="1200"/>
            <w:tcBorders>
              <w:top w:val="single" w:color="2E7D32" w:sz="4"/>
              <w:left w:val="single" w:color="2E7D32" w:sz="4"/>
              <w:bottom w:val="single" w:color="2E7D32" w:sz="4"/>
              <w:right w:val="single" w:color="2E7D32" w:sz="4"/>
            </w:tcBorders>
            <w:shd w:fill="2E7D32"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Dev / Apps</w:t>
            </w:r>
          </w:p>
        </w:tc>
        <w:tc>
          <w:tcPr>
            <w:tcW w:type="dxa" w:w="1200"/>
            <w:tcBorders>
              <w:top w:val="single" w:color="455A64" w:sz="4"/>
              <w:left w:val="single" w:color="455A64" w:sz="4"/>
              <w:bottom w:val="single" w:color="455A64" w:sz="4"/>
              <w:right w:val="single" w:color="455A64" w:sz="4"/>
            </w:tcBorders>
            <w:shd w:fill="455A64"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PM</w:t>
            </w:r>
          </w:p>
        </w:tc>
        <w:tc>
          <w:tcPr>
            <w:tcW w:type="dxa" w:w="120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Subtotal</w:t>
            </w:r>
          </w:p>
        </w:tc>
      </w:tr>
      <w:tr>
        <w:tc>
          <w:tcPr>
            <w:tcW w:type="dxa" w:w="5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F1</w:t>
            </w:r>
          </w:p>
        </w:tc>
        <w:tc>
          <w:tcPr>
            <w:tcW w:type="dxa" w:w="26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bCs/>
                <w:color w:val="1565C0"/>
                <w:sz w:val="18"/>
                <w:szCs w:val="18"/>
              </w:rPr>
              <w:t xml:space="preserve">Planeación, Inventario y Diseño</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44</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10</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10</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10</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74</w:t>
            </w:r>
          </w:p>
        </w:tc>
      </w:tr>
      <w:tr>
        <w:tc>
          <w:tcPr>
            <w:tcW w:type="dxa" w:w="5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F2</w:t>
            </w:r>
          </w:p>
        </w:tc>
        <w:tc>
          <w:tcPr>
            <w:tcW w:type="dxa" w:w="26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bCs/>
                <w:color w:val="4A148C"/>
                <w:sz w:val="18"/>
                <w:szCs w:val="18"/>
              </w:rPr>
              <w:t xml:space="preserve">Infraestructura WSFC + SQL 2022</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46</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38</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8</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92</w:t>
            </w:r>
          </w:p>
        </w:tc>
      </w:tr>
      <w:tr>
        <w:tc>
          <w:tcPr>
            <w:tcW w:type="dxa" w:w="5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B5E20"/>
                <w:sz w:val="18"/>
                <w:szCs w:val="18"/>
              </w:rPr>
              <w:t xml:space="preserve">F3</w:t>
            </w:r>
          </w:p>
        </w:tc>
        <w:tc>
          <w:tcPr>
            <w:tcW w:type="dxa" w:w="26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Migración de 20 BDs al AG</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36</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6</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4</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B5E20"/>
                <w:sz w:val="18"/>
                <w:szCs w:val="18"/>
              </w:rPr>
              <w:t xml:space="preserve">50</w:t>
            </w:r>
          </w:p>
        </w:tc>
      </w:tr>
      <w:tr>
        <w:tc>
          <w:tcPr>
            <w:tcW w:type="dxa" w:w="5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F4</w:t>
            </w:r>
          </w:p>
        </w:tc>
        <w:tc>
          <w:tcPr>
            <w:tcW w:type="dxa" w:w="26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left"/>
            </w:pPr>
            <w:r>
              <w:rPr>
                <w:rFonts w:ascii="Calibri" w:cs="Calibri" w:eastAsia="Calibri" w:hAnsi="Calibri"/>
                <w:b/>
                <w:bCs/>
                <w:color w:val="006064"/>
                <w:sz w:val="18"/>
                <w:szCs w:val="18"/>
              </w:rPr>
              <w:t xml:space="preserve">Pruebas y Validación</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26</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6</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36</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8</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76</w:t>
            </w:r>
          </w:p>
        </w:tc>
      </w:tr>
      <w:tr>
        <w:tc>
          <w:tcPr>
            <w:tcW w:type="dxa" w:w="5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26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bCs/>
                <w:color w:val="E65100"/>
                <w:sz w:val="18"/>
                <w:szCs w:val="18"/>
              </w:rPr>
              <w:t xml:space="preserve">Cutover a Producción</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20</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8</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10</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42</w:t>
            </w:r>
          </w:p>
        </w:tc>
      </w:tr>
      <w:tr>
        <w:tc>
          <w:tcPr>
            <w:tcW w:type="dxa" w:w="5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F6</w:t>
            </w:r>
          </w:p>
        </w:tc>
        <w:tc>
          <w:tcPr>
            <w:tcW w:type="dxa" w:w="26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455A64"/>
                <w:sz w:val="18"/>
                <w:szCs w:val="18"/>
              </w:rPr>
              <w:t xml:space="preserve">Post-Go-Live y Documentación</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38</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8</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13</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63</w:t>
            </w:r>
          </w:p>
        </w:tc>
      </w:tr>
      <w:tr>
        <w:tc>
          <w:tcPr>
            <w:tcW w:type="dxa" w:w="3160"/>
            <w:tcBorders>
              <w:top w:val="single" w:color="CFD8DC" w:sz="4"/>
              <w:left w:val="single" w:color="CFD8DC" w:sz="4"/>
              <w:bottom w:val="single" w:color="CFD8DC" w:sz="4"/>
              <w:right w:val="single" w:color="CFD8DC" w:sz="4"/>
            </w:tcBorders>
            <w:shd w:fill="1A1A2E" w:val="clear"/>
            <w:tcMar>
              <w:top w:type="dxa" w:w="80"/>
              <w:left w:type="dxa" w:w="120"/>
              <w:bottom w:type="dxa" w:w="80"/>
              <w:right w:type="dxa" w:w="120"/>
            </w:tcMar>
            <w:vAlign w:val="center"/>
          </w:tcPr>
          <w:p>
            <w:pPr>
              <w:jc w:val="right"/>
            </w:pPr>
            <w:r>
              <w:rPr>
                <w:rFonts w:ascii="Calibri" w:cs="Calibri" w:eastAsia="Calibri" w:hAnsi="Calibri"/>
                <w:b/>
                <w:bCs/>
                <w:color w:val="FFFFFF"/>
                <w:sz w:val="18"/>
                <w:szCs w:val="18"/>
              </w:rPr>
              <w:t xml:space="preserve">TOTAL</w:t>
            </w:r>
          </w:p>
        </w:tc>
        <w:tc>
          <w:tcPr>
            <w:tcW w:type="dxa" w:w="1200"/>
            <w:tcBorders>
              <w:top w:val="single" w:color="CFD8DC" w:sz="4"/>
              <w:left w:val="single" w:color="CFD8DC" w:sz="4"/>
              <w:bottom w:val="single" w:color="CFD8DC" w:sz="4"/>
              <w:right w:val="single" w:color="CFD8DC" w:sz="4"/>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210</w:t>
            </w:r>
          </w:p>
        </w:tc>
        <w:tc>
          <w:tcPr>
            <w:tcW w:type="dxa" w:w="1200"/>
            <w:tcBorders>
              <w:top w:val="single" w:color="CFD8DC" w:sz="4"/>
              <w:left w:val="single" w:color="CFD8DC" w:sz="4"/>
              <w:bottom w:val="single" w:color="CFD8DC" w:sz="4"/>
              <w:right w:val="single" w:color="CFD8DC" w:sz="4"/>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72</w:t>
            </w:r>
          </w:p>
        </w:tc>
        <w:tc>
          <w:tcPr>
            <w:tcW w:type="dxa" w:w="1200"/>
            <w:tcBorders>
              <w:top w:val="single" w:color="CFD8DC" w:sz="4"/>
              <w:left w:val="single" w:color="CFD8DC" w:sz="4"/>
              <w:bottom w:val="single" w:color="CFD8DC" w:sz="4"/>
              <w:right w:val="single" w:color="CFD8DC" w:sz="4"/>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62</w:t>
            </w:r>
          </w:p>
        </w:tc>
        <w:tc>
          <w:tcPr>
            <w:tcW w:type="dxa" w:w="1200"/>
            <w:tcBorders>
              <w:top w:val="single" w:color="CFD8DC" w:sz="4"/>
              <w:left w:val="single" w:color="CFD8DC" w:sz="4"/>
              <w:bottom w:val="single" w:color="CFD8DC" w:sz="4"/>
              <w:right w:val="single" w:color="CFD8DC" w:sz="4"/>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53</w:t>
            </w:r>
          </w:p>
        </w:tc>
        <w:tc>
          <w:tcPr>
            <w:tcW w:type="dxa" w:w="1200"/>
            <w:tcBorders>
              <w:top w:val="single" w:color="CFD8DC" w:sz="4"/>
              <w:left w:val="single" w:color="CFD8DC" w:sz="4"/>
              <w:bottom w:val="single" w:color="CFD8DC" w:sz="4"/>
              <w:right w:val="single" w:color="CFD8DC"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 300 hrs</w:t>
            </w:r>
          </w:p>
        </w:tc>
      </w:tr>
    </w:tbl>
    <w:p>
      <w:pPr>
        <w:spacing w:after="0" w:before="70"/>
      </w:pPr>
      <w:r>
        <w:t xml:space="preserve"/>
      </w:r>
    </w:p>
    <w:p>
      <w:pPr>
        <w:shd w:fill="E3F2FD" w:val="clear"/>
        <w:spacing w:after="60" w:before="60"/>
      </w:pPr>
      <w:r>
        <w:rPr>
          <w:rFonts w:ascii="Calibri" w:cs="Calibri" w:eastAsia="Calibri" w:hAnsi="Calibri"/>
          <w:i/>
          <w:iCs/>
          <w:color w:val="1565C0"/>
          <w:sz w:val="17"/>
          <w:szCs w:val="17"/>
        </w:rPr>
        <w:t xml:space="preserve">  💡  Nota T&amp;M: El total de ≈ 300 horas representa el escenario base asumiendo que el cliente provee acceso oportuno, tiene las licencias disponibles y las BDs están en modo FULL. Escenarios con retrasos del cliente o descubrimientos en la Fase 1 pueden incrementar las horas hasta un 20-30%. Se recomienda incluir un buffer del 15% en el contrato.</w:t>
      </w:r>
    </w:p>
    <w:p>
      <w:pPr>
        <w:spacing w:after="0" w:before="14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3.2  Desglose detallado por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3200"/>
        <w:gridCol w:w="1160"/>
        <w:gridCol w:w="1160"/>
        <w:gridCol w:w="1160"/>
        <w:gridCol w:w="1100"/>
        <w:gridCol w:w="1200"/>
      </w:tblGrid>
      <w:tr>
        <w:tc>
          <w:tcPr>
            <w:tcW w:type="dxa" w:w="38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Fase</w:t>
            </w:r>
          </w:p>
        </w:tc>
        <w:tc>
          <w:tcPr>
            <w:tcW w:type="dxa" w:w="32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Actividad</w:t>
            </w:r>
          </w:p>
        </w:tc>
        <w:tc>
          <w:tcPr>
            <w:tcW w:type="dxa" w:w="1160"/>
            <w:tcBorders>
              <w:top w:val="single" w:color="1565C0" w:sz="4"/>
              <w:left w:val="single" w:color="1565C0" w:sz="4"/>
              <w:bottom w:val="single" w:color="1565C0" w:sz="4"/>
              <w:right w:val="single" w:color="1565C0" w:sz="4"/>
            </w:tcBorders>
            <w:shd w:fill="1565C0"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DBA
Senior</w:t>
            </w:r>
          </w:p>
        </w:tc>
        <w:tc>
          <w:tcPr>
            <w:tcW w:type="dxa" w:w="1160"/>
            <w:tcBorders>
              <w:top w:val="single" w:color="4A148C" w:sz="4"/>
              <w:left w:val="single" w:color="4A148C" w:sz="4"/>
              <w:bottom w:val="single" w:color="4A148C" w:sz="4"/>
              <w:right w:val="single" w:color="4A148C" w:sz="4"/>
            </w:tcBorders>
            <w:shd w:fill="4A148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Arq.
Infra</w:t>
            </w:r>
          </w:p>
        </w:tc>
        <w:tc>
          <w:tcPr>
            <w:tcW w:type="dxa" w:w="1160"/>
            <w:tcBorders>
              <w:top w:val="single" w:color="2E7D32" w:sz="4"/>
              <w:left w:val="single" w:color="2E7D32" w:sz="4"/>
              <w:bottom w:val="single" w:color="2E7D32" w:sz="4"/>
              <w:right w:val="single" w:color="2E7D32" w:sz="4"/>
            </w:tcBorders>
            <w:shd w:fill="2E7D32"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Dev /
Apps</w:t>
            </w:r>
          </w:p>
        </w:tc>
        <w:tc>
          <w:tcPr>
            <w:tcW w:type="dxa" w:w="1100"/>
            <w:tcBorders>
              <w:top w:val="single" w:color="455A64" w:sz="4"/>
              <w:left w:val="single" w:color="455A64" w:sz="4"/>
              <w:bottom w:val="single" w:color="455A64" w:sz="4"/>
              <w:right w:val="single" w:color="455A64" w:sz="4"/>
            </w:tcBorders>
            <w:shd w:fill="455A64"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PM</w:t>
            </w:r>
          </w:p>
        </w:tc>
        <w:tc>
          <w:tcPr>
            <w:tcW w:type="dxa" w:w="120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Total
Horas</w:t>
            </w:r>
          </w:p>
        </w:tc>
      </w:tr>
      <w:tr>
        <w:tc>
          <w:tcPr>
            <w:tcW w:type="dxa" w:w="38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F1</w:t>
            </w:r>
          </w:p>
        </w:tc>
        <w:tc>
          <w:tcPr>
            <w:tcW w:type="dxa" w:w="3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Reunión de kick-off y alineación técnica con el cliente</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2</w:t>
            </w:r>
          </w:p>
        </w:tc>
        <w:tc>
          <w:tcPr>
            <w:tcW w:type="dxa" w:w="11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10</w:t>
            </w:r>
          </w:p>
        </w:tc>
      </w:tr>
      <w:tr>
        <w:tc>
          <w:tcPr>
            <w:tcW w:type="dxa" w:w="38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F1</w:t>
            </w:r>
          </w:p>
        </w:tc>
        <w:tc>
          <w:tcPr>
            <w:tcW w:type="dxa" w:w="3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Levantamiento de inventario: BDs, instancias, logins, jobs, cadenas de conexión</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16</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8</w:t>
            </w:r>
          </w:p>
        </w:tc>
        <w:tc>
          <w:tcPr>
            <w:tcW w:type="dxa" w:w="11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30</w:t>
            </w:r>
          </w:p>
        </w:tc>
      </w:tr>
      <w:tr>
        <w:tc>
          <w:tcPr>
            <w:tcW w:type="dxa" w:w="38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F1</w:t>
            </w:r>
          </w:p>
        </w:tc>
        <w:tc>
          <w:tcPr>
            <w:tcW w:type="dxa" w:w="3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Diagnóstico AS-IS: Log Shipping, modo recuperación, compatibilidad, tamaños</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12</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18</w:t>
            </w:r>
          </w:p>
        </w:tc>
      </w:tr>
      <w:tr>
        <w:tc>
          <w:tcPr>
            <w:tcW w:type="dxa" w:w="38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F1</w:t>
            </w:r>
          </w:p>
        </w:tc>
        <w:tc>
          <w:tcPr>
            <w:tcW w:type="dxa" w:w="3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Diseño de arquitectura TO-BE y documento de diseño aprobado</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12</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4</w:t>
            </w:r>
          </w:p>
        </w:tc>
        <w:tc>
          <w:tcPr>
            <w:tcW w:type="dxa" w:w="12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20</w:t>
            </w:r>
          </w:p>
        </w:tc>
      </w:tr>
      <w:tr>
        <w:tc>
          <w:tcPr>
            <w:tcW w:type="dxa" w:w="38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F2</w:t>
            </w:r>
          </w:p>
        </w:tc>
        <w:tc>
          <w:tcPr>
            <w:tcW w:type="dxa" w:w="3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Instalación y configuración de WSFC en nodos</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16</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26</w:t>
            </w:r>
          </w:p>
        </w:tc>
      </w:tr>
      <w:tr>
        <w:tc>
          <w:tcPr>
            <w:tcW w:type="dxa" w:w="38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F2</w:t>
            </w:r>
          </w:p>
        </w:tc>
        <w:tc>
          <w:tcPr>
            <w:tcW w:type="dxa" w:w="3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Instalación / upgrade SQL Server 2022 Enterprise en todos los nodos</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12</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22</w:t>
            </w:r>
          </w:p>
        </w:tc>
      </w:tr>
      <w:tr>
        <w:tc>
          <w:tcPr>
            <w:tcW w:type="dxa" w:w="38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F2</w:t>
            </w:r>
          </w:p>
        </w:tc>
        <w:tc>
          <w:tcPr>
            <w:tcW w:type="dxa" w:w="3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Configuración de endpoints de mirroring (puerto 5022), certificados y cuentas de servicio</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13</w:t>
            </w:r>
          </w:p>
        </w:tc>
      </w:tr>
      <w:tr>
        <w:tc>
          <w:tcPr>
            <w:tcW w:type="dxa" w:w="38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F2</w:t>
            </w:r>
          </w:p>
        </w:tc>
        <w:tc>
          <w:tcPr>
            <w:tcW w:type="dxa" w:w="3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Creación del Availability Group y configuración de réplicas (síncrona + asíncrona DRP)</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16</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22</w:t>
            </w:r>
          </w:p>
        </w:tc>
      </w:tr>
      <w:tr>
        <w:tc>
          <w:tcPr>
            <w:tcW w:type="dxa" w:w="38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4A148C"/>
                <w:sz w:val="18"/>
                <w:szCs w:val="18"/>
              </w:rPr>
              <w:t xml:space="preserve">F2</w:t>
            </w:r>
          </w:p>
        </w:tc>
        <w:tc>
          <w:tcPr>
            <w:tcW w:type="dxa" w:w="3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Creación de AG Listener y configuración de Read-Only Routing</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6</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9</w:t>
            </w:r>
          </w:p>
        </w:tc>
      </w:tr>
      <w:tr>
        <w:tc>
          <w:tcPr>
            <w:tcW w:type="dxa" w:w="3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B5E20"/>
                <w:sz w:val="18"/>
                <w:szCs w:val="18"/>
              </w:rPr>
              <w:t xml:space="preserve">F3</w:t>
            </w:r>
          </w:p>
        </w:tc>
        <w:tc>
          <w:tcPr>
            <w:tcW w:type="dxa" w:w="3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Cambio de modo de recuperación a FULL y backup base de 20 BDs</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6</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7</w:t>
            </w:r>
          </w:p>
        </w:tc>
      </w:tr>
      <w:tr>
        <w:tc>
          <w:tcPr>
            <w:tcW w:type="dxa" w:w="3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B5E20"/>
                <w:sz w:val="18"/>
                <w:szCs w:val="18"/>
              </w:rPr>
              <w:t xml:space="preserve">F3</w:t>
            </w:r>
          </w:p>
        </w:tc>
        <w:tc>
          <w:tcPr>
            <w:tcW w:type="dxa" w:w="3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Pre-seed: backup/restore WITH NORECOVERY de 20 BDs (~100 GB) en réplicas secundarias</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10</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15</w:t>
            </w:r>
          </w:p>
        </w:tc>
      </w:tr>
      <w:tr>
        <w:tc>
          <w:tcPr>
            <w:tcW w:type="dxa" w:w="3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B5E20"/>
                <w:sz w:val="18"/>
                <w:szCs w:val="18"/>
              </w:rPr>
              <w:t xml:space="preserve">F3</w:t>
            </w:r>
          </w:p>
        </w:tc>
        <w:tc>
          <w:tcPr>
            <w:tcW w:type="dxa" w:w="3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Incorporación de 20 BDs al AG y monitoreo de sincronización</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11</w:t>
            </w:r>
          </w:p>
        </w:tc>
      </w:tr>
      <w:tr>
        <w:tc>
          <w:tcPr>
            <w:tcW w:type="dxa" w:w="3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B5E20"/>
                <w:sz w:val="18"/>
                <w:szCs w:val="18"/>
              </w:rPr>
              <w:t xml:space="preserve">F3</w:t>
            </w:r>
          </w:p>
        </w:tc>
        <w:tc>
          <w:tcPr>
            <w:tcW w:type="dxa" w:w="3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Recreación de objetos de instancia: logins, jobs, Linked Servers, credenciales en todos los nodos</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12</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1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17</w:t>
            </w:r>
          </w:p>
        </w:tc>
      </w:tr>
      <w:tr>
        <w:tc>
          <w:tcPr>
            <w:tcW w:type="dxa" w:w="38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F4</w:t>
            </w:r>
          </w:p>
        </w:tc>
        <w:tc>
          <w:tcPr>
            <w:tcW w:type="dxa" w:w="3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Actualización de cadenas de conexión en todas las aplicaciones (por ambiente: DEV→UAT→PROD)</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16</w:t>
            </w:r>
          </w:p>
        </w:tc>
        <w:tc>
          <w:tcPr>
            <w:tcW w:type="dxa" w:w="11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22</w:t>
            </w:r>
          </w:p>
        </w:tc>
      </w:tr>
      <w:tr>
        <w:tc>
          <w:tcPr>
            <w:tcW w:type="dxa" w:w="38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F4</w:t>
            </w:r>
          </w:p>
        </w:tc>
        <w:tc>
          <w:tcPr>
            <w:tcW w:type="dxa" w:w="3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Pruebas funcionales de las 20 BDs en ambiente UAT con el Listener</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6</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8</w:t>
            </w:r>
          </w:p>
        </w:tc>
        <w:tc>
          <w:tcPr>
            <w:tcW w:type="dxa" w:w="11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16</w:t>
            </w:r>
          </w:p>
        </w:tc>
      </w:tr>
      <w:tr>
        <w:tc>
          <w:tcPr>
            <w:tcW w:type="dxa" w:w="38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F4</w:t>
            </w:r>
          </w:p>
        </w:tc>
        <w:tc>
          <w:tcPr>
            <w:tcW w:type="dxa" w:w="3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Prueba de failover manual y automático + medición de RTO/RPO en UAT</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1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18</w:t>
            </w:r>
          </w:p>
        </w:tc>
      </w:tr>
      <w:tr>
        <w:tc>
          <w:tcPr>
            <w:tcW w:type="dxa" w:w="38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F4</w:t>
            </w:r>
          </w:p>
        </w:tc>
        <w:tc>
          <w:tcPr>
            <w:tcW w:type="dxa" w:w="3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Prueba de Read-Only Routing y validación de ApplicationIntent</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1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9</w:t>
            </w:r>
          </w:p>
        </w:tc>
      </w:tr>
      <w:tr>
        <w:tc>
          <w:tcPr>
            <w:tcW w:type="dxa" w:w="38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006064"/>
                <w:sz w:val="18"/>
                <w:szCs w:val="18"/>
              </w:rPr>
              <w:t xml:space="preserve">F4</w:t>
            </w:r>
          </w:p>
        </w:tc>
        <w:tc>
          <w:tcPr>
            <w:tcW w:type="dxa" w:w="3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Pruebas de carga y benchmark comparativo AG vs Log Shipping</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1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E0F7FA"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11</w:t>
            </w:r>
          </w:p>
        </w:tc>
      </w:tr>
      <w:tr>
        <w:tc>
          <w:tcPr>
            <w:tcW w:type="dxa" w:w="3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3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Comunicación formal de ventana de mantenimiento y runbook aprobado</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2</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4</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6</w:t>
            </w:r>
          </w:p>
        </w:tc>
      </w:tr>
      <w:tr>
        <w:tc>
          <w:tcPr>
            <w:tcW w:type="dxa" w:w="3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3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Backup FULL final de producción + verificación pre-cutover</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5</w:t>
            </w:r>
          </w:p>
        </w:tc>
      </w:tr>
      <w:tr>
        <w:tc>
          <w:tcPr>
            <w:tcW w:type="dxa" w:w="3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3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Desactivación del Log Shipping en producción (todos los pares)</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7</w:t>
            </w:r>
          </w:p>
        </w:tc>
      </w:tr>
      <w:tr>
        <w:tc>
          <w:tcPr>
            <w:tcW w:type="dxa" w:w="3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3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Seed delta / sincronización final de 20 BDs en producción</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7</w:t>
            </w:r>
          </w:p>
        </w:tc>
      </w:tr>
      <w:tr>
        <w:tc>
          <w:tcPr>
            <w:tcW w:type="dxa" w:w="3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3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Actualización de cadenas de conexión de producción al Listener</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2</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1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7</w:t>
            </w:r>
          </w:p>
        </w:tc>
      </w:tr>
      <w:tr>
        <w:tc>
          <w:tcPr>
            <w:tcW w:type="dxa" w:w="38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E65100"/>
                <w:sz w:val="18"/>
                <w:szCs w:val="18"/>
              </w:rPr>
              <w:t xml:space="preserve">F5</w:t>
            </w:r>
          </w:p>
        </w:tc>
        <w:tc>
          <w:tcPr>
            <w:tcW w:type="dxa" w:w="3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Smoke testing en producción + validación de operación crítica</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4</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4</w:t>
            </w:r>
          </w:p>
        </w:tc>
        <w:tc>
          <w:tcPr>
            <w:tcW w:type="dxa" w:w="11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FFF3E0"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10</w:t>
            </w:r>
          </w:p>
        </w:tc>
      </w:tr>
      <w:tr>
        <w:tc>
          <w:tcPr>
            <w:tcW w:type="dxa" w:w="3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F6</w:t>
            </w:r>
          </w:p>
        </w:tc>
        <w:tc>
          <w:tcPr>
            <w:tcW w:type="dxa" w:w="3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Monitoreo intensivo post-cutover (primeras 72 horas)</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12</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4</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18</w:t>
            </w:r>
          </w:p>
        </w:tc>
      </w:tr>
      <w:tr>
        <w:tc>
          <w:tcPr>
            <w:tcW w:type="dxa" w:w="3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F6</w:t>
            </w:r>
          </w:p>
        </w:tc>
        <w:tc>
          <w:tcPr>
            <w:tcW w:type="dxa" w:w="3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Ajuste de parámetros: MAXDOP, Query Store, estadísticas, índices</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1</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9</w:t>
            </w:r>
          </w:p>
        </w:tc>
      </w:tr>
      <w:tr>
        <w:tc>
          <w:tcPr>
            <w:tcW w:type="dxa" w:w="3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F6</w:t>
            </w:r>
          </w:p>
        </w:tc>
        <w:tc>
          <w:tcPr>
            <w:tcW w:type="dxa" w:w="3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Capacitación al equipo de operaciones (failover, monitoreo, backups en AG)</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2</w:t>
            </w:r>
          </w:p>
        </w:tc>
        <w:tc>
          <w:tcPr>
            <w:tcW w:type="dxa" w:w="11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2</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14</w:t>
            </w:r>
          </w:p>
        </w:tc>
      </w:tr>
      <w:tr>
        <w:tc>
          <w:tcPr>
            <w:tcW w:type="dxa" w:w="3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F6</w:t>
            </w:r>
          </w:p>
        </w:tc>
        <w:tc>
          <w:tcPr>
            <w:tcW w:type="dxa" w:w="3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Documentación final: arquitectura TO-BE, runbooks, procedimientos de emergencia</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8</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2</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2</w:t>
            </w:r>
          </w:p>
        </w:tc>
        <w:tc>
          <w:tcPr>
            <w:tcW w:type="dxa" w:w="11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4</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16</w:t>
            </w:r>
          </w:p>
        </w:tc>
      </w:tr>
      <w:tr>
        <w:tc>
          <w:tcPr>
            <w:tcW w:type="dxa" w:w="38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455A64"/>
                <w:sz w:val="18"/>
                <w:szCs w:val="18"/>
              </w:rPr>
              <w:t xml:space="preserve">F6</w:t>
            </w:r>
          </w:p>
        </w:tc>
        <w:tc>
          <w:tcPr>
            <w:tcW w:type="dxa" w:w="3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Reunión de cierre y entrega de documentación</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2</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0</w:t>
            </w:r>
          </w:p>
        </w:tc>
        <w:tc>
          <w:tcPr>
            <w:tcW w:type="dxa" w:w="11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0</w:t>
            </w:r>
          </w:p>
        </w:tc>
        <w:tc>
          <w:tcPr>
            <w:tcW w:type="dxa" w:w="11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4</w:t>
            </w:r>
          </w:p>
        </w:tc>
        <w:tc>
          <w:tcPr>
            <w:tcW w:type="dxa" w:w="1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A1A2E"/>
                <w:sz w:val="18"/>
                <w:szCs w:val="18"/>
              </w:rPr>
              <w:t xml:space="preserve">6</w:t>
            </w:r>
          </w:p>
        </w:tc>
      </w:tr>
      <w:tr>
        <w:tc>
          <w:tcPr>
            <w:tcW w:type="dxa" w:w="3580"/>
            <w:tcBorders>
              <w:top w:val="single" w:color="CFD8DC" w:sz="4"/>
              <w:left w:val="single" w:color="CFD8DC" w:sz="4"/>
              <w:bottom w:val="single" w:color="CFD8DC" w:sz="4"/>
              <w:right w:val="single" w:color="CFD8DC" w:sz="4"/>
            </w:tcBorders>
            <w:shd w:fill="2D3748" w:val="clear"/>
            <w:tcMar>
              <w:top w:type="dxa" w:w="80"/>
              <w:left w:type="dxa" w:w="120"/>
              <w:bottom w:type="dxa" w:w="80"/>
              <w:right w:type="dxa" w:w="120"/>
            </w:tcMar>
            <w:vAlign w:val="center"/>
          </w:tcPr>
          <w:p>
            <w:pPr>
              <w:jc w:val="right"/>
            </w:pPr>
            <w:r>
              <w:rPr>
                <w:rFonts w:ascii="Calibri" w:cs="Calibri" w:eastAsia="Calibri" w:hAnsi="Calibri"/>
                <w:b/>
                <w:bCs/>
                <w:color w:val="FFFFFF"/>
                <w:sz w:val="18"/>
                <w:szCs w:val="18"/>
              </w:rPr>
              <w:t xml:space="preserve">TOTAL</w:t>
            </w:r>
          </w:p>
        </w:tc>
        <w:tc>
          <w:tcPr>
            <w:tcW w:type="dxa" w:w="1160"/>
            <w:tcBorders>
              <w:top w:val="single" w:color="CFD8DC" w:sz="4"/>
              <w:left w:val="single" w:color="CFD8DC" w:sz="4"/>
              <w:bottom w:val="single" w:color="CFD8DC" w:sz="4"/>
              <w:right w:val="single" w:color="CFD8DC" w:sz="4"/>
            </w:tcBorders>
            <w:shd w:fill="2D3748"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210</w:t>
            </w:r>
          </w:p>
        </w:tc>
        <w:tc>
          <w:tcPr>
            <w:tcW w:type="dxa" w:w="1160"/>
            <w:tcBorders>
              <w:top w:val="single" w:color="CFD8DC" w:sz="4"/>
              <w:left w:val="single" w:color="CFD8DC" w:sz="4"/>
              <w:bottom w:val="single" w:color="CFD8DC" w:sz="4"/>
              <w:right w:val="single" w:color="CFD8DC" w:sz="4"/>
            </w:tcBorders>
            <w:shd w:fill="2D3748"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76</w:t>
            </w:r>
          </w:p>
        </w:tc>
        <w:tc>
          <w:tcPr>
            <w:tcW w:type="dxa" w:w="1160"/>
            <w:tcBorders>
              <w:top w:val="single" w:color="CFD8DC" w:sz="4"/>
              <w:left w:val="single" w:color="CFD8DC" w:sz="4"/>
              <w:bottom w:val="single" w:color="CFD8DC" w:sz="4"/>
              <w:right w:val="single" w:color="CFD8DC" w:sz="4"/>
            </w:tcBorders>
            <w:shd w:fill="2D3748"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62</w:t>
            </w:r>
          </w:p>
        </w:tc>
        <w:tc>
          <w:tcPr>
            <w:tcW w:type="dxa" w:w="1100"/>
            <w:tcBorders>
              <w:top w:val="single" w:color="CFD8DC" w:sz="4"/>
              <w:left w:val="single" w:color="CFD8DC" w:sz="4"/>
              <w:bottom w:val="single" w:color="CFD8DC" w:sz="4"/>
              <w:right w:val="single" w:color="CFD8DC" w:sz="4"/>
            </w:tcBorders>
            <w:shd w:fill="2D3748"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53</w:t>
            </w:r>
          </w:p>
        </w:tc>
        <w:tc>
          <w:tcPr>
            <w:tcW w:type="dxa" w:w="1200"/>
            <w:tcBorders>
              <w:top w:val="single" w:color="CFD8DC" w:sz="4"/>
              <w:left w:val="single" w:color="CFD8DC" w:sz="4"/>
              <w:bottom w:val="single" w:color="CFD8DC" w:sz="4"/>
              <w:right w:val="single" w:color="CFD8DC"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401</w:t>
            </w:r>
          </w:p>
        </w:tc>
      </w:tr>
    </w:tbl>
    <w:p>
      <w:r>
        <w:br w:type="page"/>
      </w:r>
    </w:p>
    <w:p>
      <w:pPr>
        <w:shd w:fill="4A148C" w:val="clear"/>
        <w:spacing w:after="0" w:before="300"/>
      </w:pPr>
      <w:r>
        <w:rPr>
          <w:rFonts w:ascii="Calibri" w:cs="Calibri" w:eastAsia="Calibri" w:hAnsi="Calibri"/>
          <w:b/>
          <w:bCs/>
          <w:color w:val="FFFFFF"/>
          <w:sz w:val="28"/>
          <w:szCs w:val="28"/>
        </w:rPr>
        <w:t xml:space="preserve">  📅  4.  Cronograma — Diagrama de Gantt (12 Semanas)  </w:t>
      </w:r>
    </w:p>
    <w:p>
      <w:pPr>
        <w:shd w:fill="4A148C" w:val="clear"/>
        <w:spacing w:after="100" w:before="0"/>
      </w:pPr>
      <w:r>
        <w:rPr>
          <w:rFonts w:ascii="Calibri" w:cs="Calibri" w:eastAsia="Calibri" w:hAnsi="Calibri"/>
          <w:i/>
          <w:iCs/>
          <w:color w:val="CCDDEE"/>
          <w:sz w:val="17"/>
          <w:szCs w:val="17"/>
        </w:rPr>
        <w:t xml:space="preserve">       Fases secuenciales con dependencias. El cutover a Producción ocurre en la Semana 10.  </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410"/>
        <w:gridCol w:w="410"/>
        <w:gridCol w:w="410"/>
        <w:gridCol w:w="410"/>
        <w:gridCol w:w="410"/>
        <w:gridCol w:w="410"/>
        <w:gridCol w:w="410"/>
        <w:gridCol w:w="410"/>
        <w:gridCol w:w="410"/>
        <w:gridCol w:w="410"/>
        <w:gridCol w:w="410"/>
        <w:gridCol w:w="410"/>
      </w:tblGrid>
      <w:tr>
        <w:tc>
          <w:tcPr>
            <w:tcW w:type="dxa" w:w="348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Actividad / Fase</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S1</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S2</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S3</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S4</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S5</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S6</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S7</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S8</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S9</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S10</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S11</w:t>
            </w:r>
          </w:p>
        </w:tc>
        <w:tc>
          <w:tcPr>
            <w:tcW w:type="dxa" w:w="41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S12</w:t>
            </w:r>
          </w:p>
        </w:tc>
      </w:tr>
      <w:tr>
        <w:tc>
          <w:tcPr>
            <w:tcW w:type="dxa" w:w="3480"/>
            <w:tcBorders>
              <w:top w:val="single" w:color="CFD8DC" w:sz="4"/>
              <w:left w:val="single" w:color="CFD8DC" w:sz="4"/>
              <w:bottom w:val="single" w:color="CFD8DC" w:sz="4"/>
              <w:right w:val="single" w:color="CFD8DC" w:sz="4"/>
            </w:tcBorders>
            <w:shd w:fill="E3F2FD" w:val="clear"/>
            <w:tcMar>
              <w:top w:type="dxa" w:w="70"/>
              <w:left w:type="dxa" w:w="120"/>
              <w:bottom w:type="dxa" w:w="70"/>
              <w:right w:type="dxa" w:w="120"/>
            </w:tcMar>
          </w:tcPr>
          <w:p>
            <w:r>
              <w:rPr>
                <w:rFonts w:ascii="Calibri" w:cs="Calibri" w:eastAsia="Calibri" w:hAnsi="Calibri"/>
                <w:color w:val="1A1A2E"/>
                <w:sz w:val="17"/>
                <w:szCs w:val="17"/>
              </w:rPr>
              <w:t xml:space="preserve">F1 — Planeación, Inventario y Diseño</w:t>
            </w:r>
          </w:p>
        </w:tc>
        <w:tc>
          <w:tcPr>
            <w:tcW w:type="dxa" w:w="410"/>
            <w:tcBorders>
              <w:top w:val="single" w:color="DDDDDD" w:sz="4"/>
              <w:left w:val="single" w:color="DDDDDD" w:sz="4"/>
              <w:bottom w:val="single" w:color="DDDDDD" w:sz="4"/>
              <w:right w:val="single" w:color="DDDDDD" w:sz="4"/>
            </w:tcBorders>
            <w:shd w:fill="1565C0" w:val="clear"/>
            <w:tcMar>
              <w:top w:type="dxa" w:w="55"/>
              <w:left w:type="dxa" w:w="30"/>
              <w:bottom w:type="dxa" w:w="55"/>
              <w:right w:type="dxa" w:w="30"/>
            </w:tcMar>
          </w:tcPr>
          <w:p>
            <w:pPr>
              <w:jc w:val="center"/>
            </w:pPr>
            <w:r>
              <w:rPr>
                <w:rFonts w:ascii="Calibri" w:cs="Calibri" w:eastAsia="Calibri" w:hAnsi="Calibri"/>
                <w:color w:val="1565C0"/>
                <w:sz w:val="12"/>
                <w:szCs w:val="12"/>
              </w:rPr>
              <w:t xml:space="preserve">█</w:t>
            </w:r>
          </w:p>
        </w:tc>
        <w:tc>
          <w:tcPr>
            <w:tcW w:type="dxa" w:w="410"/>
            <w:tcBorders>
              <w:top w:val="single" w:color="DDDDDD" w:sz="4"/>
              <w:left w:val="single" w:color="DDDDDD" w:sz="4"/>
              <w:bottom w:val="single" w:color="DDDDDD" w:sz="4"/>
              <w:right w:val="single" w:color="DDDDDD" w:sz="4"/>
            </w:tcBorders>
            <w:shd w:fill="1565C0" w:val="clear"/>
            <w:tcMar>
              <w:top w:type="dxa" w:w="55"/>
              <w:left w:type="dxa" w:w="30"/>
              <w:bottom w:type="dxa" w:w="55"/>
              <w:right w:type="dxa" w:w="30"/>
            </w:tcMar>
          </w:tcPr>
          <w:p>
            <w:pPr>
              <w:jc w:val="center"/>
            </w:pPr>
            <w:r>
              <w:rPr>
                <w:rFonts w:ascii="Calibri" w:cs="Calibri" w:eastAsia="Calibri" w:hAnsi="Calibri"/>
                <w:color w:val="1565C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   Kick-off y levantamiento AS-IS</w:t>
            </w:r>
          </w:p>
        </w:tc>
        <w:tc>
          <w:tcPr>
            <w:tcW w:type="dxa" w:w="410"/>
            <w:tcBorders>
              <w:top w:val="single" w:color="DDDDDD" w:sz="4"/>
              <w:left w:val="single" w:color="DDDDDD" w:sz="4"/>
              <w:bottom w:val="single" w:color="DDDDDD" w:sz="4"/>
              <w:right w:val="single" w:color="DDDDDD" w:sz="4"/>
            </w:tcBorders>
            <w:shd w:fill="1565C0" w:val="clear"/>
            <w:tcMar>
              <w:top w:type="dxa" w:w="55"/>
              <w:left w:type="dxa" w:w="30"/>
              <w:bottom w:type="dxa" w:w="55"/>
              <w:right w:type="dxa" w:w="30"/>
            </w:tcMar>
          </w:tcPr>
          <w:p>
            <w:pPr>
              <w:jc w:val="center"/>
            </w:pPr>
            <w:r>
              <w:rPr>
                <w:rFonts w:ascii="Calibri" w:cs="Calibri" w:eastAsia="Calibri" w:hAnsi="Calibri"/>
                <w:color w:val="1565C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5F5F5" w:val="clear"/>
            <w:tcMar>
              <w:top w:type="dxa" w:w="70"/>
              <w:left w:type="dxa" w:w="120"/>
              <w:bottom w:type="dxa" w:w="70"/>
              <w:right w:type="dxa" w:w="120"/>
            </w:tcMar>
          </w:tcPr>
          <w:p>
            <w:r>
              <w:rPr>
                <w:rFonts w:ascii="Calibri" w:cs="Calibri" w:eastAsia="Calibri" w:hAnsi="Calibri"/>
                <w:color w:val="1A1A2E"/>
                <w:sz w:val="17"/>
                <w:szCs w:val="17"/>
              </w:rPr>
              <w:t xml:space="preserve">   Diseño TO-BE y documento aprobado</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1565C0" w:val="clear"/>
            <w:tcMar>
              <w:top w:type="dxa" w:w="55"/>
              <w:left w:type="dxa" w:w="30"/>
              <w:bottom w:type="dxa" w:w="55"/>
              <w:right w:type="dxa" w:w="30"/>
            </w:tcMar>
          </w:tcPr>
          <w:p>
            <w:pPr>
              <w:jc w:val="center"/>
            </w:pPr>
            <w:r>
              <w:rPr>
                <w:rFonts w:ascii="Calibri" w:cs="Calibri" w:eastAsia="Calibri" w:hAnsi="Calibri"/>
                <w:color w:val="1565C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3E5F5" w:val="clear"/>
            <w:tcMar>
              <w:top w:type="dxa" w:w="70"/>
              <w:left w:type="dxa" w:w="120"/>
              <w:bottom w:type="dxa" w:w="70"/>
              <w:right w:type="dxa" w:w="120"/>
            </w:tcMar>
          </w:tcPr>
          <w:p>
            <w:r>
              <w:rPr>
                <w:rFonts w:ascii="Calibri" w:cs="Calibri" w:eastAsia="Calibri" w:hAnsi="Calibri"/>
                <w:color w:val="1A1A2E"/>
                <w:sz w:val="17"/>
                <w:szCs w:val="17"/>
              </w:rPr>
              <w:t xml:space="preserve">F2 — Infraestructura WSFC + SQL 2022</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   WSFC + SQL Enterprise instalado</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5F5F5" w:val="clear"/>
            <w:tcMar>
              <w:top w:type="dxa" w:w="70"/>
              <w:left w:type="dxa" w:w="120"/>
              <w:bottom w:type="dxa" w:w="70"/>
              <w:right w:type="dxa" w:w="120"/>
            </w:tcMar>
          </w:tcPr>
          <w:p>
            <w:r>
              <w:rPr>
                <w:rFonts w:ascii="Calibri" w:cs="Calibri" w:eastAsia="Calibri" w:hAnsi="Calibri"/>
                <w:color w:val="1A1A2E"/>
                <w:sz w:val="17"/>
                <w:szCs w:val="17"/>
              </w:rPr>
              <w:t xml:space="preserve">   AG, Listener, endpoints, routing</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4A148C" w:val="clear"/>
            <w:tcMar>
              <w:top w:type="dxa" w:w="55"/>
              <w:left w:type="dxa" w:w="30"/>
              <w:bottom w:type="dxa" w:w="55"/>
              <w:right w:type="dxa" w:w="30"/>
            </w:tcMar>
          </w:tcPr>
          <w:p>
            <w:pPr>
              <w:jc w:val="center"/>
            </w:pPr>
            <w:r>
              <w:rPr>
                <w:rFonts w:ascii="Calibri" w:cs="Calibri" w:eastAsia="Calibri" w:hAnsi="Calibri"/>
                <w:color w:val="4A148C"/>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E8F5E9" w:val="clear"/>
            <w:tcMar>
              <w:top w:type="dxa" w:w="70"/>
              <w:left w:type="dxa" w:w="120"/>
              <w:bottom w:type="dxa" w:w="70"/>
              <w:right w:type="dxa" w:w="120"/>
            </w:tcMar>
          </w:tcPr>
          <w:p>
            <w:r>
              <w:rPr>
                <w:rFonts w:ascii="Calibri" w:cs="Calibri" w:eastAsia="Calibri" w:hAnsi="Calibri"/>
                <w:color w:val="1A1A2E"/>
                <w:sz w:val="17"/>
                <w:szCs w:val="17"/>
              </w:rPr>
              <w:t xml:space="preserve">F3 — Migración 20 BDs al AG (Seed)</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   Cambio a FULL + seed inicial (100 GB)</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5F5F5" w:val="clear"/>
            <w:tcMar>
              <w:top w:type="dxa" w:w="70"/>
              <w:left w:type="dxa" w:w="120"/>
              <w:bottom w:type="dxa" w:w="70"/>
              <w:right w:type="dxa" w:w="120"/>
            </w:tcMar>
          </w:tcPr>
          <w:p>
            <w:r>
              <w:rPr>
                <w:rFonts w:ascii="Calibri" w:cs="Calibri" w:eastAsia="Calibri" w:hAnsi="Calibri"/>
                <w:color w:val="1A1A2E"/>
                <w:sz w:val="17"/>
                <w:szCs w:val="17"/>
              </w:rPr>
              <w:t xml:space="preserve">   Objetos de instancia recreados en nodos</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1B5E20" w:val="clear"/>
            <w:tcMar>
              <w:top w:type="dxa" w:w="55"/>
              <w:left w:type="dxa" w:w="30"/>
              <w:bottom w:type="dxa" w:w="55"/>
              <w:right w:type="dxa" w:w="30"/>
            </w:tcMar>
          </w:tcPr>
          <w:p>
            <w:pPr>
              <w:jc w:val="center"/>
            </w:pPr>
            <w:r>
              <w:rPr>
                <w:rFonts w:ascii="Calibri" w:cs="Calibri" w:eastAsia="Calibri" w:hAnsi="Calibri"/>
                <w:color w:val="1B5E2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E0F7FA" w:val="clear"/>
            <w:tcMar>
              <w:top w:type="dxa" w:w="70"/>
              <w:left w:type="dxa" w:w="120"/>
              <w:bottom w:type="dxa" w:w="70"/>
              <w:right w:type="dxa" w:w="120"/>
            </w:tcMar>
          </w:tcPr>
          <w:p>
            <w:r>
              <w:rPr>
                <w:rFonts w:ascii="Calibri" w:cs="Calibri" w:eastAsia="Calibri" w:hAnsi="Calibri"/>
                <w:color w:val="1A1A2E"/>
                <w:sz w:val="17"/>
                <w:szCs w:val="17"/>
              </w:rPr>
              <w:t xml:space="preserve">F4 — Pruebas funcionales y de failover</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   Cadenas de conexión UAT + pruebas app</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5F5F5" w:val="clear"/>
            <w:tcMar>
              <w:top w:type="dxa" w:w="70"/>
              <w:left w:type="dxa" w:w="120"/>
              <w:bottom w:type="dxa" w:w="70"/>
              <w:right w:type="dxa" w:w="120"/>
            </w:tcMar>
          </w:tcPr>
          <w:p>
            <w:r>
              <w:rPr>
                <w:rFonts w:ascii="Calibri" w:cs="Calibri" w:eastAsia="Calibri" w:hAnsi="Calibri"/>
                <w:color w:val="1A1A2E"/>
                <w:sz w:val="17"/>
                <w:szCs w:val="17"/>
              </w:rPr>
              <w:t xml:space="preserve">   Failover, RTO, Read-Only Routing, carga</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006064" w:val="clear"/>
            <w:tcMar>
              <w:top w:type="dxa" w:w="55"/>
              <w:left w:type="dxa" w:w="30"/>
              <w:bottom w:type="dxa" w:w="55"/>
              <w:right w:type="dxa" w:w="30"/>
            </w:tcMar>
          </w:tcPr>
          <w:p>
            <w:pPr>
              <w:jc w:val="center"/>
            </w:pPr>
            <w:r>
              <w:rPr>
                <w:rFonts w:ascii="Calibri" w:cs="Calibri" w:eastAsia="Calibri" w:hAnsi="Calibri"/>
                <w:color w:val="006064"/>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FF3E0" w:val="clear"/>
            <w:tcMar>
              <w:top w:type="dxa" w:w="70"/>
              <w:left w:type="dxa" w:w="120"/>
              <w:bottom w:type="dxa" w:w="70"/>
              <w:right w:type="dxa" w:w="120"/>
            </w:tcMar>
          </w:tcPr>
          <w:p>
            <w:r>
              <w:rPr>
                <w:rFonts w:ascii="Calibri" w:cs="Calibri" w:eastAsia="Calibri" w:hAnsi="Calibri"/>
                <w:color w:val="1A1A2E"/>
                <w:sz w:val="17"/>
                <w:szCs w:val="17"/>
              </w:rPr>
              <w:t xml:space="preserve">F5 — Cutover a Producción ⭐</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E65100" w:val="clear"/>
            <w:tcMar>
              <w:top w:type="dxa" w:w="55"/>
              <w:left w:type="dxa" w:w="30"/>
              <w:bottom w:type="dxa" w:w="55"/>
              <w:right w:type="dxa" w:w="30"/>
            </w:tcMar>
          </w:tcPr>
          <w:p>
            <w:pPr>
              <w:jc w:val="center"/>
            </w:pPr>
            <w:r>
              <w:rPr>
                <w:rFonts w:ascii="Calibri" w:cs="Calibri" w:eastAsia="Calibri" w:hAnsi="Calibri"/>
                <w:color w:val="E6510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   Ventana de mantenimiento (fin de semana)</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E65100" w:val="clear"/>
            <w:tcMar>
              <w:top w:type="dxa" w:w="55"/>
              <w:left w:type="dxa" w:w="30"/>
              <w:bottom w:type="dxa" w:w="55"/>
              <w:right w:type="dxa" w:w="30"/>
            </w:tcMar>
          </w:tcPr>
          <w:p>
            <w:pPr>
              <w:jc w:val="center"/>
            </w:pPr>
            <w:r>
              <w:rPr>
                <w:rFonts w:ascii="Calibri" w:cs="Calibri" w:eastAsia="Calibri" w:hAnsi="Calibri"/>
                <w:color w:val="E65100"/>
                <w:sz w:val="12"/>
                <w:szCs w:val="12"/>
              </w:rPr>
              <w:t xml:space="preserv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r>
      <w:tr>
        <w:tc>
          <w:tcPr>
            <w:tcW w:type="dxa" w:w="3480"/>
            <w:tcBorders>
              <w:top w:val="single" w:color="CFD8DC" w:sz="4"/>
              <w:left w:val="single" w:color="CFD8DC" w:sz="4"/>
              <w:bottom w:val="single" w:color="CFD8DC" w:sz="4"/>
              <w:right w:val="single" w:color="CFD8DC" w:sz="4"/>
            </w:tcBorders>
            <w:shd w:fill="F5F5F5" w:val="clear"/>
            <w:tcMar>
              <w:top w:type="dxa" w:w="70"/>
              <w:left w:type="dxa" w:w="120"/>
              <w:bottom w:type="dxa" w:w="70"/>
              <w:right w:type="dxa" w:w="120"/>
            </w:tcMar>
          </w:tcPr>
          <w:p>
            <w:r>
              <w:rPr>
                <w:rFonts w:ascii="Calibri" w:cs="Calibri" w:eastAsia="Calibri" w:hAnsi="Calibri"/>
                <w:color w:val="1A1A2E"/>
                <w:sz w:val="17"/>
                <w:szCs w:val="17"/>
              </w:rPr>
              <w:t xml:space="preserve">F6 — Monitoreo, capacitación y cierre</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455A64" w:val="clear"/>
            <w:tcMar>
              <w:top w:type="dxa" w:w="55"/>
              <w:left w:type="dxa" w:w="30"/>
              <w:bottom w:type="dxa" w:w="55"/>
              <w:right w:type="dxa" w:w="30"/>
            </w:tcMar>
          </w:tcPr>
          <w:p>
            <w:pPr>
              <w:jc w:val="center"/>
            </w:pPr>
            <w:r>
              <w:rPr>
                <w:rFonts w:ascii="Calibri" w:cs="Calibri" w:eastAsia="Calibri" w:hAnsi="Calibri"/>
                <w:color w:val="455A64"/>
                <w:sz w:val="12"/>
                <w:szCs w:val="12"/>
              </w:rPr>
              <w:t xml:space="preserve">█</w:t>
            </w:r>
          </w:p>
        </w:tc>
        <w:tc>
          <w:tcPr>
            <w:tcW w:type="dxa" w:w="410"/>
            <w:tcBorders>
              <w:top w:val="single" w:color="DDDDDD" w:sz="4"/>
              <w:left w:val="single" w:color="DDDDDD" w:sz="4"/>
              <w:bottom w:val="single" w:color="DDDDDD" w:sz="4"/>
              <w:right w:val="single" w:color="DDDDDD" w:sz="4"/>
            </w:tcBorders>
            <w:shd w:fill="455A64" w:val="clear"/>
            <w:tcMar>
              <w:top w:type="dxa" w:w="55"/>
              <w:left w:type="dxa" w:w="30"/>
              <w:bottom w:type="dxa" w:w="55"/>
              <w:right w:type="dxa" w:w="30"/>
            </w:tcMar>
          </w:tcPr>
          <w:p>
            <w:pPr>
              <w:jc w:val="center"/>
            </w:pPr>
            <w:r>
              <w:rPr>
                <w:rFonts w:ascii="Calibri" w:cs="Calibri" w:eastAsia="Calibri" w:hAnsi="Calibri"/>
                <w:color w:val="455A64"/>
                <w:sz w:val="12"/>
                <w:szCs w:val="12"/>
              </w:rPr>
              <w:t xml:space="preserve">█</w:t>
            </w:r>
          </w:p>
        </w:tc>
      </w:tr>
      <w:tr>
        <w:tc>
          <w:tcPr>
            <w:tcW w:type="dxa" w:w="3480"/>
            <w:tcBorders>
              <w:top w:val="single" w:color="CFD8DC" w:sz="4"/>
              <w:left w:val="single" w:color="CFD8DC" w:sz="4"/>
              <w:bottom w:val="single" w:color="CFD8DC" w:sz="4"/>
              <w:right w:val="single" w:color="CFD8DC" w:sz="4"/>
            </w:tcBorders>
            <w:shd w:fill="FFFFFF" w:val="clear"/>
            <w:tcMar>
              <w:top w:type="dxa" w:w="70"/>
              <w:left w:type="dxa" w:w="120"/>
              <w:bottom w:type="dxa" w:w="70"/>
              <w:right w:type="dxa" w:w="120"/>
            </w:tcMar>
          </w:tcPr>
          <w:p>
            <w:r>
              <w:rPr>
                <w:rFonts w:ascii="Calibri" w:cs="Calibri" w:eastAsia="Calibri" w:hAnsi="Calibri"/>
                <w:color w:val="1A1A2E"/>
                <w:sz w:val="17"/>
                <w:szCs w:val="17"/>
              </w:rPr>
              <w:t xml:space="preserve">   Monitoreo intensivo 30 días post-cutover</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455A64" w:val="clear"/>
            <w:tcMar>
              <w:top w:type="dxa" w:w="55"/>
              <w:left w:type="dxa" w:w="30"/>
              <w:bottom w:type="dxa" w:w="55"/>
              <w:right w:type="dxa" w:w="30"/>
            </w:tcMar>
          </w:tcPr>
          <w:p>
            <w:pPr>
              <w:jc w:val="center"/>
            </w:pPr>
            <w:r>
              <w:rPr>
                <w:rFonts w:ascii="Calibri" w:cs="Calibri" w:eastAsia="Calibri" w:hAnsi="Calibri"/>
                <w:color w:val="455A64"/>
                <w:sz w:val="12"/>
                <w:szCs w:val="12"/>
              </w:rPr>
              <w:t xml:space="preserve">█</w:t>
            </w:r>
          </w:p>
        </w:tc>
        <w:tc>
          <w:tcPr>
            <w:tcW w:type="dxa" w:w="410"/>
            <w:tcBorders>
              <w:top w:val="single" w:color="DDDDDD" w:sz="4"/>
              <w:left w:val="single" w:color="DDDDDD" w:sz="4"/>
              <w:bottom w:val="single" w:color="DDDDDD" w:sz="4"/>
              <w:right w:val="single" w:color="DDDDDD" w:sz="4"/>
            </w:tcBorders>
            <w:shd w:fill="455A64" w:val="clear"/>
            <w:tcMar>
              <w:top w:type="dxa" w:w="55"/>
              <w:left w:type="dxa" w:w="30"/>
              <w:bottom w:type="dxa" w:w="55"/>
              <w:right w:type="dxa" w:w="30"/>
            </w:tcMar>
          </w:tcPr>
          <w:p>
            <w:pPr>
              <w:jc w:val="center"/>
            </w:pPr>
            <w:r>
              <w:rPr>
                <w:rFonts w:ascii="Calibri" w:cs="Calibri" w:eastAsia="Calibri" w:hAnsi="Calibri"/>
                <w:color w:val="455A64"/>
                <w:sz w:val="12"/>
                <w:szCs w:val="12"/>
              </w:rPr>
              <w:t xml:space="preserve">█</w:t>
            </w:r>
          </w:p>
        </w:tc>
      </w:tr>
      <w:tr>
        <w:tc>
          <w:tcPr>
            <w:tcW w:type="dxa" w:w="3480"/>
            <w:tcBorders>
              <w:top w:val="single" w:color="CFD8DC" w:sz="4"/>
              <w:left w:val="single" w:color="CFD8DC" w:sz="4"/>
              <w:bottom w:val="single" w:color="CFD8DC" w:sz="4"/>
              <w:right w:val="single" w:color="CFD8DC" w:sz="4"/>
            </w:tcBorders>
            <w:shd w:fill="F5F5F5" w:val="clear"/>
            <w:tcMar>
              <w:top w:type="dxa" w:w="70"/>
              <w:left w:type="dxa" w:w="120"/>
              <w:bottom w:type="dxa" w:w="70"/>
              <w:right w:type="dxa" w:w="120"/>
            </w:tcMar>
          </w:tcPr>
          <w:p>
            <w:r>
              <w:rPr>
                <w:rFonts w:ascii="Calibri" w:cs="Calibri" w:eastAsia="Calibri" w:hAnsi="Calibri"/>
                <w:color w:val="1A1A2E"/>
                <w:sz w:val="17"/>
                <w:szCs w:val="17"/>
              </w:rPr>
              <w:t xml:space="preserve">   Documentación final y acta de entrega</w:t>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F7F7F7" w:val="clear"/>
            <w:tcMar>
              <w:top w:type="dxa" w:w="55"/>
              <w:left w:type="dxa" w:w="30"/>
              <w:bottom w:type="dxa" w:w="55"/>
              <w:right w:type="dxa" w:w="30"/>
            </w:tcMar>
          </w:tcPr>
          <w:p>
            <w:pPr>
              <w:jc w:val="center"/>
            </w:pPr>
            <w:r>
              <w:rPr>
                <w:rFonts w:ascii="Calibri" w:cs="Calibri" w:eastAsia="Calibri" w:hAnsi="Calibri"/>
                <w:color w:val="F7F7F7"/>
                <w:sz w:val="12"/>
                <w:szCs w:val="12"/>
              </w:rPr>
              <w:t xml:space="preserve"/>
            </w:r>
          </w:p>
        </w:tc>
        <w:tc>
          <w:tcPr>
            <w:tcW w:type="dxa" w:w="410"/>
            <w:tcBorders>
              <w:top w:val="single" w:color="DDDDDD" w:sz="4"/>
              <w:left w:val="single" w:color="DDDDDD" w:sz="4"/>
              <w:bottom w:val="single" w:color="DDDDDD" w:sz="4"/>
              <w:right w:val="single" w:color="DDDDDD" w:sz="4"/>
            </w:tcBorders>
            <w:shd w:fill="455A64" w:val="clear"/>
            <w:tcMar>
              <w:top w:type="dxa" w:w="55"/>
              <w:left w:type="dxa" w:w="30"/>
              <w:bottom w:type="dxa" w:w="55"/>
              <w:right w:type="dxa" w:w="30"/>
            </w:tcMar>
          </w:tcPr>
          <w:p>
            <w:pPr>
              <w:jc w:val="center"/>
            </w:pPr>
            <w:r>
              <w:rPr>
                <w:rFonts w:ascii="Calibri" w:cs="Calibri" w:eastAsia="Calibri" w:hAnsi="Calibri"/>
                <w:color w:val="455A64"/>
                <w:sz w:val="12"/>
                <w:szCs w:val="12"/>
              </w:rPr>
              <w:t xml:space="preserve">█</w:t>
            </w:r>
          </w:p>
        </w:tc>
      </w:tr>
    </w:tbl>
    <w:p>
      <w:pPr>
        <w:spacing w:after="0" w:before="70"/>
      </w:pPr>
      <w:r>
        <w:t xml:space="preserve"/>
      </w:r>
    </w:p>
    <w:p>
      <w:pPr>
        <w:shd w:fill="F3E5F5" w:val="clear"/>
        <w:spacing w:after="60" w:before="60"/>
      </w:pPr>
      <w:r>
        <w:rPr>
          <w:rFonts w:ascii="Calibri" w:cs="Calibri" w:eastAsia="Calibri" w:hAnsi="Calibri"/>
          <w:b/>
          <w:bCs/>
          <w:color w:val="4A148C"/>
          <w:sz w:val="17"/>
          <w:szCs w:val="17"/>
        </w:rPr>
        <w:t xml:space="preserve">  ⭐  El cutover a Producción (Semana 10) se ejecuta en una ventana de mantenimiento de fin de semana con un mínimo de 6 horas. Las semanas 11-12 son de monitoreo intensivo y documentación — el servicio productivo ya está en Always On desde la Semana 10.</w:t>
      </w:r>
    </w:p>
    <w:p>
      <w:r>
        <w:br w:type="page"/>
      </w:r>
    </w:p>
    <w:p>
      <w:pPr>
        <w:shd w:fill="F57F17" w:val="clear"/>
        <w:spacing w:after="0" w:before="300"/>
      </w:pPr>
      <w:r>
        <w:rPr>
          <w:rFonts w:ascii="Calibri" w:cs="Calibri" w:eastAsia="Calibri" w:hAnsi="Calibri"/>
          <w:b/>
          <w:bCs/>
          <w:color w:val="FFFFFF"/>
          <w:sz w:val="28"/>
          <w:szCs w:val="28"/>
        </w:rPr>
        <w:t xml:space="preserve">  📌  5.  Supuestos y Condiciones del Servicio T&amp;M  </w:t>
      </w:r>
    </w:p>
    <w:p>
      <w:pPr>
        <w:shd w:fill="F57F17" w:val="clear"/>
        <w:spacing w:after="100" w:before="0"/>
      </w:pPr>
      <w:r>
        <w:rPr>
          <w:rFonts w:ascii="Calibri" w:cs="Calibri" w:eastAsia="Calibri" w:hAnsi="Calibri"/>
          <w:i/>
          <w:iCs/>
          <w:color w:val="CCDDEE"/>
          <w:sz w:val="17"/>
          <w:szCs w:val="17"/>
        </w:rPr>
        <w:t xml:space="preserve">       Cada supuesto no cumplido representa horas adicionales facturables  </w:t>
      </w:r>
    </w:p>
    <w:p>
      <w:pPr>
        <w:spacing w:after="0" w:before="70"/>
      </w:pPr>
      <w:r>
        <w:t xml:space="preserve"/>
      </w:r>
    </w:p>
    <w:p>
      <w:pPr>
        <w:spacing w:after="60" w:before="60"/>
      </w:pPr>
      <w:r>
        <w:rPr>
          <w:rFonts w:ascii="Calibri" w:cs="Calibri" w:eastAsia="Calibri" w:hAnsi="Calibri"/>
          <w:color w:val="1A1A2E"/>
          <w:sz w:val="20"/>
          <w:szCs w:val="20"/>
        </w:rPr>
        <w:t xml:space="preserve">Los siguientes supuestos son la base de la estimación de 300 horas. Si alguno de ellos no se cumple, el esfuerzo real puede incrementarse. Bajo modalidad T&amp;M, las horas adicionales se facturan conforme se consumen y se documentan en los reportes semanales de avance.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4800"/>
      </w:tblGrid>
      <w:tr>
        <w:tc>
          <w:tcPr>
            <w:tcW w:type="dxa" w:w="36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w:t>
            </w:r>
          </w:p>
        </w:tc>
        <w:tc>
          <w:tcPr>
            <w:tcW w:type="dxa" w:w="42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Supuesto / Condición</w:t>
            </w:r>
          </w:p>
        </w:tc>
        <w:tc>
          <w:tcPr>
            <w:tcW w:type="dxa" w:w="48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Implicación para el proyecto T&amp;M</w:t>
            </w:r>
          </w:p>
        </w:tc>
      </w:tr>
      <w:tr>
        <w:tc>
          <w:tcPr>
            <w:tcW w:type="dxa" w:w="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S1</w:t>
            </w:r>
          </w:p>
        </w:tc>
        <w:tc>
          <w:tcPr>
            <w:tcW w:type="dxa" w:w="4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El cliente provee acceso a los servidores en máximo 24 horas tras la solicitud</w:t>
            </w:r>
          </w:p>
        </w:tc>
        <w:tc>
          <w:tcPr>
            <w:tcW w:type="dxa" w:w="4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Retrasos en acceso generan horas de espera facturables. Se recomienda definir un SLA de acceso en el contrato.</w:t>
            </w:r>
          </w:p>
        </w:tc>
      </w:tr>
      <w:tr>
        <w:tc>
          <w:tcPr>
            <w:tcW w:type="dxa" w:w="3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S2</w:t>
            </w:r>
          </w:p>
        </w:tc>
        <w:tc>
          <w:tcPr>
            <w:tcW w:type="dxa" w:w="4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El cliente cuenta con licencias SQL Server 2022 Enterprise Edition para todos los nodos</w:t>
            </w:r>
          </w:p>
        </w:tc>
        <w:tc>
          <w:tcPr>
            <w:tcW w:type="dxa" w:w="4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Sin licencias Enterprise no es posible crear el AG completo. La adquisición de licencias NO está incluida en el alcance.</w:t>
            </w:r>
          </w:p>
        </w:tc>
      </w:tr>
      <w:tr>
        <w:tc>
          <w:tcPr>
            <w:tcW w:type="dxa" w:w="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S3</w:t>
            </w:r>
          </w:p>
        </w:tc>
        <w:tc>
          <w:tcPr>
            <w:tcW w:type="dxa" w:w="4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Los 20 databases tienen un tamaño total de ~100 GB</w:t>
            </w:r>
          </w:p>
        </w:tc>
        <w:tc>
          <w:tcPr>
            <w:tcW w:type="dxa" w:w="4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Si el tamaño real supera los 100 GB, el tiempo de seed y sincronización aumenta. Se cotizarán horas adicionales como T&amp;M extra.</w:t>
            </w:r>
          </w:p>
        </w:tc>
      </w:tr>
      <w:tr>
        <w:tc>
          <w:tcPr>
            <w:tcW w:type="dxa" w:w="3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S4</w:t>
            </w:r>
          </w:p>
        </w:tc>
        <w:tc>
          <w:tcPr>
            <w:tcW w:type="dxa" w:w="4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El cliente designa un responsable técnico interno con disponibilidad mínima del 50%</w:t>
            </w:r>
          </w:p>
        </w:tc>
        <w:tc>
          <w:tcPr>
            <w:tcW w:type="dxa" w:w="4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Sin un responsable interno, las validaciones y decisiones se retrasan. Las horas de espera son facturables bajo T&amp;M.</w:t>
            </w:r>
          </w:p>
        </w:tc>
      </w:tr>
      <w:tr>
        <w:tc>
          <w:tcPr>
            <w:tcW w:type="dxa" w:w="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S5</w:t>
            </w:r>
          </w:p>
        </w:tc>
        <w:tc>
          <w:tcPr>
            <w:tcW w:type="dxa" w:w="4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Las aplicaciones que conectan a SQL pueden ser modificadas por el equipo de desarrollo del cliente</w:t>
            </w:r>
          </w:p>
        </w:tc>
        <w:tc>
          <w:tcPr>
            <w:tcW w:type="dxa" w:w="4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Si hay aplicaciones sin responsable o no modificables, se documenta como riesgo residual y puede requerir horas adicionales de análisis.</w:t>
            </w:r>
          </w:p>
        </w:tc>
      </w:tr>
      <w:tr>
        <w:tc>
          <w:tcPr>
            <w:tcW w:type="dxa" w:w="3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S6</w:t>
            </w:r>
          </w:p>
        </w:tc>
        <w:tc>
          <w:tcPr>
            <w:tcW w:type="dxa" w:w="4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La infraestructura de red (VLAN, firewall, IPs virtuales) puede ser configurada por el área de redes del cliente en los tiempos acordados</w:t>
            </w:r>
          </w:p>
        </w:tc>
        <w:tc>
          <w:tcPr>
            <w:tcW w:type="dxa" w:w="4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Retrasos del área de redes impactan directamente las Fases 2 y 3. Se documenta como dependencia externa en el plan de proyecto.</w:t>
            </w:r>
          </w:p>
        </w:tc>
      </w:tr>
      <w:tr>
        <w:tc>
          <w:tcPr>
            <w:tcW w:type="dxa" w:w="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S7</w:t>
            </w:r>
          </w:p>
        </w:tc>
        <w:tc>
          <w:tcPr>
            <w:tcW w:type="dxa" w:w="4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El cliente aprueba el documento de diseño TO-BE en máximo 5 días hábiles tras su entrega</w:t>
            </w:r>
          </w:p>
        </w:tc>
        <w:tc>
          <w:tcPr>
            <w:tcW w:type="dxa" w:w="4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Retrasos en aprobaciones desplazan el Gantt. Cada semana de retraso en aprobación puede empujar el cutover de Producción.</w:t>
            </w:r>
          </w:p>
        </w:tc>
      </w:tr>
      <w:tr>
        <w:tc>
          <w:tcPr>
            <w:tcW w:type="dxa" w:w="3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S8</w:t>
            </w:r>
          </w:p>
        </w:tc>
        <w:tc>
          <w:tcPr>
            <w:tcW w:type="dxa" w:w="4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Los servidores con SQL Server 2019 serán actualizados a SQL 2022 por el equipo interno del cliente ANTES de la Fase 2</w:t>
            </w:r>
          </w:p>
        </w:tc>
        <w:tc>
          <w:tcPr>
            <w:tcW w:type="dxa" w:w="4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Si no están actualizados al iniciar la Fase 2, el proveedor puede realizar el upgrade como horas T&amp;M adicionales.</w:t>
            </w:r>
          </w:p>
        </w:tc>
      </w:tr>
      <w:tr>
        <w:tc>
          <w:tcPr>
            <w:tcW w:type="dxa" w:w="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S9</w:t>
            </w:r>
          </w:p>
        </w:tc>
        <w:tc>
          <w:tcPr>
            <w:tcW w:type="dxa" w:w="4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La ventana de mantenimiento para el cutover a Producción será de mínimo 6 horas en fin de semana</w:t>
            </w:r>
          </w:p>
        </w:tc>
        <w:tc>
          <w:tcPr>
            <w:tcW w:type="dxa" w:w="4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Una ventana insuficiente obliga a detener el cutover y reprogramar, generando horas adicionales y riesgo operativo.</w:t>
            </w:r>
          </w:p>
        </w:tc>
      </w:tr>
      <w:tr>
        <w:tc>
          <w:tcPr>
            <w:tcW w:type="dxa" w:w="3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S10</w:t>
            </w:r>
          </w:p>
        </w:tc>
        <w:tc>
          <w:tcPr>
            <w:tcW w:type="dxa" w:w="4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El proyecto cubre únicamente el ambiente de Producción y DR como alcance principal. UAT/DEV son opcionales</w:t>
            </w:r>
          </w:p>
        </w:tc>
        <w:tc>
          <w:tcPr>
            <w:tcW w:type="dxa" w:w="4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Si el cliente solicita incluir UAT y DEV en el mismo alcance, las horas se amplían proporcionalmente y se cotizan por separado.</w:t>
            </w:r>
          </w:p>
        </w:tc>
      </w:tr>
    </w:tbl>
    <w:p>
      <w:r>
        <w:br w:type="page"/>
      </w:r>
    </w:p>
    <w:p>
      <w:pPr>
        <w:shd w:fill="B71C1C" w:val="clear"/>
        <w:spacing w:after="0" w:before="300"/>
      </w:pPr>
      <w:r>
        <w:rPr>
          <w:rFonts w:ascii="Calibri" w:cs="Calibri" w:eastAsia="Calibri" w:hAnsi="Calibri"/>
          <w:b/>
          <w:bCs/>
          <w:color w:val="FFFFFF"/>
          <w:sz w:val="28"/>
          <w:szCs w:val="28"/>
        </w:rPr>
        <w:t xml:space="preserve">  ⚠️  6.  Registro de Riesgos y Plan de Mitigación  </w:t>
      </w:r>
    </w:p>
    <w:p>
      <w:pPr>
        <w:shd w:fill="B71C1C" w:val="clear"/>
        <w:spacing w:after="100" w:before="0"/>
      </w:pPr>
      <w:r>
        <w:rPr>
          <w:rFonts w:ascii="Calibri" w:cs="Calibri" w:eastAsia="Calibri" w:hAnsi="Calibri"/>
          <w:i/>
          <w:iCs/>
          <w:color w:val="CCDDEE"/>
          <w:sz w:val="17"/>
          <w:szCs w:val="17"/>
        </w:rPr>
        <w:t xml:space="preserve">       Los riesgos de alta probabilidad son los que el cliente debe entender antes de firmar  </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800"/>
        <w:gridCol w:w="860"/>
        <w:gridCol w:w="780"/>
        <w:gridCol w:w="3540"/>
      </w:tblGrid>
      <w:tr>
        <w:tc>
          <w:tcPr>
            <w:tcW w:type="dxa" w:w="38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w:t>
            </w:r>
          </w:p>
        </w:tc>
        <w:tc>
          <w:tcPr>
            <w:tcW w:type="dxa" w:w="280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Riesgo</w:t>
            </w:r>
          </w:p>
        </w:tc>
        <w:tc>
          <w:tcPr>
            <w:tcW w:type="dxa" w:w="86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Prob.</w:t>
            </w:r>
          </w:p>
        </w:tc>
        <w:tc>
          <w:tcPr>
            <w:tcW w:type="dxa" w:w="78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Impacto</w:t>
            </w:r>
          </w:p>
        </w:tc>
        <w:tc>
          <w:tcPr>
            <w:tcW w:type="dxa" w:w="3540"/>
            <w:tcBorders>
              <w:top w:val="single" w:color="B71C1C" w:sz="4"/>
              <w:left w:val="single" w:color="B71C1C" w:sz="4"/>
              <w:bottom w:val="single" w:color="B71C1C" w:sz="4"/>
              <w:right w:val="single" w:color="B71C1C" w:sz="4"/>
            </w:tcBorders>
            <w:shd w:fill="B71C1C"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Plan de mitigación</w:t>
            </w:r>
          </w:p>
        </w:tc>
      </w:tr>
      <w:tr>
        <w:tc>
          <w:tcPr>
            <w:tcW w:type="dxa" w:w="3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R1</w:t>
            </w:r>
          </w:p>
        </w:tc>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Cliente no provee información ni disponibilidad durante el proyecto</w:t>
            </w:r>
          </w:p>
        </w:tc>
        <w:tc>
          <w:tcPr>
            <w:tcW w:type="dxa" w:w="8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Alta</w:t>
            </w:r>
          </w:p>
        </w:tc>
        <w:tc>
          <w:tcPr>
            <w:tcW w:type="dxa" w:w="7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Crítico</w:t>
            </w:r>
          </w:p>
        </w:tc>
        <w:tc>
          <w:tcPr>
            <w:tcW w:type="dxa" w:w="354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Incluir cláusula T&amp;M: las horas se facturan independientemente de la disponibilidad del cliente. Establecer SLA de respuesta de 24 h para validaciones.</w:t>
            </w:r>
          </w:p>
        </w:tc>
      </w:tr>
      <w:tr>
        <w:tc>
          <w:tcPr>
            <w:tcW w:type="dxa" w:w="3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R2</w:t>
            </w:r>
          </w:p>
        </w:tc>
        <w:tc>
          <w:tcPr>
            <w:tcW w:type="dxa" w:w="280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BDs en modo de recuperación SIMPLE (no aptas para AG)</w:t>
            </w:r>
          </w:p>
        </w:tc>
        <w:tc>
          <w:tcPr>
            <w:tcW w:type="dxa" w:w="86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Alta</w:t>
            </w:r>
          </w:p>
        </w:tc>
        <w:tc>
          <w:tcPr>
            <w:tcW w:type="dxa" w:w="7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E65100"/>
                <w:sz w:val="18"/>
                <w:szCs w:val="18"/>
              </w:rPr>
              <w:t xml:space="preserve">Alto</w:t>
            </w:r>
          </w:p>
        </w:tc>
        <w:tc>
          <w:tcPr>
            <w:tcW w:type="dxa" w:w="354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Incluir actividad de cambio a modo FULL + backup base en la Fase 3. Comunicar al cliente que este paso es obligatorio y puede requerir ventana de mantenimiento previa.</w:t>
            </w:r>
          </w:p>
        </w:tc>
      </w:tr>
      <w:tr>
        <w:tc>
          <w:tcPr>
            <w:tcW w:type="dxa" w:w="3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R3</w:t>
            </w:r>
          </w:p>
        </w:tc>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Cadenas de conexión hardcodeadas en aplicaciones sin responsable técnico identificado</w:t>
            </w:r>
          </w:p>
        </w:tc>
        <w:tc>
          <w:tcPr>
            <w:tcW w:type="dxa" w:w="8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E65100"/>
                <w:sz w:val="18"/>
                <w:szCs w:val="18"/>
              </w:rPr>
              <w:t xml:space="preserve">Media</w:t>
            </w:r>
          </w:p>
        </w:tc>
        <w:tc>
          <w:tcPr>
            <w:tcW w:type="dxa" w:w="7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E65100"/>
                <w:sz w:val="18"/>
                <w:szCs w:val="18"/>
              </w:rPr>
              <w:t xml:space="preserve">Alto</w:t>
            </w:r>
          </w:p>
        </w:tc>
        <w:tc>
          <w:tcPr>
            <w:tcW w:type="dxa" w:w="354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Mapear todas las conexiones en la Fase 1. Si no hay responsable, escalar al patrocinador ejecutivo. Las horas adicionales de mapeo son T&amp;M adicionales.</w:t>
            </w:r>
          </w:p>
        </w:tc>
      </w:tr>
      <w:tr>
        <w:tc>
          <w:tcPr>
            <w:tcW w:type="dxa" w:w="3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R4</w:t>
            </w:r>
          </w:p>
        </w:tc>
        <w:tc>
          <w:tcPr>
            <w:tcW w:type="dxa" w:w="280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Nodos con SQL Server Standard Edition (no soporta AG)</w:t>
            </w:r>
          </w:p>
        </w:tc>
        <w:tc>
          <w:tcPr>
            <w:tcW w:type="dxa" w:w="86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Alta</w:t>
            </w:r>
          </w:p>
        </w:tc>
        <w:tc>
          <w:tcPr>
            <w:tcW w:type="dxa" w:w="7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Crítico</w:t>
            </w:r>
          </w:p>
        </w:tc>
        <w:tc>
          <w:tcPr>
            <w:tcW w:type="dxa" w:w="354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Validar edición en Fase 1. Si el cliente no tiene licencias Enterprise, paralizar el proyecto hasta obtenerlas. No iniciar la Fase 2 sin confirmación de licencias.</w:t>
            </w:r>
          </w:p>
        </w:tc>
      </w:tr>
      <w:tr>
        <w:tc>
          <w:tcPr>
            <w:tcW w:type="dxa" w:w="3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R5</w:t>
            </w:r>
          </w:p>
        </w:tc>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Latencia de red entre nodos &gt; 5 ms (degrada modo síncrono)</w:t>
            </w:r>
          </w:p>
        </w:tc>
        <w:tc>
          <w:tcPr>
            <w:tcW w:type="dxa" w:w="8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E65100"/>
                <w:sz w:val="18"/>
                <w:szCs w:val="18"/>
              </w:rPr>
              <w:t xml:space="preserve">Media</w:t>
            </w:r>
          </w:p>
        </w:tc>
        <w:tc>
          <w:tcPr>
            <w:tcW w:type="dxa" w:w="7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Medio</w:t>
            </w:r>
          </w:p>
        </w:tc>
        <w:tc>
          <w:tcPr>
            <w:tcW w:type="dxa" w:w="354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Medir latencia en Fase 1. Si supera 5 ms, configurar réplica DRP como asíncrona y documentar el cambio en el diseño.</w:t>
            </w:r>
          </w:p>
        </w:tc>
      </w:tr>
      <w:tr>
        <w:tc>
          <w:tcPr>
            <w:tcW w:type="dxa" w:w="3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R6</w:t>
            </w:r>
          </w:p>
        </w:tc>
        <w:tc>
          <w:tcPr>
            <w:tcW w:type="dxa" w:w="280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Aplicaciones sin retry logic que fallan en el failover</w:t>
            </w:r>
          </w:p>
        </w:tc>
        <w:tc>
          <w:tcPr>
            <w:tcW w:type="dxa" w:w="86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E65100"/>
                <w:sz w:val="18"/>
                <w:szCs w:val="18"/>
              </w:rPr>
              <w:t xml:space="preserve">Media</w:t>
            </w:r>
          </w:p>
        </w:tc>
        <w:tc>
          <w:tcPr>
            <w:tcW w:type="dxa" w:w="7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E65100"/>
                <w:sz w:val="18"/>
                <w:szCs w:val="18"/>
              </w:rPr>
              <w:t xml:space="preserve">Alto</w:t>
            </w:r>
          </w:p>
        </w:tc>
        <w:tc>
          <w:tcPr>
            <w:tcW w:type="dxa" w:w="354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Identificar en Fase 1. Recomendar al cliente agregar retry logic. Documentar como riesgo residual aceptado si el cliente no puede modificar la app.</w:t>
            </w:r>
          </w:p>
        </w:tc>
      </w:tr>
      <w:tr>
        <w:tc>
          <w:tcPr>
            <w:tcW w:type="dxa" w:w="3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R7</w:t>
            </w:r>
          </w:p>
        </w:tc>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Ventana de mantenimiento insuficiente para el seed de 100 GB</w:t>
            </w:r>
          </w:p>
        </w:tc>
        <w:tc>
          <w:tcPr>
            <w:tcW w:type="dxa" w:w="8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Baja</w:t>
            </w:r>
          </w:p>
        </w:tc>
        <w:tc>
          <w:tcPr>
            <w:tcW w:type="dxa" w:w="7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5E20"/>
                <w:sz w:val="18"/>
                <w:szCs w:val="18"/>
              </w:rPr>
              <w:t xml:space="preserve">Medio</w:t>
            </w:r>
          </w:p>
        </w:tc>
        <w:tc>
          <w:tcPr>
            <w:tcW w:type="dxa" w:w="354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Pre-seed 3 días antes del cutover. En la ventana solo sincronizar el delta (log transactions), no los 100 GB completos.</w:t>
            </w:r>
          </w:p>
        </w:tc>
      </w:tr>
      <w:tr>
        <w:tc>
          <w:tcPr>
            <w:tcW w:type="dxa" w:w="3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bCs/>
                <w:color w:val="B71C1C"/>
                <w:sz w:val="18"/>
                <w:szCs w:val="18"/>
              </w:rPr>
              <w:t xml:space="preserve">R8</w:t>
            </w:r>
          </w:p>
        </w:tc>
        <w:tc>
          <w:tcPr>
            <w:tcW w:type="dxa" w:w="280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El cliente espera que el proyecto esté terminado en 1-2 días</w:t>
            </w:r>
          </w:p>
        </w:tc>
        <w:tc>
          <w:tcPr>
            <w:tcW w:type="dxa" w:w="86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Alta</w:t>
            </w:r>
          </w:p>
        </w:tc>
        <w:tc>
          <w:tcPr>
            <w:tcW w:type="dxa" w:w="78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center"/>
            </w:pPr>
            <w:r>
              <w:rPr>
                <w:rFonts w:ascii="Calibri" w:cs="Calibri" w:eastAsia="Calibri" w:hAnsi="Calibri"/>
                <w:b w:val="false"/>
                <w:bCs w:val="false"/>
                <w:color w:val="B71C1C"/>
                <w:sz w:val="18"/>
                <w:szCs w:val="18"/>
              </w:rPr>
              <w:t xml:space="preserve">Crítico</w:t>
            </w:r>
          </w:p>
        </w:tc>
        <w:tc>
          <w:tcPr>
            <w:tcW w:type="dxa" w:w="3540"/>
            <w:tcBorders>
              <w:top w:val="single" w:color="CFD8DC" w:sz="4"/>
              <w:left w:val="single" w:color="CFD8DC" w:sz="4"/>
              <w:bottom w:val="single" w:color="CFD8DC" w:sz="4"/>
              <w:right w:val="single" w:color="CFD8DC" w:sz="4"/>
            </w:tcBorders>
            <w:shd w:fill="FF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Presentar este documento al cliente ANTES de firmar el contrato. El Gantt de 12 semanas y el desglose de 300 hrs es la evidencia objetiva de la complejidad.</w:t>
            </w:r>
          </w:p>
        </w:tc>
      </w:tr>
    </w:tbl>
    <w:p>
      <w:r>
        <w:br w:type="page"/>
      </w:r>
    </w:p>
    <w:p>
      <w:pPr>
        <w:shd w:fill="1B5E20" w:val="clear"/>
        <w:spacing w:after="0" w:before="300"/>
      </w:pPr>
      <w:r>
        <w:rPr>
          <w:rFonts w:ascii="Calibri" w:cs="Calibri" w:eastAsia="Calibri" w:hAnsi="Calibri"/>
          <w:b/>
          <w:bCs/>
          <w:color w:val="FFFFFF"/>
          <w:sz w:val="28"/>
          <w:szCs w:val="28"/>
        </w:rPr>
        <w:t xml:space="preserve">  💰  7.  Propuesta Económica — Tiempo y Materiales  </w:t>
      </w:r>
    </w:p>
    <w:p>
      <w:pPr>
        <w:shd w:fill="1B5E20" w:val="clear"/>
        <w:spacing w:after="100" w:before="0"/>
      </w:pPr>
      <w:r>
        <w:rPr>
          <w:rFonts w:ascii="Calibri" w:cs="Calibri" w:eastAsia="Calibri" w:hAnsi="Calibri"/>
          <w:i/>
          <w:iCs/>
          <w:color w:val="CCDDEE"/>
          <w:sz w:val="17"/>
          <w:szCs w:val="17"/>
        </w:rPr>
        <w:t xml:space="preserve">       Completar las tarifas según el acuerdo comercial antes de presentar al cliente  </w:t>
      </w:r>
    </w:p>
    <w:p>
      <w:pPr>
        <w:spacing w:after="0" w:before="70"/>
      </w:pPr>
      <w:r>
        <w:t xml:space="preserve"/>
      </w:r>
    </w:p>
    <w:p>
      <w:pPr>
        <w:spacing w:after="60" w:before="60"/>
      </w:pPr>
      <w:r>
        <w:rPr>
          <w:rFonts w:ascii="Calibri" w:cs="Calibri" w:eastAsia="Calibri" w:hAnsi="Calibri"/>
          <w:color w:val="1A1A2E"/>
          <w:sz w:val="20"/>
          <w:szCs w:val="20"/>
        </w:rPr>
        <w:t xml:space="preserve">La siguiente tabla presenta la estructura de costos bajo modalidad T&amp;M. Las tarifas por hora deben completarse de acuerdo con el acuerdo comercial vigente o las tarifas del proveedor. Los totales se calculan automáticamente multiplicando horas × tarifa.</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1500"/>
        <w:gridCol w:w="1760"/>
      </w:tblGrid>
      <w:tr>
        <w:tc>
          <w:tcPr>
            <w:tcW w:type="dxa" w:w="28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Perfil / Rol</w:t>
            </w:r>
          </w:p>
        </w:tc>
        <w:tc>
          <w:tcPr>
            <w:tcW w:type="dxa" w:w="18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Horas estimadas</w:t>
            </w:r>
          </w:p>
        </w:tc>
        <w:tc>
          <w:tcPr>
            <w:tcW w:type="dxa" w:w="15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Tarifa/hora
(USD)</w:t>
            </w:r>
          </w:p>
        </w:tc>
        <w:tc>
          <w:tcPr>
            <w:tcW w:type="dxa" w:w="15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Tarifa/hora
(MXN)</w:t>
            </w:r>
          </w:p>
        </w:tc>
        <w:tc>
          <w:tcPr>
            <w:tcW w:type="dxa" w:w="176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Subtotal
(referencia USD)</w:t>
            </w:r>
          </w:p>
        </w:tc>
      </w:tr>
      <w:tr>
        <w:tc>
          <w:tcPr>
            <w:tcW w:type="dxa" w:w="28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DBA Senior / Arquitecto SQL</w:t>
            </w:r>
          </w:p>
        </w:tc>
        <w:tc>
          <w:tcPr>
            <w:tcW w:type="dxa" w:w="18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 210</w:t>
            </w:r>
          </w:p>
        </w:tc>
        <w:tc>
          <w:tcPr>
            <w:tcW w:type="dxa" w:w="15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50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760"/>
            <w:tcBorders>
              <w:top w:val="single" w:color="CFD8DC" w:sz="4"/>
              <w:left w:val="single" w:color="CFD8DC" w:sz="4"/>
              <w:bottom w:val="single" w:color="CFD8DC" w:sz="4"/>
              <w:right w:val="single" w:color="CFD8DC" w:sz="4"/>
            </w:tcBorders>
            <w:shd w:fill="E3F2FD"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r>
      <w:tr>
        <w:tc>
          <w:tcPr>
            <w:tcW w:type="dxa" w:w="28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Arquitecto de Infraestructura</w:t>
            </w:r>
          </w:p>
        </w:tc>
        <w:tc>
          <w:tcPr>
            <w:tcW w:type="dxa" w:w="18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 72</w:t>
            </w:r>
          </w:p>
        </w:tc>
        <w:tc>
          <w:tcPr>
            <w:tcW w:type="dxa" w:w="15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50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760"/>
            <w:tcBorders>
              <w:top w:val="single" w:color="CFD8DC" w:sz="4"/>
              <w:left w:val="single" w:color="CFD8DC" w:sz="4"/>
              <w:bottom w:val="single" w:color="CFD8DC" w:sz="4"/>
              <w:right w:val="single" w:color="CFD8DC" w:sz="4"/>
            </w:tcBorders>
            <w:shd w:fill="F3E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r>
      <w:tr>
        <w:tc>
          <w:tcPr>
            <w:tcW w:type="dxa" w:w="28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Desarrollador / Apps (conexiones)</w:t>
            </w:r>
          </w:p>
        </w:tc>
        <w:tc>
          <w:tcPr>
            <w:tcW w:type="dxa" w:w="18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 62</w:t>
            </w:r>
          </w:p>
        </w:tc>
        <w:tc>
          <w:tcPr>
            <w:tcW w:type="dxa" w:w="15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5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7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r>
      <w:tr>
        <w:tc>
          <w:tcPr>
            <w:tcW w:type="dxa" w:w="2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bCs/>
                <w:color w:val="1A1A2E"/>
                <w:sz w:val="18"/>
                <w:szCs w:val="18"/>
              </w:rPr>
              <w:t xml:space="preserve">Gerente de Proyecto / PMO</w:t>
            </w:r>
          </w:p>
        </w:tc>
        <w:tc>
          <w:tcPr>
            <w:tcW w:type="dxa" w:w="18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1565C0"/>
                <w:sz w:val="18"/>
                <w:szCs w:val="18"/>
              </w:rPr>
              <w:t xml:space="preserve">≈ 53</w:t>
            </w:r>
          </w:p>
        </w:tc>
        <w:tc>
          <w:tcPr>
            <w:tcW w:type="dxa" w:w="15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5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c>
          <w:tcPr>
            <w:tcW w:type="dxa" w:w="17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55A64"/>
                <w:sz w:val="18"/>
                <w:szCs w:val="18"/>
              </w:rPr>
              <w:t xml:space="preserve">[          ]</w:t>
            </w:r>
          </w:p>
        </w:tc>
      </w:tr>
      <w:tr>
        <w:tc>
          <w:tcPr>
            <w:tcW w:type="dxa" w:w="4600"/>
            <w:tcBorders>
              <w:top w:val="single" w:color="CFD8DC" w:sz="4"/>
              <w:left w:val="single" w:color="CFD8DC" w:sz="4"/>
              <w:bottom w:val="single" w:color="CFD8DC" w:sz="4"/>
              <w:right w:val="single" w:color="CFD8DC" w:sz="4"/>
            </w:tcBorders>
            <w:shd w:fill="1A1A2E" w:val="clear"/>
            <w:tcMar>
              <w:top w:type="dxa" w:w="80"/>
              <w:left w:type="dxa" w:w="120"/>
              <w:bottom w:type="dxa" w:w="80"/>
              <w:right w:type="dxa" w:w="120"/>
            </w:tcMar>
            <w:vAlign w:val="center"/>
          </w:tcPr>
          <w:p>
            <w:pPr>
              <w:jc w:val="right"/>
            </w:pPr>
            <w:r>
              <w:rPr>
                <w:rFonts w:ascii="Calibri" w:cs="Calibri" w:eastAsia="Calibri" w:hAnsi="Calibri"/>
                <w:b/>
                <w:bCs/>
                <w:color w:val="FFFFFF"/>
                <w:sz w:val="18"/>
                <w:szCs w:val="18"/>
              </w:rPr>
              <w:t xml:space="preserve">TOTAL ESTIMADO DEL PROYECTO</w:t>
            </w:r>
          </w:p>
        </w:tc>
        <w:tc>
          <w:tcPr>
            <w:tcW w:type="dxa" w:w="1500"/>
            <w:tcBorders>
              <w:top w:val="single" w:color="CFD8DC" w:sz="4"/>
              <w:left w:val="single" w:color="CFD8DC" w:sz="4"/>
              <w:bottom w:val="single" w:color="CFD8DC" w:sz="4"/>
              <w:right w:val="single" w:color="CFD8DC"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 300 horas</w:t>
            </w:r>
          </w:p>
        </w:tc>
        <w:tc>
          <w:tcPr>
            <w:tcW w:type="dxa" w:w="1500"/>
            <w:tcBorders>
              <w:top w:val="single" w:color="CFD8DC" w:sz="4"/>
              <w:left w:val="single" w:color="CFD8DC" w:sz="4"/>
              <w:bottom w:val="single" w:color="CFD8DC" w:sz="4"/>
              <w:right w:val="single" w:color="CFD8DC" w:sz="4"/>
            </w:tcBorders>
            <w:shd w:fill="C00000"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
            </w:r>
          </w:p>
        </w:tc>
        <w:tc>
          <w:tcPr>
            <w:tcW w:type="dxa" w:w="1760"/>
            <w:tcBorders>
              <w:top w:val="single" w:color="CFD8DC" w:sz="4"/>
              <w:left w:val="single" w:color="CFD8DC" w:sz="4"/>
              <w:bottom w:val="single" w:color="CFD8DC" w:sz="4"/>
              <w:right w:val="single" w:color="CFD8DC"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          ]</w:t>
            </w:r>
          </w:p>
        </w:tc>
      </w:tr>
    </w:tbl>
    <w:p>
      <w:pPr>
        <w:spacing w:after="0" w:before="14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7.1  Condiciones comerciales T&amp;M</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Moneda: USD o MXN según acuerdo con el cliente.</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Facturación: Semanal o por hitos de fase completada (recomendado hitos para facilitar la aprobación del cliente).</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Horas mínimas por fase: Las horas se facturan conforme se ejecutan. Las fases que generan entregables tienen hito de aceptación.</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Horas adicionales: Se notifican con anticipación mínima de 24 horas antes de consumirlas. Requieren aprobación escrita del cliente.</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Vigencia de la propuesta: 30 días naturales a partir de la fecha de emisión.</w:t>
      </w:r>
    </w:p>
    <w:p>
      <w:pPr>
        <w:pStyle w:val="ListParagraph"/>
        <w:numPr>
          <w:ilvl w:val="0"/>
          <w:numId w:val="2"/>
        </w:numPr>
        <w:spacing w:after="50" w:before="50"/>
      </w:pPr>
      <w:r>
        <w:rPr>
          <w:rFonts w:ascii="Calibri" w:cs="Calibri" w:eastAsia="Calibri" w:hAnsi="Calibri"/>
          <w:b w:val="false"/>
          <w:bCs w:val="false"/>
          <w:color w:val="1A1A2E"/>
          <w:sz w:val="19"/>
          <w:szCs w:val="19"/>
        </w:rPr>
        <w:t xml:space="preserve">Forma de pago: Anticipo del 30% al inicio del proyecto + pagos por hitos de fase aprobados.</w:t>
      </w:r>
    </w:p>
    <w:p>
      <w:pPr>
        <w:spacing w:after="0" w:before="140"/>
      </w:pPr>
      <w:r>
        <w:t xml:space="preserve"/>
      </w:r>
    </w:p>
    <w:p>
      <w:pPr>
        <w:pBdr>
          <w:left w:val="single" w:color="1565C0" w:sz="16" w:space="4"/>
        </w:pBdr>
        <w:spacing w:after="80" w:before="200"/>
      </w:pPr>
      <w:r>
        <w:rPr>
          <w:rFonts w:ascii="Calibri" w:cs="Calibri" w:eastAsia="Calibri" w:hAnsi="Calibri"/>
          <w:b/>
          <w:bCs/>
          <w:color w:val="1565C0"/>
          <w:sz w:val="22"/>
          <w:szCs w:val="22"/>
        </w:rPr>
        <w:t xml:space="preserve">  7.2  Entregables incluidos en 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2600"/>
        <w:gridCol w:w="2200"/>
      </w:tblGrid>
      <w:tr>
        <w:tc>
          <w:tcPr>
            <w:tcW w:type="dxa" w:w="56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w:t>
            </w:r>
          </w:p>
        </w:tc>
        <w:tc>
          <w:tcPr>
            <w:tcW w:type="dxa" w:w="40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Entregable</w:t>
            </w:r>
          </w:p>
        </w:tc>
        <w:tc>
          <w:tcPr>
            <w:tcW w:type="dxa" w:w="26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Fase</w:t>
            </w:r>
          </w:p>
        </w:tc>
        <w:tc>
          <w:tcPr>
            <w:tcW w:type="dxa" w:w="220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Criterio de aceptación</w:t>
            </w:r>
          </w:p>
        </w:tc>
      </w:tr>
      <w:tr>
        <w:tc>
          <w:tcPr>
            <w:tcW w:type="dxa" w:w="5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E1</w:t>
            </w:r>
          </w:p>
        </w:tc>
        <w:tc>
          <w:tcPr>
            <w:tcW w:type="dxa" w:w="4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Inventario AS-IS documentado: BDs, instancias, cadenas de conexión, Log Shipping</w:t>
            </w:r>
          </w:p>
        </w:tc>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 1</w:t>
            </w:r>
          </w:p>
        </w:tc>
        <w:tc>
          <w:tcPr>
            <w:tcW w:type="dxa" w:w="2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Documento revisado y firmado por el cliente</w:t>
            </w:r>
          </w:p>
        </w:tc>
      </w:tr>
      <w:tr>
        <w:tc>
          <w:tcPr>
            <w:tcW w:type="dxa" w:w="5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E2</w:t>
            </w:r>
          </w:p>
        </w:tc>
        <w:tc>
          <w:tcPr>
            <w:tcW w:type="dxa" w:w="40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Documento de diseño TO-BE aprobado (arquitectura Always On)</w:t>
            </w:r>
          </w:p>
        </w:tc>
        <w:tc>
          <w:tcPr>
            <w:tcW w:type="dxa" w:w="26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 1</w:t>
            </w:r>
          </w:p>
        </w:tc>
        <w:tc>
          <w:tcPr>
            <w:tcW w:type="dxa" w:w="2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Aprobación escrita del cliente</w:t>
            </w:r>
          </w:p>
        </w:tc>
      </w:tr>
      <w:tr>
        <w:tc>
          <w:tcPr>
            <w:tcW w:type="dxa" w:w="5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E3</w:t>
            </w:r>
          </w:p>
        </w:tc>
        <w:tc>
          <w:tcPr>
            <w:tcW w:type="dxa" w:w="4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Ambiente Always On funcional en UAT con 20 BDs sincronizadas</w:t>
            </w:r>
          </w:p>
        </w:tc>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Fases 2-3</w:t>
            </w:r>
          </w:p>
        </w:tc>
        <w:tc>
          <w:tcPr>
            <w:tcW w:type="dxa" w:w="2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AG en estado SYNCHRONIZED en UAT</w:t>
            </w:r>
          </w:p>
        </w:tc>
      </w:tr>
      <w:tr>
        <w:tc>
          <w:tcPr>
            <w:tcW w:type="dxa" w:w="5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E4</w:t>
            </w:r>
          </w:p>
        </w:tc>
        <w:tc>
          <w:tcPr>
            <w:tcW w:type="dxa" w:w="40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Reporte de pruebas aprobado: failover, RTO, Read-Only Routing, funcional</w:t>
            </w:r>
          </w:p>
        </w:tc>
        <w:tc>
          <w:tcPr>
            <w:tcW w:type="dxa" w:w="26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 4</w:t>
            </w:r>
          </w:p>
        </w:tc>
        <w:tc>
          <w:tcPr>
            <w:tcW w:type="dxa" w:w="2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Reporte firmado por el cliente</w:t>
            </w:r>
          </w:p>
        </w:tc>
      </w:tr>
      <w:tr>
        <w:tc>
          <w:tcPr>
            <w:tcW w:type="dxa" w:w="5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E5</w:t>
            </w:r>
          </w:p>
        </w:tc>
        <w:tc>
          <w:tcPr>
            <w:tcW w:type="dxa" w:w="4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Producción operando en Always On (Log Shipping desactivado)</w:t>
            </w:r>
          </w:p>
        </w:tc>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 5</w:t>
            </w:r>
          </w:p>
        </w:tc>
        <w:tc>
          <w:tcPr>
            <w:tcW w:type="dxa" w:w="2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Go-Live firmado por el cliente</w:t>
            </w:r>
          </w:p>
        </w:tc>
      </w:tr>
      <w:tr>
        <w:tc>
          <w:tcPr>
            <w:tcW w:type="dxa" w:w="56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E6</w:t>
            </w:r>
          </w:p>
        </w:tc>
        <w:tc>
          <w:tcPr>
            <w:tcW w:type="dxa" w:w="40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Documentación final: arquitectura TO-BE, runbooks, procedimientos de failover</w:t>
            </w:r>
          </w:p>
        </w:tc>
        <w:tc>
          <w:tcPr>
            <w:tcW w:type="dxa" w:w="26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 6</w:t>
            </w:r>
          </w:p>
        </w:tc>
        <w:tc>
          <w:tcPr>
            <w:tcW w:type="dxa" w:w="220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Entrega y aceptación del paquete documental</w:t>
            </w:r>
          </w:p>
        </w:tc>
      </w:tr>
      <w:tr>
        <w:tc>
          <w:tcPr>
            <w:tcW w:type="dxa" w:w="5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565C0"/>
                <w:sz w:val="18"/>
                <w:szCs w:val="18"/>
              </w:rPr>
              <w:t xml:space="preserve">E7</w:t>
            </w:r>
          </w:p>
        </w:tc>
        <w:tc>
          <w:tcPr>
            <w:tcW w:type="dxa" w:w="4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Capacitación al equipo de operaciones (failover, monitoreo, backups en AG)</w:t>
            </w:r>
          </w:p>
        </w:tc>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4A148C"/>
                <w:sz w:val="18"/>
                <w:szCs w:val="18"/>
              </w:rPr>
              <w:t xml:space="preserve">Fase 6</w:t>
            </w:r>
          </w:p>
        </w:tc>
        <w:tc>
          <w:tcPr>
            <w:tcW w:type="dxa" w:w="2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455A64"/>
                <w:sz w:val="18"/>
                <w:szCs w:val="18"/>
              </w:rPr>
              <w:t xml:space="preserve">Evidencia de sesión de capacitación</w:t>
            </w:r>
          </w:p>
        </w:tc>
      </w:tr>
    </w:tbl>
    <w:p>
      <w:r>
        <w:br w:type="page"/>
      </w:r>
    </w:p>
    <w:p>
      <w:pPr>
        <w:shd w:fill="1B5E20" w:val="clear"/>
        <w:spacing w:after="0" w:before="300"/>
      </w:pPr>
      <w:r>
        <w:rPr>
          <w:rFonts w:ascii="Calibri" w:cs="Calibri" w:eastAsia="Calibri" w:hAnsi="Calibri"/>
          <w:b/>
          <w:bCs/>
          <w:color w:val="FFFFFF"/>
          <w:sz w:val="28"/>
          <w:szCs w:val="28"/>
        </w:rPr>
        <w:t xml:space="preserve">  🏁  8.  Criterios de Éxito y Condiciones de Aceptación  </w:t>
      </w:r>
    </w:p>
    <w:p>
      <w:pPr>
        <w:shd w:fill="1B5E20" w:val="clear"/>
        <w:spacing w:after="100" w:before="0"/>
      </w:pPr>
      <w:r>
        <w:rPr>
          <w:rFonts w:ascii="Calibri" w:cs="Calibri" w:eastAsia="Calibri" w:hAnsi="Calibri"/>
          <w:i/>
          <w:iCs/>
          <w:color w:val="CCDDEE"/>
          <w:sz w:val="17"/>
          <w:szCs w:val="17"/>
        </w:rPr>
        <w:t xml:space="preserve">       Métricas objetivas y medibles para declarar el proyecto terminado  </w:t>
      </w:r>
    </w:p>
    <w:p>
      <w:pPr>
        <w:spacing w:after="0" w:before="70"/>
      </w:pPr>
      <w:r>
        <w:t xml:space="preserve"/>
      </w:r>
    </w:p>
    <w:p>
      <w:pPr>
        <w:pStyle w:val="ListParagraph"/>
        <w:numPr>
          <w:ilvl w:val="0"/>
          <w:numId w:val="2"/>
        </w:numPr>
        <w:spacing w:after="50" w:before="50"/>
      </w:pPr>
      <w:r>
        <w:rPr>
          <w:rFonts w:ascii="Calibri" w:cs="Calibri" w:eastAsia="Calibri" w:hAnsi="Calibri"/>
          <w:b/>
          <w:bCs/>
          <w:color w:val="1A1A2E"/>
          <w:sz w:val="19"/>
          <w:szCs w:val="19"/>
        </w:rPr>
        <w:t xml:space="preserve">Las 20 bases de datos están en estado SYNCHRONIZED en el Availability Group de Producción.</w:t>
      </w:r>
    </w:p>
    <w:p>
      <w:pPr>
        <w:pStyle w:val="ListParagraph"/>
        <w:numPr>
          <w:ilvl w:val="0"/>
          <w:numId w:val="2"/>
        </w:numPr>
        <w:spacing w:after="50" w:before="50"/>
      </w:pPr>
      <w:r>
        <w:rPr>
          <w:rFonts w:ascii="Calibri" w:cs="Calibri" w:eastAsia="Calibri" w:hAnsi="Calibri"/>
          <w:b/>
          <w:bCs/>
          <w:color w:val="1A1A2E"/>
          <w:sz w:val="19"/>
          <w:szCs w:val="19"/>
        </w:rPr>
        <w:t xml:space="preserve">El Log Shipping ha sido completamente desactivado en todos los servidores origen.</w:t>
      </w:r>
    </w:p>
    <w:p>
      <w:pPr>
        <w:pStyle w:val="ListParagraph"/>
        <w:numPr>
          <w:ilvl w:val="0"/>
          <w:numId w:val="2"/>
        </w:numPr>
        <w:spacing w:after="50" w:before="50"/>
      </w:pPr>
      <w:r>
        <w:rPr>
          <w:rFonts w:ascii="Calibri" w:cs="Calibri" w:eastAsia="Calibri" w:hAnsi="Calibri"/>
          <w:b/>
          <w:bCs/>
          <w:color w:val="1A1A2E"/>
          <w:sz w:val="19"/>
          <w:szCs w:val="19"/>
        </w:rPr>
        <w:t xml:space="preserve">RTO medido en prueba de failover automático es menor a 30 segundos.</w:t>
      </w:r>
    </w:p>
    <w:p>
      <w:pPr>
        <w:pStyle w:val="ListParagraph"/>
        <w:numPr>
          <w:ilvl w:val="0"/>
          <w:numId w:val="2"/>
        </w:numPr>
        <w:spacing w:after="50" w:before="50"/>
      </w:pPr>
      <w:r>
        <w:rPr>
          <w:rFonts w:ascii="Calibri" w:cs="Calibri" w:eastAsia="Calibri" w:hAnsi="Calibri"/>
          <w:b/>
          <w:bCs/>
          <w:color w:val="1A1A2E"/>
          <w:sz w:val="19"/>
          <w:szCs w:val="19"/>
        </w:rPr>
        <w:t xml:space="preserve">RPO = 0 confirmado en modo síncrono entre nodos del Site Primario.</w:t>
      </w:r>
    </w:p>
    <w:p>
      <w:pPr>
        <w:pStyle w:val="ListParagraph"/>
        <w:numPr>
          <w:ilvl w:val="0"/>
          <w:numId w:val="2"/>
        </w:numPr>
        <w:spacing w:after="50" w:before="50"/>
      </w:pPr>
      <w:r>
        <w:rPr>
          <w:rFonts w:ascii="Calibri" w:cs="Calibri" w:eastAsia="Calibri" w:hAnsi="Calibri"/>
          <w:b/>
          <w:bCs/>
          <w:color w:val="1A1A2E"/>
          <w:sz w:val="19"/>
          <w:szCs w:val="19"/>
        </w:rPr>
        <w:t xml:space="preserve">Todas las aplicaciones conectan correctamente al AG Listener con MultiSubnetFailover=True.</w:t>
      </w:r>
    </w:p>
    <w:p>
      <w:pPr>
        <w:pStyle w:val="ListParagraph"/>
        <w:numPr>
          <w:ilvl w:val="0"/>
          <w:numId w:val="2"/>
        </w:numPr>
        <w:spacing w:after="50" w:before="50"/>
      </w:pPr>
      <w:r>
        <w:rPr>
          <w:rFonts w:ascii="Calibri" w:cs="Calibri" w:eastAsia="Calibri" w:hAnsi="Calibri"/>
          <w:b/>
          <w:bCs/>
          <w:color w:val="1A1A2E"/>
          <w:sz w:val="19"/>
          <w:szCs w:val="19"/>
        </w:rPr>
        <w:t xml:space="preserve">Read-Only Routing activo y verificado: consultas con ApplicationIntent=ReadOnly van a la réplica secundaria.</w:t>
      </w:r>
    </w:p>
    <w:p>
      <w:pPr>
        <w:pStyle w:val="ListParagraph"/>
        <w:numPr>
          <w:ilvl w:val="0"/>
          <w:numId w:val="2"/>
        </w:numPr>
        <w:spacing w:after="50" w:before="50"/>
      </w:pPr>
      <w:r>
        <w:rPr>
          <w:rFonts w:ascii="Calibri" w:cs="Calibri" w:eastAsia="Calibri" w:hAnsi="Calibri"/>
          <w:b/>
          <w:bCs/>
          <w:color w:val="1A1A2E"/>
          <w:sz w:val="19"/>
          <w:szCs w:val="19"/>
        </w:rPr>
        <w:t xml:space="preserve">DBCC CHECKDB sin errores en todas las réplicas del AG.</w:t>
      </w:r>
    </w:p>
    <w:p>
      <w:pPr>
        <w:pStyle w:val="ListParagraph"/>
        <w:numPr>
          <w:ilvl w:val="0"/>
          <w:numId w:val="2"/>
        </w:numPr>
        <w:spacing w:after="50" w:before="50"/>
      </w:pPr>
      <w:r>
        <w:rPr>
          <w:rFonts w:ascii="Calibri" w:cs="Calibri" w:eastAsia="Calibri" w:hAnsi="Calibri"/>
          <w:b/>
          <w:bCs/>
          <w:color w:val="1A1A2E"/>
          <w:sz w:val="19"/>
          <w:szCs w:val="19"/>
        </w:rPr>
        <w:t xml:space="preserve">Failover al Site DR probado, documentado y con RTO dentro del SLA definido.</w:t>
      </w:r>
    </w:p>
    <w:p>
      <w:pPr>
        <w:pStyle w:val="ListParagraph"/>
        <w:numPr>
          <w:ilvl w:val="0"/>
          <w:numId w:val="2"/>
        </w:numPr>
        <w:spacing w:after="50" w:before="50"/>
      </w:pPr>
      <w:r>
        <w:rPr>
          <w:rFonts w:ascii="Calibri" w:cs="Calibri" w:eastAsia="Calibri" w:hAnsi="Calibri"/>
          <w:b/>
          <w:bCs/>
          <w:color w:val="1A1A2E"/>
          <w:sz w:val="19"/>
          <w:szCs w:val="19"/>
        </w:rPr>
        <w:t xml:space="preserve">Equipo de operaciones capacitado: procedimientos de failover, monitoreo y backups en AG.</w:t>
      </w:r>
    </w:p>
    <w:p>
      <w:pPr>
        <w:pStyle w:val="ListParagraph"/>
        <w:numPr>
          <w:ilvl w:val="0"/>
          <w:numId w:val="2"/>
        </w:numPr>
        <w:spacing w:after="50" w:before="50"/>
      </w:pPr>
      <w:r>
        <w:rPr>
          <w:rFonts w:ascii="Calibri" w:cs="Calibri" w:eastAsia="Calibri" w:hAnsi="Calibri"/>
          <w:b/>
          <w:bCs/>
          <w:color w:val="1A1A2E"/>
          <w:sz w:val="19"/>
          <w:szCs w:val="19"/>
        </w:rPr>
        <w:t xml:space="preserve">Documentación técnica completa entregada, revisada y aceptada por el cliente.</w:t>
      </w:r>
    </w:p>
    <w:p>
      <w:pPr>
        <w:spacing w:after="0" w:before="210"/>
      </w:pPr>
      <w:r>
        <w:t xml:space="preserve"/>
      </w:r>
    </w:p>
    <w:p>
      <w:pPr>
        <w:pBdr>
          <w:top w:val="single" w:color="1565C0" w:sz="6" w:space="1"/>
        </w:pBdr>
        <w:spacing w:after="80" w:before="200"/>
      </w:pPr>
      <w:r>
        <w:rPr>
          <w:rFonts w:ascii="Calibri" w:cs="Calibri" w:eastAsia="Calibri" w:hAnsi="Calibri"/>
          <w:b/>
          <w:bCs/>
          <w:color w:val="0D2137"/>
          <w:sz w:val="22"/>
          <w:szCs w:val="22"/>
        </w:rPr>
        <w:t xml:space="preserve">Aprobación y Aceptación de la Propuesta</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Nombre</w:t>
            </w:r>
          </w:p>
        </w:tc>
        <w:tc>
          <w:tcPr>
            <w:tcW w:type="dxa" w:w="312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Cargo / Empresa</w:t>
            </w:r>
          </w:p>
        </w:tc>
        <w:tc>
          <w:tcPr>
            <w:tcW w:type="dxa" w:w="3120"/>
            <w:tcBorders>
              <w:top w:val="single" w:color="0D2137" w:sz="4"/>
              <w:left w:val="single" w:color="0D2137" w:sz="4"/>
              <w:bottom w:val="single" w:color="0D2137" w:sz="4"/>
              <w:right w:val="single" w:color="0D2137" w:sz="4"/>
            </w:tcBorders>
            <w:shd w:fill="0D2137" w:val="clear"/>
            <w:tcMar>
              <w:top w:type="dxa" w:w="95"/>
              <w:left w:type="dxa" w:w="130"/>
              <w:bottom w:type="dxa" w:w="95"/>
              <w:right w:type="dxa" w:w="130"/>
            </w:tcMar>
            <w:vAlign w:val="center"/>
          </w:tcPr>
          <w:p>
            <w:pPr>
              <w:jc w:val="center"/>
            </w:pPr>
            <w:r>
              <w:rPr>
                <w:rFonts w:ascii="Calibri" w:cs="Calibri" w:eastAsia="Calibri" w:hAnsi="Calibri"/>
                <w:b/>
                <w:bCs/>
                <w:color w:val="FFFFFF"/>
                <w:sz w:val="19"/>
                <w:szCs w:val="19"/>
              </w:rPr>
              <w:t xml:space="preserve">Firma y Fecha</w:t>
            </w:r>
          </w:p>
        </w:tc>
      </w:tr>
      <w:tr>
        <w:tc>
          <w:tcPr>
            <w:tcW w:type="dxa" w:w="312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tcPr>
          <w:p>
            <w:pPr>
              <w:pBdr>
                <w:bottom w:val="single" w:color="AAAAAA" w:sz="2" w:space="1"/>
              </w:pBdr>
              <w:spacing w:after="120" w:before="120"/>
            </w:pPr>
            <w:r>
              <w:rPr>
                <w:sz w:val="18"/>
                <w:szCs w:val="18"/>
              </w:rPr>
              <w:t xml:space="preserve"> </w:t>
            </w:r>
          </w:p>
        </w:tc>
        <w:tc>
          <w:tcPr>
            <w:tcW w:type="dxa" w:w="312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tcPr>
          <w:p>
            <w:pPr>
              <w:pBdr>
                <w:bottom w:val="single" w:color="AAAAAA" w:sz="2" w:space="1"/>
              </w:pBdr>
              <w:spacing w:after="120" w:before="120"/>
            </w:pPr>
            <w:r>
              <w:rPr>
                <w:sz w:val="18"/>
                <w:szCs w:val="18"/>
              </w:rPr>
              <w:t xml:space="preserve"> </w:t>
            </w:r>
          </w:p>
        </w:tc>
        <w:tc>
          <w:tcPr>
            <w:tcW w:type="dxa" w:w="3120"/>
            <w:tcBorders>
              <w:top w:val="single" w:color="CFD8DC" w:sz="4"/>
              <w:left w:val="single" w:color="CFD8DC" w:sz="4"/>
              <w:bottom w:val="single" w:color="CFD8DC" w:sz="4"/>
              <w:right w:val="single" w:color="CFD8DC" w:sz="4"/>
            </w:tcBorders>
            <w:shd w:fill="F5F5F5" w:val="clear"/>
            <w:tcMar>
              <w:top w:type="dxa" w:w="80"/>
              <w:left w:type="dxa" w:w="120"/>
              <w:bottom w:type="dxa" w:w="80"/>
              <w:right w:type="dxa" w:w="120"/>
            </w:tcMar>
          </w:tcPr>
          <w:p>
            <w:pPr>
              <w:pBdr>
                <w:bottom w:val="single" w:color="AAAAAA" w:sz="2" w:space="1"/>
              </w:pBdr>
              <w:spacing w:after="120" w:before="120"/>
            </w:pPr>
            <w:r>
              <w:rPr>
                <w:sz w:val="18"/>
                <w:szCs w:val="18"/>
              </w:rPr>
              <w:t xml:space="preserve"> </w:t>
            </w:r>
          </w:p>
        </w:tc>
      </w:tr>
      <w:tr>
        <w:tc>
          <w:tcPr>
            <w:tcW w:type="dxa" w:w="312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tcPr>
          <w:p>
            <w:pPr>
              <w:pBdr>
                <w:bottom w:val="single" w:color="AAAAAA" w:sz="2" w:space="1"/>
              </w:pBdr>
              <w:spacing w:after="120" w:before="120"/>
            </w:pPr>
            <w:r>
              <w:rPr>
                <w:sz w:val="18"/>
                <w:szCs w:val="18"/>
              </w:rPr>
              <w:t xml:space="preserve"> </w:t>
            </w:r>
          </w:p>
        </w:tc>
        <w:tc>
          <w:tcPr>
            <w:tcW w:type="dxa" w:w="312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tcPr>
          <w:p>
            <w:pPr>
              <w:pBdr>
                <w:bottom w:val="single" w:color="AAAAAA" w:sz="2" w:space="1"/>
              </w:pBdr>
              <w:spacing w:after="120" w:before="120"/>
            </w:pPr>
            <w:r>
              <w:rPr>
                <w:sz w:val="18"/>
                <w:szCs w:val="18"/>
              </w:rPr>
              <w:t xml:space="preserve"> </w:t>
            </w:r>
          </w:p>
        </w:tc>
        <w:tc>
          <w:tcPr>
            <w:tcW w:type="dxa" w:w="312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tcPr>
          <w:p>
            <w:pPr>
              <w:pBdr>
                <w:bottom w:val="single" w:color="AAAAAA" w:sz="2" w:space="1"/>
              </w:pBdr>
              <w:spacing w:after="120" w:before="120"/>
            </w:pPr>
            <w:r>
              <w:rPr>
                <w:sz w:val="18"/>
                <w:szCs w:val="18"/>
              </w:rPr>
              <w:t xml:space="preserve"> </w:t>
            </w:r>
          </w:p>
        </w:tc>
      </w:tr>
    </w:tbl>
    <w:p>
      <w:pPr>
        <w:spacing w:after="0" w:before="210"/>
      </w:pPr>
      <w:r>
        <w:t xml:space="preserve"/>
      </w:r>
    </w:p>
    <w:p>
      <w:pPr>
        <w:jc w:val="center"/>
      </w:pPr>
      <w:r>
        <w:rPr>
          <w:rFonts w:ascii="Calibri" w:cs="Calibri" w:eastAsia="Calibri" w:hAnsi="Calibri"/>
          <w:i/>
          <w:iCs/>
          <w:color w:val="888888"/>
          <w:sz w:val="18"/>
          <w:szCs w:val="18"/>
        </w:rPr>
        <w:t xml:space="preserve">— Fin del Documento —</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spacing w:before="60"/>
    </w:pPr>
    <w:r>
      <w:rPr>
        <w:rFonts w:ascii="Calibri" w:cs="Calibri" w:eastAsia="Calibri" w:hAnsi="Calibri"/>
        <w:color w:val="888888"/>
        <w:sz w:val="15"/>
        <w:szCs w:val="15"/>
      </w:rPr>
      <w:t xml:space="preserve">Versión 1.0  ·  Documento para revisión interna y presentación al cliente  ·  Uso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9026"/>
      </w:tabs>
      <w:spacing w:after="60"/>
    </w:pPr>
    <w:r>
      <w:rPr>
        <w:rFonts w:ascii="Calibri" w:cs="Calibri" w:eastAsia="Calibri" w:hAnsi="Calibri"/>
        <w:b/>
        <w:bCs/>
        <w:color w:val="1565C0"/>
        <w:sz w:val="17"/>
        <w:szCs w:val="17"/>
      </w:rPr>
      <w:t xml:space="preserve">ESTRATEGIA T&amp;M  |  Migración Log Shipping → SQL Server Always On  |  20 BDs · ~100 GB · ≈300 Hrs</w:t>
    </w:r>
    <w:r>
      <w:rPr>
        <w:rFonts w:ascii="Calibri" w:cs="Calibri" w:eastAsia="Calibri" w:hAnsi="Calibri"/>
        <w:color w:val="888888"/>
        <w:sz w:val="15"/>
        <w:szCs w:val="15"/>
      </w:rPr>
      <w:t xml:space="preserve">	2025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2026-06-07T21:59:54.198Z</dcterms:created>
  <dcterms:modified xsi:type="dcterms:W3CDTF">2026-06-07T21:59:54.211Z</dcterms:modified>
</cp:coreProperties>
</file>

<file path=docProps/custom.xml><?xml version="1.0" encoding="utf-8"?>
<Properties xmlns="http://schemas.openxmlformats.org/officeDocument/2006/custom-properties" xmlns:vt="http://schemas.openxmlformats.org/officeDocument/2006/docPropsVTypes"/>
</file>