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rFonts w:ascii="Calibri" w:cs="Calibri" w:eastAsia="Calibri" w:hAnsi="Calibri"/>
          <w:b/>
          <w:bCs/>
          <w:color w:val="2E5395"/>
          <w:spacing w:val="20"/>
          <w:sz w:val="26"/>
          <w:szCs w:val="26"/>
        </w:rPr>
        <w:t xml:space="preserve">PROPUESTA TÉCNICA</w:t>
      </w:r>
    </w:p>
    <w:p>
      <w:pPr>
        <w:spacing w:after="0" w:before="200"/>
        <w:jc w:val="center"/>
      </w:pPr>
      <w:r>
        <w:rPr>
          <w:rFonts w:ascii="Calibri" w:cs="Calibri" w:eastAsia="Calibri" w:hAnsi="Calibri"/>
          <w:b/>
          <w:bCs/>
          <w:color w:val="1F3864"/>
          <w:sz w:val="52"/>
          <w:szCs w:val="52"/>
        </w:rPr>
        <w:t xml:space="preserve">Implementación de Microsoft Intune</w:t>
      </w:r>
    </w:p>
    <w:p>
      <w:pPr>
        <w:spacing w:after="0" w:before="100"/>
        <w:jc w:val="center"/>
      </w:pPr>
      <w:r>
        <w:rPr>
          <w:rFonts w:ascii="Calibri" w:cs="Calibri" w:eastAsia="Calibri" w:hAnsi="Calibri"/>
          <w:color w:val="595959"/>
          <w:sz w:val="26"/>
          <w:szCs w:val="26"/>
        </w:rPr>
        <w:t xml:space="preserve">Gestión Cloud-Only (sin ambiente híbrido) para equipos macOS</w:t>
      </w:r>
    </w:p>
    <w:p>
      <w:pPr>
        <w:spacing w:after="0" w:before="600"/>
        <w:jc w:val="center"/>
      </w:pPr>
      <w:r>
        <w:rPr>
          <w:rFonts w:ascii="Calibri" w:cs="Calibri" w:eastAsia="Calibri" w:hAnsi="Calibri"/>
          <w:i/>
          <w:iCs/>
          <w:color w:val="595959"/>
          <w:sz w:val="21"/>
          <w:szCs w:val="21"/>
        </w:rPr>
        <w:t xml:space="preserve">10 equipos macOS · Integración con red corporativa on-premise</w:t>
      </w:r>
    </w:p>
    <w:p>
      <w:pPr>
        <w:spacing w:after="0" w:before="2000"/>
        <w:jc w:val="center"/>
      </w:pPr>
      <w:r>
        <w:rPr>
          <w:rFonts w:ascii="Calibri" w:cs="Calibri" w:eastAsia="Calibri" w:hAnsi="Calibri"/>
          <w:color w:val="595959"/>
          <w:sz w:val="20"/>
          <w:szCs w:val="20"/>
        </w:rPr>
        <w:t xml:space="preserve">Fecha: 6 de agosto de 2026</w:t>
      </w:r>
    </w:p>
    <w:p>
      <w:pPr>
        <w:spacing w:after="0" w:before="100"/>
        <w:jc w:val="center"/>
      </w:pPr>
      <w:r>
        <w:rPr>
          <w:rFonts w:ascii="Calibri" w:cs="Calibri" w:eastAsia="Calibri" w:hAnsi="Calibri"/>
          <w:color w:val="595959"/>
          <w:sz w:val="20"/>
          <w:szCs w:val="20"/>
        </w:rPr>
        <w:t xml:space="preserve">Versión 1.0 — Confidencial</w:t>
      </w:r>
    </w:p>
    <w:p>
      <w:r>
        <w:br w:type="page"/>
      </w:r>
    </w:p>
    <w:p>
      <w:pPr>
        <w:pStyle w:val="Heading1"/>
        <w:pBdr>
          <w:bottom w:val="single" w:color="2E5395" w:sz="6" w:space="4"/>
        </w:pBdr>
        <w:spacing w:after="200" w:before="480"/>
      </w:pPr>
      <w:r>
        <w:rPr>
          <w:rFonts w:ascii="Calibri" w:cs="Calibri" w:eastAsia="Calibri" w:hAnsi="Calibri"/>
          <w:b/>
          <w:bCs/>
          <w:color w:val="1F3864"/>
          <w:sz w:val="30"/>
          <w:szCs w:val="30"/>
        </w:rPr>
        <w:t xml:space="preserve">1. Resumen Ejecutivo</w:t>
      </w:r>
    </w:p>
    <w:p>
      <w:pPr>
        <w:spacing w:after="160" w:line="276"/>
      </w:pPr>
      <w:r>
        <w:rPr>
          <w:rFonts w:ascii="Calibri" w:cs="Calibri" w:eastAsia="Calibri" w:hAnsi="Calibri"/>
          <w:color w:val="262626"/>
          <w:sz w:val="21"/>
          <w:szCs w:val="21"/>
        </w:rPr>
        <w:t xml:space="preserve">El cliente ha decidido adoptar Microsoft Intune como plataforma única de gestión de dispositivos (UEM) para un parque inicial de 10 equipos macOS, bajo un modelo de identidad y administración 100% en la nube (Microsoft Entra ID cloud-only), descartando explícitamente cualquier esquema híbrido de identidad o de unión de dispositivos a Active Directory on-premise.</w:t>
      </w:r>
    </w:p>
    <w:p>
      <w:pPr>
        <w:spacing w:after="160" w:line="276"/>
      </w:pPr>
      <w:r>
        <w:rPr>
          <w:rFonts w:ascii="Calibri" w:cs="Calibri" w:eastAsia="Calibri" w:hAnsi="Calibri"/>
          <w:color w:val="262626"/>
          <w:sz w:val="21"/>
          <w:szCs w:val="21"/>
        </w:rPr>
        <w:t xml:space="preserve">Aun operando bajo un modelo cloud-only de gestión, los equipos permanecerán conectados físicamente a la red corporativa (LAN/Wi-Fi) para consumir servicios de infraestructura local: resolución DNS, asignación DHCP, acceso a un recurso compartido de red específico (NAS) y salida a Internet a través del perímetro del cliente. Esta convivencia — dispositivos gestionados 100% desde la nube, en una red físicamente on-premise — es el eje arquitectónico de esta propuesta y determina varias decisiones técnicas descritas en la sección 5.</w:t>
      </w:r>
    </w:p>
    <w:p>
      <w:pPr>
        <w:spacing w:after="160" w:line="276"/>
      </w:pPr>
      <w:r>
        <w:rPr>
          <w:rFonts w:ascii="Calibri" w:cs="Calibri" w:eastAsia="Calibri" w:hAnsi="Calibri"/>
          <w:color w:val="262626"/>
          <w:sz w:val="21"/>
          <w:szCs w:val="21"/>
        </w:rPr>
        <w:t xml:space="preserve">Adicionalmente, se solicita un endurecimiento de seguridad (hardening) que incluye bloqueo de puertos USB, restricción de dispositivos externos, limitación de recursos compartidos entre equipos (permitiendo únicamente el mapeo hacia el NAS corporativo), bloqueo de captura de pantalla (screenshots/screen recording), política de protector de pantalla (screensaver) y fondo de pantalla (wallpaper) corporativo. Esta propuesta amplía dicho conjunto con un catálogo de políticas adicionales recomendadas (sección 5.4) alineadas a buenas prácticas de seguridad de endpoints Apple.</w:t>
      </w:r>
    </w:p>
    <w:p>
      <w:pPr>
        <w:spacing w:after="160" w:line="276"/>
      </w:pPr>
      <w:r>
        <w:rPr>
          <w:rFonts w:ascii="Calibri" w:cs="Calibri" w:eastAsia="Calibri" w:hAnsi="Calibri"/>
          <w:color w:val="262626"/>
          <w:sz w:val="21"/>
          <w:szCs w:val="21"/>
        </w:rPr>
        <w:t xml:space="preserve">El documento presenta el alcance, la arquitectura propuesta, los requerimientos técnicos y humanos, los supuestos, un cronograma estimado, las opciones de licenciamiento, la matriz de riesgos y una estimación de costos asociados (licenciamiento SaaS; no se contempla consumo relevante de infraestructura Azure IaaS dado el modelo de la solución, según se detalla en la sección 12).</w:t>
      </w:r>
    </w:p>
    <w:p>
      <w:pPr>
        <w:pStyle w:val="Heading1"/>
        <w:pBdr>
          <w:bottom w:val="single" w:color="2E5395" w:sz="6" w:space="4"/>
        </w:pBdr>
        <w:spacing w:after="200" w:before="480"/>
      </w:pPr>
      <w:r>
        <w:rPr>
          <w:rFonts w:ascii="Calibri" w:cs="Calibri" w:eastAsia="Calibri" w:hAnsi="Calibri"/>
          <w:b/>
          <w:bCs/>
          <w:color w:val="1F3864"/>
          <w:sz w:val="30"/>
          <w:szCs w:val="30"/>
        </w:rPr>
        <w:t xml:space="preserve">2. Situación Actual</w:t>
      </w:r>
    </w:p>
    <w:p>
      <w:pPr>
        <w:spacing w:after="160" w:line="276"/>
      </w:pPr>
      <w:r>
        <w:rPr>
          <w:rFonts w:ascii="Calibri" w:cs="Calibri" w:eastAsia="Calibri" w:hAnsi="Calibri"/>
          <w:color w:val="262626"/>
          <w:sz w:val="21"/>
          <w:szCs w:val="21"/>
        </w:rPr>
        <w:t xml:space="preserve">De acuerdo con lo levantado con el cliente, la situación de partida es la siguiente:</w:t>
      </w:r>
    </w:p>
    <w:p>
      <w:pPr>
        <w:pStyle w:val="ListParagraph"/>
        <w:numPr>
          <w:ilvl w:val="0"/>
          <w:numId w:val="2"/>
        </w:numPr>
        <w:spacing w:after="90"/>
      </w:pPr>
      <w:r>
        <w:rPr>
          <w:rFonts w:ascii="Calibri" w:cs="Calibri" w:eastAsia="Calibri" w:hAnsi="Calibri"/>
          <w:color w:val="262626"/>
          <w:sz w:val="21"/>
          <w:szCs w:val="21"/>
        </w:rPr>
        <w:t xml:space="preserve">El cliente cuenta con un dominio Active Directory (AD) on-premise que provee actualmente DNS, DHCP y al menos un servicio de almacenamiento en red (NAS) para mapeo de unidades.</w:t>
      </w:r>
    </w:p>
    <w:p>
      <w:pPr>
        <w:pStyle w:val="ListParagraph"/>
        <w:numPr>
          <w:ilvl w:val="0"/>
          <w:numId w:val="2"/>
        </w:numPr>
        <w:spacing w:after="90"/>
      </w:pPr>
      <w:r>
        <w:rPr>
          <w:rFonts w:ascii="Calibri" w:cs="Calibri" w:eastAsia="Calibri" w:hAnsi="Calibri"/>
          <w:color w:val="262626"/>
          <w:sz w:val="21"/>
          <w:szCs w:val="21"/>
        </w:rPr>
        <w:t xml:space="preserve">Los 10 equipos macOS no cuentan hoy con una plataforma de gestión unificada (MDM/UEM); su administración y aplicación de políticas de seguridad es manual o inexistente.</w:t>
      </w:r>
    </w:p>
    <w:p>
      <w:pPr>
        <w:pStyle w:val="ListParagraph"/>
        <w:numPr>
          <w:ilvl w:val="0"/>
          <w:numId w:val="2"/>
        </w:numPr>
        <w:spacing w:after="90"/>
      </w:pPr>
      <w:r>
        <w:rPr>
          <w:rFonts w:ascii="Calibri" w:cs="Calibri" w:eastAsia="Calibri" w:hAnsi="Calibri"/>
          <w:color w:val="262626"/>
          <w:sz w:val="21"/>
          <w:szCs w:val="21"/>
        </w:rPr>
        <w:t xml:space="preserve">No existe un baseline documentado de seguridad para estos equipos (USB, capturas de pantalla, protector de pantalla, fondo de pantalla, prevención de intercambio de archivos entre equipos).</w:t>
      </w:r>
    </w:p>
    <w:p>
      <w:pPr>
        <w:pStyle w:val="ListParagraph"/>
        <w:numPr>
          <w:ilvl w:val="0"/>
          <w:numId w:val="2"/>
        </w:numPr>
        <w:spacing w:after="90"/>
      </w:pPr>
      <w:r>
        <w:rPr>
          <w:rFonts w:ascii="Calibri" w:cs="Calibri" w:eastAsia="Calibri" w:hAnsi="Calibri"/>
          <w:color w:val="262626"/>
          <w:sz w:val="21"/>
          <w:szCs w:val="21"/>
        </w:rPr>
        <w:t xml:space="preserve">El cliente tiene la intención explícita de no extender su Active Directory hacia un modelo híbrido (sin Microsoft Entra Connect ni unión híbrida de dispositivos).</w:t>
      </w:r>
    </w:p>
    <w:p>
      <w:pPr>
        <w:pStyle w:val="ListParagraph"/>
        <w:numPr>
          <w:ilvl w:val="0"/>
          <w:numId w:val="2"/>
        </w:numPr>
        <w:spacing w:after="90"/>
      </w:pPr>
      <w:r>
        <w:rPr>
          <w:rFonts w:ascii="Calibri" w:cs="Calibri" w:eastAsia="Calibri" w:hAnsi="Calibri"/>
          <w:color w:val="262626"/>
          <w:sz w:val="21"/>
          <w:szCs w:val="21"/>
        </w:rPr>
        <w:t xml:space="preserve">Los equipos deben permanecer físicamente conectados a la red corporativa para operar con normalidad (impresión, NAS, Internet corporativo, filtrado de contenido/perímetro).</w:t>
      </w:r>
    </w:p>
    <w:p>
      <w:pPr>
        <w:pBdr>
          <w:left w:val="single" w:color="BF8F00" w:sz="18" w:space="8"/>
        </w:pBdr>
        <w:shd w:fill="FFF6E5" w:val="clear"/>
        <w:spacing w:after="200" w:before="80"/>
        <w:ind w:left="120"/>
      </w:pPr>
      <w:r>
        <w:rPr>
          <w:rFonts w:ascii="Calibri" w:cs="Calibri" w:eastAsia="Calibri" w:hAnsi="Calibri"/>
          <w:i/>
          <w:iCs/>
          <w:color w:val="3B3B3B"/>
          <w:sz w:val="20"/>
          <w:szCs w:val="20"/>
        </w:rPr>
        <w:t xml:space="preserve">Nota: esta sección se debe validar y complementar con el cliente durante la fase de descubrimiento (levantamiento formal), ya que algunos datos (versión de macOS, origen de compra de los equipos, capacidades del NAS) son supuestos de trabajo — ver sección 8.</w:t>
      </w:r>
    </w:p>
    <w:p>
      <w:pPr>
        <w:pStyle w:val="Heading1"/>
        <w:pBdr>
          <w:bottom w:val="single" w:color="2E5395" w:sz="6" w:space="4"/>
        </w:pBdr>
        <w:spacing w:after="200" w:before="480"/>
      </w:pPr>
      <w:r>
        <w:rPr>
          <w:rFonts w:ascii="Calibri" w:cs="Calibri" w:eastAsia="Calibri" w:hAnsi="Calibri"/>
          <w:b/>
          <w:bCs/>
          <w:color w:val="1F3864"/>
          <w:sz w:val="30"/>
          <w:szCs w:val="30"/>
        </w:rPr>
        <w:t xml:space="preserve">3. Objetivos</w:t>
      </w:r>
    </w:p>
    <w:p>
      <w:pPr>
        <w:pStyle w:val="Heading2"/>
        <w:spacing w:after="140" w:before="320"/>
      </w:pPr>
      <w:r>
        <w:rPr>
          <w:rFonts w:ascii="Calibri" w:cs="Calibri" w:eastAsia="Calibri" w:hAnsi="Calibri"/>
          <w:b/>
          <w:bCs/>
          <w:color w:val="2E5395"/>
          <w:sz w:val="24"/>
          <w:szCs w:val="24"/>
        </w:rPr>
        <w:t xml:space="preserve">3.1 Objetivo General</w:t>
      </w:r>
    </w:p>
    <w:p>
      <w:pPr>
        <w:spacing w:after="160" w:line="276"/>
      </w:pPr>
      <w:r>
        <w:rPr>
          <w:rFonts w:ascii="Calibri" w:cs="Calibri" w:eastAsia="Calibri" w:hAnsi="Calibri"/>
          <w:color w:val="262626"/>
          <w:sz w:val="21"/>
          <w:szCs w:val="21"/>
        </w:rPr>
        <w:t xml:space="preserve">Implementar Microsoft Intune como plataforma única de gestión (UEM) para los 10 equipos macOS del cliente, bajo un modelo de identidad 100% en la nube (Microsoft Entra ID, sin componentes híbridos), garantizando el acceso de dichos equipos a los recursos de la red corporativa local y aplicando un baseline de seguridad alineado a las políticas solicitadas y a las mejores prácticas de la industria.</w:t>
      </w:r>
    </w:p>
    <w:p>
      <w:pPr>
        <w:pStyle w:val="Heading2"/>
        <w:spacing w:after="140" w:before="320"/>
      </w:pPr>
      <w:r>
        <w:rPr>
          <w:rFonts w:ascii="Calibri" w:cs="Calibri" w:eastAsia="Calibri" w:hAnsi="Calibri"/>
          <w:b/>
          <w:bCs/>
          <w:color w:val="2E5395"/>
          <w:sz w:val="24"/>
          <w:szCs w:val="24"/>
        </w:rPr>
        <w:t xml:space="preserve">3.2 Objetivos Específicos</w:t>
      </w:r>
    </w:p>
    <w:p>
      <w:pPr>
        <w:pStyle w:val="ListParagraph"/>
        <w:numPr>
          <w:ilvl w:val="0"/>
          <w:numId w:val="2"/>
        </w:numPr>
        <w:spacing w:after="90"/>
      </w:pPr>
      <w:r>
        <w:rPr>
          <w:rFonts w:ascii="Calibri" w:cs="Calibri" w:eastAsia="Calibri" w:hAnsi="Calibri"/>
          <w:color w:val="262626"/>
          <w:sz w:val="21"/>
          <w:szCs w:val="21"/>
        </w:rPr>
        <w:t xml:space="preserve">Configurar un tenant Microsoft Entra ID (cloud-only) como base de identidad para los 10 equipos y sus usuarios.</w:t>
      </w:r>
    </w:p>
    <w:p>
      <w:pPr>
        <w:pStyle w:val="ListParagraph"/>
        <w:numPr>
          <w:ilvl w:val="0"/>
          <w:numId w:val="2"/>
        </w:numPr>
        <w:spacing w:after="90"/>
      </w:pPr>
      <w:r>
        <w:rPr>
          <w:rFonts w:ascii="Calibri" w:cs="Calibri" w:eastAsia="Calibri" w:hAnsi="Calibri"/>
          <w:color w:val="262626"/>
          <w:sz w:val="21"/>
          <w:szCs w:val="21"/>
        </w:rPr>
        <w:t xml:space="preserve">Integrar Apple Business Manager (ABM) con Intune para habilitar inscripción automatizada (Automated Device Enrollment / ADE) y modo supervisado en los equipos.</w:t>
      </w:r>
    </w:p>
    <w:p>
      <w:pPr>
        <w:pStyle w:val="ListParagraph"/>
        <w:numPr>
          <w:ilvl w:val="0"/>
          <w:numId w:val="2"/>
        </w:numPr>
        <w:spacing w:after="90"/>
      </w:pPr>
      <w:r>
        <w:rPr>
          <w:rFonts w:ascii="Calibri" w:cs="Calibri" w:eastAsia="Calibri" w:hAnsi="Calibri"/>
          <w:color w:val="262626"/>
          <w:sz w:val="21"/>
          <w:szCs w:val="21"/>
        </w:rPr>
        <w:t xml:space="preserve">Inscribir los 10 equipos macOS en Intune y aplicar perfiles de configuración, cumplimiento (compliance) y seguridad.</w:t>
      </w:r>
    </w:p>
    <w:p>
      <w:pPr>
        <w:pStyle w:val="ListParagraph"/>
        <w:numPr>
          <w:ilvl w:val="0"/>
          <w:numId w:val="2"/>
        </w:numPr>
        <w:spacing w:after="90"/>
      </w:pPr>
      <w:r>
        <w:rPr>
          <w:rFonts w:ascii="Calibri" w:cs="Calibri" w:eastAsia="Calibri" w:hAnsi="Calibri"/>
          <w:color w:val="262626"/>
          <w:sz w:val="21"/>
          <w:szCs w:val="21"/>
        </w:rPr>
        <w:t xml:space="preserve">Garantizar que, sin unión a un dominio AD, los equipos conserven acceso a los servicios de red local: DNS, DHCP, Internet corporativo y un mapeo de red hacia el NAS.</w:t>
      </w:r>
    </w:p>
    <w:p>
      <w:pPr>
        <w:pStyle w:val="ListParagraph"/>
        <w:numPr>
          <w:ilvl w:val="0"/>
          <w:numId w:val="2"/>
        </w:numPr>
        <w:spacing w:after="90"/>
      </w:pPr>
      <w:r>
        <w:rPr>
          <w:rFonts w:ascii="Calibri" w:cs="Calibri" w:eastAsia="Calibri" w:hAnsi="Calibri"/>
          <w:color w:val="262626"/>
          <w:sz w:val="21"/>
          <w:szCs w:val="21"/>
        </w:rPr>
        <w:t xml:space="preserve">Aplicar las políticas de seguridad solicitadas: bloqueo de USB, restricción de recursos compartidos entre máquinas (solo NAS permitido), bloqueo de capturas/grabación de pantalla, política de screensaver y wallpaper corporativo.</w:t>
      </w:r>
    </w:p>
    <w:p>
      <w:pPr>
        <w:pStyle w:val="ListParagraph"/>
        <w:numPr>
          <w:ilvl w:val="0"/>
          <w:numId w:val="2"/>
        </w:numPr>
        <w:spacing w:after="90"/>
      </w:pPr>
      <w:r>
        <w:rPr>
          <w:rFonts w:ascii="Calibri" w:cs="Calibri" w:eastAsia="Calibri" w:hAnsi="Calibri"/>
          <w:color w:val="262626"/>
          <w:sz w:val="21"/>
          <w:szCs w:val="21"/>
        </w:rPr>
        <w:t xml:space="preserve">Incorporar políticas de seguridad adicionales recomendadas (cifrado de disco, firewall, gestión de actualizaciones, control de cuentas, EDR, etc. — ver sección 5.4).</w:t>
      </w:r>
    </w:p>
    <w:p>
      <w:pPr>
        <w:pStyle w:val="ListParagraph"/>
        <w:numPr>
          <w:ilvl w:val="0"/>
          <w:numId w:val="2"/>
        </w:numPr>
        <w:spacing w:after="90"/>
      </w:pPr>
      <w:r>
        <w:rPr>
          <w:rFonts w:ascii="Calibri" w:cs="Calibri" w:eastAsia="Calibri" w:hAnsi="Calibri"/>
          <w:color w:val="262626"/>
          <w:sz w:val="21"/>
          <w:szCs w:val="21"/>
        </w:rPr>
        <w:t xml:space="preserve">Ejecutar un piloto controlado antes del despliegue total, documentar la solución y transferir conocimiento al equipo de TI del cliente.</w:t>
      </w:r>
    </w:p>
    <w:p>
      <w:pPr>
        <w:pStyle w:val="Heading1"/>
        <w:pBdr>
          <w:bottom w:val="single" w:color="2E5395" w:sz="6" w:space="4"/>
        </w:pBdr>
        <w:spacing w:after="200" w:before="480"/>
      </w:pPr>
      <w:r>
        <w:rPr>
          <w:rFonts w:ascii="Calibri" w:cs="Calibri" w:eastAsia="Calibri" w:hAnsi="Calibri"/>
          <w:b/>
          <w:bCs/>
          <w:color w:val="1F3864"/>
          <w:sz w:val="30"/>
          <w:szCs w:val="30"/>
        </w:rPr>
        <w:t xml:space="preserve">4. Arquitectura de la Solución</w:t>
      </w:r>
    </w:p>
    <w:p>
      <w:pPr>
        <w:pStyle w:val="Heading2"/>
        <w:spacing w:after="140" w:before="320"/>
      </w:pPr>
      <w:r>
        <w:rPr>
          <w:rFonts w:ascii="Calibri" w:cs="Calibri" w:eastAsia="Calibri" w:hAnsi="Calibri"/>
          <w:b/>
          <w:bCs/>
          <w:color w:val="2E5395"/>
          <w:sz w:val="24"/>
          <w:szCs w:val="24"/>
        </w:rPr>
        <w:t xml:space="preserve">4.1 Principios de diseño</w:t>
      </w:r>
    </w:p>
    <w:p>
      <w:pPr>
        <w:pStyle w:val="ListParagraph"/>
        <w:numPr>
          <w:ilvl w:val="0"/>
          <w:numId w:val="2"/>
        </w:numPr>
        <w:spacing w:after="90"/>
      </w:pPr>
      <w:r>
        <w:rPr>
          <w:rFonts w:ascii="Calibri" w:cs="Calibri" w:eastAsia="Calibri" w:hAnsi="Calibri"/>
          <w:color w:val="262626"/>
          <w:sz w:val="21"/>
          <w:szCs w:val="21"/>
        </w:rPr>
        <w:t xml:space="preserve">Identidad y gestión de dispositivos 100% en la nube: Microsoft Entra ID (cloud-only) + Microsoft Intune, sin Microsoft Entra Connect ni unión híbrida de dispositivos (Hybrid Entra Join no aplica a macOS de cualquier forma; en Windows tampoco se usará).</w:t>
      </w:r>
    </w:p>
    <w:p>
      <w:pPr>
        <w:pStyle w:val="ListParagraph"/>
        <w:numPr>
          <w:ilvl w:val="0"/>
          <w:numId w:val="2"/>
        </w:numPr>
        <w:spacing w:after="90"/>
      </w:pPr>
      <w:r>
        <w:rPr>
          <w:rFonts w:ascii="Calibri" w:cs="Calibri" w:eastAsia="Calibri" w:hAnsi="Calibri"/>
          <w:color w:val="262626"/>
          <w:sz w:val="21"/>
          <w:szCs w:val="21"/>
        </w:rPr>
        <w:t xml:space="preserve">Conectividad de red separada de la identidad: el acceso a DNS, DHCP e Internet corporativo se resuelve a nivel de red (Capa 2/3), no depende de que el equipo esté unido a un dominio. Cualquier dispositivo físicamente conectado a la LAN/Wi-Fi corporativa obtiene estos servicios igual que hoy.</w:t>
      </w:r>
    </w:p>
    <w:p>
      <w:pPr>
        <w:pStyle w:val="ListParagraph"/>
        <w:numPr>
          <w:ilvl w:val="0"/>
          <w:numId w:val="2"/>
        </w:numPr>
        <w:spacing w:after="90"/>
      </w:pPr>
      <w:r>
        <w:rPr>
          <w:rFonts w:ascii="Calibri" w:cs="Calibri" w:eastAsia="Calibri" w:hAnsi="Calibri"/>
          <w:color w:val="262626"/>
          <w:sz w:val="21"/>
          <w:szCs w:val="21"/>
        </w:rPr>
        <w:t xml:space="preserve">Modo supervisado (supervised) en todos los equipos mediante Automated Device Enrollment (ADE) vía Apple Business Manager, requisito técnico para poder aplicar de forma forzosa varias de las políticas solicitadas (USB, bloqueo de capturas de pantalla).</w:t>
      </w:r>
    </w:p>
    <w:p>
      <w:pPr>
        <w:pStyle w:val="ListParagraph"/>
        <w:numPr>
          <w:ilvl w:val="0"/>
          <w:numId w:val="2"/>
        </w:numPr>
        <w:spacing w:after="90"/>
      </w:pPr>
      <w:r>
        <w:rPr>
          <w:rFonts w:ascii="Calibri" w:cs="Calibri" w:eastAsia="Calibri" w:hAnsi="Calibri"/>
          <w:color w:val="262626"/>
          <w:sz w:val="21"/>
          <w:szCs w:val="21"/>
        </w:rPr>
        <w:t xml:space="preserve">Principio de mínimo privilegio y superficie de ataque reducida: los usuarios operan con cuenta estándar; separación de credenciales administrativas.</w:t>
      </w:r>
    </w:p>
    <w:p>
      <w:pPr>
        <w:pStyle w:val="Heading2"/>
        <w:spacing w:after="140" w:before="320"/>
      </w:pPr>
      <w:r>
        <w:rPr>
          <w:rFonts w:ascii="Calibri" w:cs="Calibri" w:eastAsia="Calibri" w:hAnsi="Calibri"/>
          <w:b/>
          <w:bCs/>
          <w:color w:val="2E5395"/>
          <w:sz w:val="24"/>
          <w:szCs w:val="24"/>
        </w:rPr>
        <w:t xml:space="preserve">4.2 Diagrama lógico de la solución</w:t>
      </w:r>
    </w:p>
    <w:p>
      <w:pPr>
        <w:spacing w:after="160" w:line="276"/>
      </w:pPr>
      <w:r>
        <w:rPr>
          <w:rFonts w:ascii="Calibri" w:cs="Calibri" w:eastAsia="Calibri" w:hAnsi="Calibri"/>
          <w:color w:val="262626"/>
          <w:sz w:val="21"/>
          <w:szCs w:val="21"/>
        </w:rPr>
        <w:t xml:space="preserve">(Ver representación visual entregada como anexo/artefacto en la conversación: tenant Entra ID cloud-only → Apple Business Manager → Intune → 10 equipos macOS conectados a la LAN corporativa, con acceso a DNS/DHCP/Internet/NAS.)</w:t>
      </w:r>
    </w:p>
    <w:p>
      <w:pPr>
        <w:pStyle w:val="Heading2"/>
        <w:spacing w:after="140" w:before="320"/>
      </w:pPr>
      <w:r>
        <w:rPr>
          <w:rFonts w:ascii="Calibri" w:cs="Calibri" w:eastAsia="Calibri" w:hAnsi="Calibri"/>
          <w:b/>
          <w:bCs/>
          <w:color w:val="2E5395"/>
          <w:sz w:val="24"/>
          <w:szCs w:val="24"/>
        </w:rPr>
        <w:t xml:space="preserve">4.3 Identidad y enrolamiento</w:t>
      </w:r>
    </w:p>
    <w:p>
      <w:pPr>
        <w:pStyle w:val="ListParagraph"/>
        <w:numPr>
          <w:ilvl w:val="0"/>
          <w:numId w:val="2"/>
        </w:numPr>
        <w:spacing w:after="90"/>
      </w:pPr>
      <w:r>
        <w:rPr>
          <w:rFonts w:ascii="Calibri" w:cs="Calibri" w:eastAsia="Calibri" w:hAnsi="Calibri"/>
          <w:color w:val="262626"/>
          <w:sz w:val="21"/>
          <w:szCs w:val="21"/>
        </w:rPr>
        <w:t xml:space="preserve">Tenant Microsoft Entra ID dedicado o existente, configurado como fuente única de identidad (cuentas cloud-only; no se sincronizan desde AD on-premise mediante Entra Connect).</w:t>
      </w:r>
    </w:p>
    <w:p>
      <w:pPr>
        <w:pStyle w:val="ListParagraph"/>
        <w:numPr>
          <w:ilvl w:val="0"/>
          <w:numId w:val="2"/>
        </w:numPr>
        <w:spacing w:after="90"/>
      </w:pPr>
      <w:r>
        <w:rPr>
          <w:rFonts w:ascii="Calibri" w:cs="Calibri" w:eastAsia="Calibri" w:hAnsi="Calibri"/>
          <w:color w:val="262626"/>
          <w:sz w:val="21"/>
          <w:szCs w:val="21"/>
        </w:rPr>
        <w:t xml:space="preserve">Cuenta de Apple Business Manager (ABM) vinculada al tenant de Intune mediante token MDM de Apple (renovable anualmente).</w:t>
      </w:r>
    </w:p>
    <w:p>
      <w:pPr>
        <w:pStyle w:val="ListParagraph"/>
        <w:numPr>
          <w:ilvl w:val="0"/>
          <w:numId w:val="2"/>
        </w:numPr>
        <w:spacing w:after="90"/>
      </w:pPr>
      <w:r>
        <w:rPr>
          <w:rFonts w:ascii="Calibri" w:cs="Calibri" w:eastAsia="Calibri" w:hAnsi="Calibri"/>
          <w:color w:val="262626"/>
          <w:sz w:val="21"/>
          <w:szCs w:val="21"/>
        </w:rPr>
        <w:t xml:space="preserve">Los 10 equipos deben quedar asociados a ABM (idealmente por compra a través de Apple o reseller autorizado; alternativa en sección 8 — Supuestos/Riesgos) para inscripción automática (ADE) y modo supervisado.</w:t>
      </w:r>
    </w:p>
    <w:p>
      <w:pPr>
        <w:pStyle w:val="ListParagraph"/>
        <w:numPr>
          <w:ilvl w:val="0"/>
          <w:numId w:val="2"/>
        </w:numPr>
        <w:spacing w:after="90"/>
      </w:pPr>
      <w:r>
        <w:rPr>
          <w:rFonts w:ascii="Calibri" w:cs="Calibri" w:eastAsia="Calibri" w:hAnsi="Calibri"/>
          <w:color w:val="262626"/>
          <w:sz w:val="21"/>
          <w:szCs w:val="21"/>
        </w:rPr>
        <w:t xml:space="preserve">Perfil de inscripción configurado en modo "con afinidad de usuario" (user affinity), permitiendo Single Sign-On corporativo desde el primer arranque (Setup Assistant).</w:t>
      </w:r>
    </w:p>
    <w:p>
      <w:pPr>
        <w:pStyle w:val="Heading2"/>
        <w:spacing w:after="140" w:before="320"/>
      </w:pPr>
      <w:r>
        <w:rPr>
          <w:rFonts w:ascii="Calibri" w:cs="Calibri" w:eastAsia="Calibri" w:hAnsi="Calibri"/>
          <w:b/>
          <w:bCs/>
          <w:color w:val="2E5395"/>
          <w:sz w:val="24"/>
          <w:szCs w:val="24"/>
        </w:rPr>
        <w:t xml:space="preserve">4.4 Acceso a recursos de red local (sin unión a dominio AD)</w:t>
      </w:r>
    </w:p>
    <w:p>
      <w:pPr>
        <w:spacing w:after="160" w:line="276"/>
      </w:pPr>
      <w:r>
        <w:rPr>
          <w:rFonts w:ascii="Calibri" w:cs="Calibri" w:eastAsia="Calibri" w:hAnsi="Calibri"/>
          <w:color w:val="262626"/>
          <w:sz w:val="21"/>
          <w:szCs w:val="21"/>
        </w:rPr>
        <w:t xml:space="preserve">Dado que el cliente descarta el modelo híbrido, se evalúan dos enfoques para el acceso al NAS, manteniendo DNS/DHCP/Internet como servicios de red estándar (no requieren pertenencia a dominio):</w:t>
      </w:r>
    </w:p>
    <w:p>
      <w:pPr>
        <w:spacing w:after="60" w:before="80"/>
      </w:pPr>
      <w:r>
        <w:rPr>
          <w:rFonts w:ascii="Calibri" w:cs="Calibri" w:eastAsia="Calibri" w:hAnsi="Calibri"/>
          <w:b/>
          <w:bCs/>
          <w:color w:val="1F3864"/>
          <w:sz w:val="21"/>
          <w:szCs w:val="21"/>
        </w:rPr>
        <w:t xml:space="preserve">Opción A (recomendada) — Autenticación local al NAS, 100% cloud-only:</w:t>
      </w:r>
    </w:p>
    <w:p>
      <w:pPr>
        <w:pStyle w:val="ListParagraph"/>
        <w:numPr>
          <w:ilvl w:val="0"/>
          <w:numId w:val="2"/>
        </w:numPr>
        <w:spacing w:after="90"/>
      </w:pPr>
      <w:r>
        <w:rPr>
          <w:rFonts w:ascii="Calibri" w:cs="Calibri" w:eastAsia="Calibri" w:hAnsi="Calibri"/>
          <w:color w:val="262626"/>
          <w:sz w:val="21"/>
          <w:szCs w:val="21"/>
        </w:rPr>
        <w:t xml:space="preserve">El mapeo hacia el NAS se realiza vía SMB (smb://) utilizando una cuenta local del NAS (o credenciales dedicadas), almacenada de forma segura en el llavero (Keychain) del equipo.</w:t>
      </w:r>
    </w:p>
    <w:p>
      <w:pPr>
        <w:pStyle w:val="ListParagraph"/>
        <w:numPr>
          <w:ilvl w:val="0"/>
          <w:numId w:val="2"/>
        </w:numPr>
        <w:spacing w:after="90"/>
      </w:pPr>
      <w:r>
        <w:rPr>
          <w:rFonts w:ascii="Calibri" w:cs="Calibri" w:eastAsia="Calibri" w:hAnsi="Calibri"/>
          <w:color w:val="262626"/>
          <w:sz w:val="21"/>
          <w:szCs w:val="21"/>
        </w:rPr>
        <w:t xml:space="preserve">Intune despliega el punto de montaje (login item / script shell empaquetado como script de Intune para macOS) de forma estandarizada en los 10 equipos.</w:t>
      </w:r>
    </w:p>
    <w:p>
      <w:pPr>
        <w:pStyle w:val="ListParagraph"/>
        <w:numPr>
          <w:ilvl w:val="0"/>
          <w:numId w:val="2"/>
        </w:numPr>
        <w:spacing w:after="90"/>
      </w:pPr>
      <w:r>
        <w:rPr>
          <w:rFonts w:ascii="Calibri" w:cs="Calibri" w:eastAsia="Calibri" w:hAnsi="Calibri"/>
          <w:color w:val="262626"/>
          <w:sz w:val="21"/>
          <w:szCs w:val="21"/>
        </w:rPr>
        <w:t xml:space="preserve">No requiere ningún componente on-premise adicional (sin Entra Connect, sin Kerberos trust). Alineado 100% con el requisito de "sin ambiente híbrido".</w:t>
      </w:r>
    </w:p>
    <w:p>
      <w:pPr>
        <w:spacing w:after="60" w:before="120"/>
      </w:pPr>
      <w:r>
        <w:rPr>
          <w:rFonts w:ascii="Calibri" w:cs="Calibri" w:eastAsia="Calibri" w:hAnsi="Calibri"/>
          <w:b/>
          <w:bCs/>
          <w:color w:val="1F3864"/>
          <w:sz w:val="21"/>
          <w:szCs w:val="21"/>
        </w:rPr>
        <w:t xml:space="preserve">Opción B — SSO con Active Directory vía Microsoft Entra Kerberos SSO Extension:</w:t>
      </w:r>
    </w:p>
    <w:p>
      <w:pPr>
        <w:pStyle w:val="ListParagraph"/>
        <w:numPr>
          <w:ilvl w:val="0"/>
          <w:numId w:val="2"/>
        </w:numPr>
        <w:spacing w:after="90"/>
      </w:pPr>
      <w:r>
        <w:rPr>
          <w:rFonts w:ascii="Calibri" w:cs="Calibri" w:eastAsia="Calibri" w:hAnsi="Calibri"/>
          <w:color w:val="262626"/>
          <w:sz w:val="21"/>
          <w:szCs w:val="21"/>
        </w:rPr>
        <w:t xml:space="preserve">Permite que el usuario obtenga un ticket Kerberos contra el AD on-premise (para SSO transparente al NAS) sin unir el Mac al dominio.</w:t>
      </w:r>
    </w:p>
    <w:p>
      <w:pPr>
        <w:pStyle w:val="ListParagraph"/>
        <w:numPr>
          <w:ilvl w:val="0"/>
          <w:numId w:val="2"/>
        </w:numPr>
        <w:spacing w:after="90"/>
      </w:pPr>
      <w:r>
        <w:rPr>
          <w:rFonts w:ascii="Calibri" w:cs="Calibri" w:eastAsia="Calibri" w:hAnsi="Calibri"/>
          <w:color w:val="262626"/>
          <w:sz w:val="21"/>
          <w:szCs w:val="21"/>
        </w:rPr>
        <w:t xml:space="preserve">Técnicamente requiere publicar un objeto "Microsoft Entra Kerberos" en el AD on-premise y un mínimo de sincronización de identidad (Microsoft Entra Connect o Cloud Sync) — es decir, introduce un componente híbrido de identidad, aunque el dispositivo permanezca cloud-only.</w:t>
      </w:r>
    </w:p>
    <w:p>
      <w:pPr>
        <w:pBdr>
          <w:left w:val="single" w:color="BF8F00" w:sz="18" w:space="8"/>
        </w:pBdr>
        <w:shd w:fill="FFF6E5" w:val="clear"/>
        <w:spacing w:after="200" w:before="80"/>
        <w:ind w:left="120"/>
      </w:pPr>
      <w:r>
        <w:rPr>
          <w:rFonts w:ascii="Calibri" w:cs="Calibri" w:eastAsia="Calibri" w:hAnsi="Calibri"/>
          <w:i/>
          <w:iCs/>
          <w:color w:val="3B3B3B"/>
          <w:sz w:val="20"/>
          <w:szCs w:val="20"/>
        </w:rPr>
        <w:t xml:space="preserve">Recomendación: dado que el cliente fue explícito en no querer ambiente híbrido, se sugiere la Opción A como diseño base de esta propuesta. La Opción B queda documentada como alternativa futura (fuera de alcance de esta fase — ver sección 6) en caso de que el cliente reconsidere o el NAS exija autenticación AD exclusivamente.</w:t>
      </w:r>
    </w:p>
    <w:p>
      <w:pPr>
        <w:pStyle w:val="ListParagraph"/>
        <w:numPr>
          <w:ilvl w:val="0"/>
          <w:numId w:val="2"/>
        </w:numPr>
        <w:spacing w:after="90"/>
      </w:pPr>
      <w:r>
        <w:rPr>
          <w:rFonts w:ascii="Calibri" w:cs="Calibri" w:eastAsia="Calibri" w:hAnsi="Calibri"/>
          <w:color w:val="262626"/>
          <w:sz w:val="21"/>
          <w:szCs w:val="21"/>
        </w:rPr>
        <w:t xml:space="preserve">DNS y DHCP: sin cambios respecto al esquema actual del cliente; los equipos obtienen IP, gateway y servidores DNS desde el DHCP corporativo al conectarse a la red, igual que cualquier otro dispositivo de la LAN.</w:t>
      </w:r>
    </w:p>
    <w:p>
      <w:pPr>
        <w:pStyle w:val="ListParagraph"/>
        <w:numPr>
          <w:ilvl w:val="0"/>
          <w:numId w:val="2"/>
        </w:numPr>
        <w:spacing w:after="90"/>
      </w:pPr>
      <w:r>
        <w:rPr>
          <w:rFonts w:ascii="Calibri" w:cs="Calibri" w:eastAsia="Calibri" w:hAnsi="Calibri"/>
          <w:color w:val="262626"/>
          <w:sz w:val="21"/>
          <w:szCs w:val="21"/>
        </w:rPr>
        <w:t xml:space="preserve">Internet: se mantiene la salida actual del cliente (proxy/firewall/perímetro); Intune no reemplaza ni administra el perímetro de red.</w:t>
      </w:r>
    </w:p>
    <w:p>
      <w:pPr>
        <w:pStyle w:val="Heading2"/>
        <w:spacing w:after="140" w:before="320"/>
      </w:pPr>
      <w:r>
        <w:rPr>
          <w:rFonts w:ascii="Calibri" w:cs="Calibri" w:eastAsia="Calibri" w:hAnsi="Calibri"/>
          <w:b/>
          <w:bCs/>
          <w:color w:val="2E5395"/>
          <w:sz w:val="24"/>
          <w:szCs w:val="24"/>
        </w:rPr>
        <w:t xml:space="preserve">4.5 Perfiles de configuración y seguridad en Intune (macOS)</w:t>
      </w:r>
    </w:p>
    <w:p>
      <w:pPr>
        <w:spacing w:after="160" w:line="276"/>
      </w:pPr>
      <w:r>
        <w:rPr>
          <w:rFonts w:ascii="Calibri" w:cs="Calibri" w:eastAsia="Calibri" w:hAnsi="Calibri"/>
          <w:color w:val="262626"/>
          <w:sz w:val="21"/>
          <w:szCs w:val="21"/>
        </w:rPr>
        <w:t xml:space="preserve">Las políticas solicitadas se implementan mediante perfiles de configuración de Intune para macOS (payloads nativos de Apple vía MDM, más scripts/Custom Attributes cuando aplique):</w:t>
      </w:r>
    </w:p>
    <w:p>
      <w:pPr>
        <w:pStyle w:val="ListParagraph"/>
        <w:numPr>
          <w:ilvl w:val="0"/>
          <w:numId w:val="2"/>
        </w:numPr>
        <w:spacing w:after="90"/>
      </w:pPr>
      <w:r>
        <w:rPr>
          <w:rFonts w:ascii="Calibri" w:cs="Calibri" w:eastAsia="Calibri" w:hAnsi="Calibri"/>
          <w:color w:val="262626"/>
          <w:sz w:val="21"/>
          <w:szCs w:val="21"/>
        </w:rPr>
        <w:t xml:space="preserve">Bloqueo de puertos USB / almacenamiento externo: perfil de Restricciones (Restrictions payload) — deshabilita montaje de discos externos/USB. Requiere modo supervisado (ADE).</w:t>
      </w:r>
    </w:p>
    <w:p>
      <w:pPr>
        <w:pStyle w:val="ListParagraph"/>
        <w:numPr>
          <w:ilvl w:val="0"/>
          <w:numId w:val="2"/>
        </w:numPr>
        <w:spacing w:after="90"/>
      </w:pPr>
      <w:r>
        <w:rPr>
          <w:rFonts w:ascii="Calibri" w:cs="Calibri" w:eastAsia="Calibri" w:hAnsi="Calibri"/>
          <w:color w:val="262626"/>
          <w:sz w:val="21"/>
          <w:szCs w:val="21"/>
        </w:rPr>
        <w:t xml:space="preserve">Compartir/mapeos entre máquinas: deshabilitar AirDrop, Compartir pantalla (Screen Sharing), Compartir archivos personal (File Sharing) y Content Caching; permitir únicamente el punto de montaje hacia el NAS configurado por TI (sección 4.4).</w:t>
      </w:r>
    </w:p>
    <w:p>
      <w:pPr>
        <w:pStyle w:val="ListParagraph"/>
        <w:numPr>
          <w:ilvl w:val="0"/>
          <w:numId w:val="2"/>
        </w:numPr>
        <w:spacing w:after="90"/>
      </w:pPr>
      <w:r>
        <w:rPr>
          <w:rFonts w:ascii="Calibri" w:cs="Calibri" w:eastAsia="Calibri" w:hAnsi="Calibri"/>
          <w:color w:val="262626"/>
          <w:sz w:val="21"/>
          <w:szCs w:val="21"/>
        </w:rPr>
        <w:t xml:space="preserve">Bloqueo de captura de pantalla: perfil de Restricciones — deshabilita "Screen Shots" (bloquea capturas y, en versiones soportadas, grabación de pantalla). Requiere modo supervisado.</w:t>
      </w:r>
    </w:p>
    <w:p>
      <w:pPr>
        <w:pStyle w:val="ListParagraph"/>
        <w:numPr>
          <w:ilvl w:val="0"/>
          <w:numId w:val="2"/>
        </w:numPr>
        <w:spacing w:after="90"/>
      </w:pPr>
      <w:r>
        <w:rPr>
          <w:rFonts w:ascii="Calibri" w:cs="Calibri" w:eastAsia="Calibri" w:hAnsi="Calibri"/>
          <w:color w:val="262626"/>
          <w:sz w:val="21"/>
          <w:szCs w:val="21"/>
        </w:rPr>
        <w:t xml:space="preserve">Política de Screensaver: perfil personalizado (dominio com.apple.screensaver) forzando tiempo de inactividad máximo y solicitud de contraseña al reactivar.</w:t>
      </w:r>
    </w:p>
    <w:p>
      <w:pPr>
        <w:pStyle w:val="ListParagraph"/>
        <w:numPr>
          <w:ilvl w:val="0"/>
          <w:numId w:val="2"/>
        </w:numPr>
        <w:spacing w:after="90"/>
      </w:pPr>
      <w:r>
        <w:rPr>
          <w:rFonts w:ascii="Calibri" w:cs="Calibri" w:eastAsia="Calibri" w:hAnsi="Calibri"/>
          <w:color w:val="262626"/>
          <w:sz w:val="21"/>
          <w:szCs w:val="21"/>
        </w:rPr>
        <w:t xml:space="preserve">Wallpaper corporativo: perfil que despliega la imagen de fondo institucional y restringe su modificación por el usuario final.</w:t>
      </w:r>
    </w:p>
    <w:p>
      <w:pPr>
        <w:pStyle w:val="Heading2"/>
        <w:spacing w:after="140" w:before="320"/>
      </w:pPr>
      <w:r>
        <w:rPr>
          <w:rFonts w:ascii="Calibri" w:cs="Calibri" w:eastAsia="Calibri" w:hAnsi="Calibri"/>
          <w:b/>
          <w:bCs/>
          <w:color w:val="2E5395"/>
          <w:sz w:val="24"/>
          <w:szCs w:val="24"/>
        </w:rPr>
        <w:t xml:space="preserve">4.6 Sistemas involucrados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900"/>
        <w:gridCol w:w="4200"/>
      </w:tblGrid>
      <w:tr>
        <w:trPr>
          <w:tblHeader/>
        </w:trPr>
        <w:tc>
          <w:tcPr>
            <w:tcW w:type="dxa" w:w="2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Componente</w:t>
            </w:r>
          </w:p>
        </w:tc>
        <w:tc>
          <w:tcPr>
            <w:tcW w:type="dxa" w:w="29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 en la solución</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Ubicación</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Entra ID</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Identidad cloud-only, Conditional Access</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Nube (Microsoft 365)</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Intune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MDM/UEM, perfiles, cumplimiento, apps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Nube (Microsoft 365)</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Apple Business Manager</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ADE / inscripción automática y supervisión</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Nube (Apple)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Active Directory on-premise</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DNS, DHCP, NAS (recurso compartido)</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On-premise del cliente</w:t>
            </w:r>
          </w:p>
        </w:tc>
      </w:tr>
      <w:tr>
        <w:tc>
          <w:tcPr>
            <w:tcW w:type="dxa" w:w="2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Red corporativa (LAN/Wi-Fi)</w:t>
            </w:r>
          </w:p>
        </w:tc>
        <w:tc>
          <w:tcPr>
            <w:tcW w:type="dxa" w:w="29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Conectividad física, DHCP, Internet</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On-premise del cliente</w:t>
            </w:r>
          </w:p>
        </w:tc>
      </w:tr>
      <w:tr>
        <w:tc>
          <w:tcPr>
            <w:tcW w:type="dxa" w:w="2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 equipos macOS</w:t>
            </w:r>
          </w:p>
        </w:tc>
        <w:tc>
          <w:tcPr>
            <w:tcW w:type="dxa" w:w="29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Endpoints gestionados</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Instalaciones del cliente</w:t>
            </w:r>
          </w:p>
        </w:tc>
      </w:tr>
    </w:tbl>
    <w:p>
      <w:pPr>
        <w:pStyle w:val="Heading1"/>
        <w:pBdr>
          <w:bottom w:val="single" w:color="2E5395" w:sz="6" w:space="4"/>
        </w:pBdr>
        <w:spacing w:after="200" w:before="480"/>
      </w:pPr>
      <w:r>
        <w:rPr>
          <w:rFonts w:ascii="Calibri" w:cs="Calibri" w:eastAsia="Calibri" w:hAnsi="Calibri"/>
          <w:b/>
          <w:bCs/>
          <w:color w:val="1F3864"/>
          <w:sz w:val="30"/>
          <w:szCs w:val="30"/>
        </w:rPr>
        <w:t xml:space="preserve">5. Alcance</w:t>
      </w:r>
    </w:p>
    <w:p>
      <w:pPr>
        <w:pStyle w:val="Heading2"/>
        <w:spacing w:after="140" w:before="320"/>
      </w:pPr>
      <w:r>
        <w:rPr>
          <w:rFonts w:ascii="Calibri" w:cs="Calibri" w:eastAsia="Calibri" w:hAnsi="Calibri"/>
          <w:b/>
          <w:bCs/>
          <w:color w:val="2E5395"/>
          <w:sz w:val="24"/>
          <w:szCs w:val="24"/>
        </w:rPr>
        <w:t xml:space="preserve">5.1 Dentro del alcance</w:t>
      </w:r>
    </w:p>
    <w:p>
      <w:pPr>
        <w:pStyle w:val="ListParagraph"/>
        <w:numPr>
          <w:ilvl w:val="0"/>
          <w:numId w:val="2"/>
        </w:numPr>
        <w:spacing w:after="90"/>
      </w:pPr>
      <w:r>
        <w:rPr>
          <w:rFonts w:ascii="Calibri" w:cs="Calibri" w:eastAsia="Calibri" w:hAnsi="Calibri"/>
          <w:color w:val="262626"/>
          <w:sz w:val="21"/>
          <w:szCs w:val="21"/>
        </w:rPr>
        <w:t xml:space="preserve">Configuración de un tenant Microsoft Entra ID (cloud-only) para autenticación de los usuarios de los 10 equipos.</w:t>
      </w:r>
    </w:p>
    <w:p>
      <w:pPr>
        <w:pStyle w:val="ListParagraph"/>
        <w:numPr>
          <w:ilvl w:val="0"/>
          <w:numId w:val="2"/>
        </w:numPr>
        <w:spacing w:after="90"/>
      </w:pPr>
      <w:r>
        <w:rPr>
          <w:rFonts w:ascii="Calibri" w:cs="Calibri" w:eastAsia="Calibri" w:hAnsi="Calibri"/>
          <w:color w:val="262626"/>
          <w:sz w:val="21"/>
          <w:szCs w:val="21"/>
        </w:rPr>
        <w:t xml:space="preserve">Vinculación de Apple Business Manager con Intune (token MDM push de Apple, perfil de inscripción ADE).</w:t>
      </w:r>
    </w:p>
    <w:p>
      <w:pPr>
        <w:pStyle w:val="ListParagraph"/>
        <w:numPr>
          <w:ilvl w:val="0"/>
          <w:numId w:val="2"/>
        </w:numPr>
        <w:spacing w:after="90"/>
      </w:pPr>
      <w:r>
        <w:rPr>
          <w:rFonts w:ascii="Calibri" w:cs="Calibri" w:eastAsia="Calibri" w:hAnsi="Calibri"/>
          <w:color w:val="262626"/>
          <w:sz w:val="21"/>
          <w:szCs w:val="21"/>
        </w:rPr>
        <w:t xml:space="preserve">Inscripción (enrollment) de los 10 equipos macOS en Intune en modo supervisado.</w:t>
      </w:r>
    </w:p>
    <w:p>
      <w:pPr>
        <w:pStyle w:val="ListParagraph"/>
        <w:numPr>
          <w:ilvl w:val="0"/>
          <w:numId w:val="2"/>
        </w:numPr>
        <w:spacing w:after="90"/>
      </w:pPr>
      <w:r>
        <w:rPr>
          <w:rFonts w:ascii="Calibri" w:cs="Calibri" w:eastAsia="Calibri" w:hAnsi="Calibri"/>
          <w:color w:val="262626"/>
          <w:sz w:val="21"/>
          <w:szCs w:val="21"/>
        </w:rPr>
        <w:t xml:space="preserve">Creación y despliegue de perfiles de configuración: restricciones (USB, capturas de pantalla, AirDrop/compartir), screensaver, wallpaper corporativo, Wi-Fi/certificados si aplica.</w:t>
      </w:r>
    </w:p>
    <w:p>
      <w:pPr>
        <w:pStyle w:val="ListParagraph"/>
        <w:numPr>
          <w:ilvl w:val="0"/>
          <w:numId w:val="2"/>
        </w:numPr>
        <w:spacing w:after="90"/>
      </w:pPr>
      <w:r>
        <w:rPr>
          <w:rFonts w:ascii="Calibri" w:cs="Calibri" w:eastAsia="Calibri" w:hAnsi="Calibri"/>
          <w:color w:val="262626"/>
          <w:sz w:val="21"/>
          <w:szCs w:val="21"/>
        </w:rPr>
        <w:t xml:space="preserve">Configuración de políticas de cumplimiento (compliance) y su integración con Conditional Access.</w:t>
      </w:r>
    </w:p>
    <w:p>
      <w:pPr>
        <w:pStyle w:val="ListParagraph"/>
        <w:numPr>
          <w:ilvl w:val="0"/>
          <w:numId w:val="2"/>
        </w:numPr>
        <w:spacing w:after="90"/>
      </w:pPr>
      <w:r>
        <w:rPr>
          <w:rFonts w:ascii="Calibri" w:cs="Calibri" w:eastAsia="Calibri" w:hAnsi="Calibri"/>
          <w:color w:val="262626"/>
          <w:sz w:val="21"/>
          <w:szCs w:val="21"/>
        </w:rPr>
        <w:t xml:space="preserve">Configuración del mapeo de red hacia el NAS (Opción A, sección 4.4) en los 10 equipos.</w:t>
      </w:r>
    </w:p>
    <w:p>
      <w:pPr>
        <w:pStyle w:val="ListParagraph"/>
        <w:numPr>
          <w:ilvl w:val="0"/>
          <w:numId w:val="2"/>
        </w:numPr>
        <w:spacing w:after="90"/>
      </w:pPr>
      <w:r>
        <w:rPr>
          <w:rFonts w:ascii="Calibri" w:cs="Calibri" w:eastAsia="Calibri" w:hAnsi="Calibri"/>
          <w:color w:val="262626"/>
          <w:sz w:val="21"/>
          <w:szCs w:val="21"/>
        </w:rPr>
        <w:t xml:space="preserve">Validación de conectividad de los equipos a los servicios de red existentes (DNS, DHCP, Internet) — sin modificar la infraestructura de red del cliente.</w:t>
      </w:r>
    </w:p>
    <w:p>
      <w:pPr>
        <w:pStyle w:val="ListParagraph"/>
        <w:numPr>
          <w:ilvl w:val="0"/>
          <w:numId w:val="2"/>
        </w:numPr>
        <w:spacing w:after="90"/>
      </w:pPr>
      <w:r>
        <w:rPr>
          <w:rFonts w:ascii="Calibri" w:cs="Calibri" w:eastAsia="Calibri" w:hAnsi="Calibri"/>
          <w:color w:val="262626"/>
          <w:sz w:val="21"/>
          <w:szCs w:val="21"/>
        </w:rPr>
        <w:t xml:space="preserve">Aplicación del catálogo de políticas de seguridad adicionales acordado con el cliente (sección 5.4 más abajo, dentro de Arquitectura).</w:t>
      </w:r>
    </w:p>
    <w:p>
      <w:pPr>
        <w:pStyle w:val="ListParagraph"/>
        <w:numPr>
          <w:ilvl w:val="0"/>
          <w:numId w:val="2"/>
        </w:numPr>
        <w:spacing w:after="90"/>
      </w:pPr>
      <w:r>
        <w:rPr>
          <w:rFonts w:ascii="Calibri" w:cs="Calibri" w:eastAsia="Calibri" w:hAnsi="Calibri"/>
          <w:color w:val="262626"/>
          <w:sz w:val="21"/>
          <w:szCs w:val="21"/>
        </w:rPr>
        <w:t xml:space="preserve">Piloto con 2 equipos antes del despliegue a los 10.</w:t>
      </w:r>
    </w:p>
    <w:p>
      <w:pPr>
        <w:pStyle w:val="ListParagraph"/>
        <w:numPr>
          <w:ilvl w:val="0"/>
          <w:numId w:val="2"/>
        </w:numPr>
        <w:spacing w:after="90"/>
      </w:pPr>
      <w:r>
        <w:rPr>
          <w:rFonts w:ascii="Calibri" w:cs="Calibri" w:eastAsia="Calibri" w:hAnsi="Calibri"/>
          <w:color w:val="262626"/>
          <w:sz w:val="21"/>
          <w:szCs w:val="21"/>
        </w:rPr>
        <w:t xml:space="preserve">Documentación técnica de la solución (as-built) y sesión de transferencia de conocimiento (KT) al equipo de TI del cliente.</w:t>
      </w:r>
    </w:p>
    <w:p>
      <w:pPr>
        <w:pStyle w:val="Heading2"/>
        <w:spacing w:after="140" w:before="320"/>
      </w:pPr>
      <w:r>
        <w:rPr>
          <w:rFonts w:ascii="Calibri" w:cs="Calibri" w:eastAsia="Calibri" w:hAnsi="Calibri"/>
          <w:b/>
          <w:bCs/>
          <w:color w:val="2E5395"/>
          <w:sz w:val="24"/>
          <w:szCs w:val="24"/>
        </w:rPr>
        <w:t xml:space="preserve">5.2 Fuera de alcance</w:t>
      </w:r>
    </w:p>
    <w:p>
      <w:pPr>
        <w:pStyle w:val="ListParagraph"/>
        <w:numPr>
          <w:ilvl w:val="0"/>
          <w:numId w:val="2"/>
        </w:numPr>
        <w:spacing w:after="90"/>
      </w:pPr>
      <w:r>
        <w:rPr>
          <w:rFonts w:ascii="Calibri" w:cs="Calibri" w:eastAsia="Calibri" w:hAnsi="Calibri"/>
          <w:color w:val="262626"/>
          <w:sz w:val="21"/>
          <w:szCs w:val="21"/>
        </w:rPr>
        <w:t xml:space="preserve">Diseño, rediseño o modificación de la infraestructura de red del cliente (switches, VLANs, reglas de firewall, cableado, puntos de acceso Wi-Fi).</w:t>
      </w:r>
    </w:p>
    <w:p>
      <w:pPr>
        <w:pStyle w:val="ListParagraph"/>
        <w:numPr>
          <w:ilvl w:val="0"/>
          <w:numId w:val="2"/>
        </w:numPr>
        <w:spacing w:after="90"/>
      </w:pPr>
      <w:r>
        <w:rPr>
          <w:rFonts w:ascii="Calibri" w:cs="Calibri" w:eastAsia="Calibri" w:hAnsi="Calibri"/>
          <w:color w:val="262626"/>
          <w:sz w:val="21"/>
          <w:szCs w:val="21"/>
        </w:rPr>
        <w:t xml:space="preserve">Implementación de Microsoft Entra Connect / Cloud Sync o de la extensión Entra Kerberos SSO (Opción B de la sección 4.4). Queda documentada como recomendación futura.</w:t>
      </w:r>
    </w:p>
    <w:p>
      <w:pPr>
        <w:pStyle w:val="ListParagraph"/>
        <w:numPr>
          <w:ilvl w:val="0"/>
          <w:numId w:val="2"/>
        </w:numPr>
        <w:spacing w:after="90"/>
      </w:pPr>
      <w:r>
        <w:rPr>
          <w:rFonts w:ascii="Calibri" w:cs="Calibri" w:eastAsia="Calibri" w:hAnsi="Calibri"/>
          <w:color w:val="262626"/>
          <w:sz w:val="21"/>
          <w:szCs w:val="21"/>
        </w:rPr>
        <w:t xml:space="preserve">Migración o respaldo de datos de usuario existentes en los equipos.</w:t>
      </w:r>
    </w:p>
    <w:p>
      <w:pPr>
        <w:pStyle w:val="ListParagraph"/>
        <w:numPr>
          <w:ilvl w:val="0"/>
          <w:numId w:val="2"/>
        </w:numPr>
        <w:spacing w:after="90"/>
      </w:pPr>
      <w:r>
        <w:rPr>
          <w:rFonts w:ascii="Calibri" w:cs="Calibri" w:eastAsia="Calibri" w:hAnsi="Calibri"/>
          <w:color w:val="262626"/>
          <w:sz w:val="21"/>
          <w:szCs w:val="21"/>
        </w:rPr>
        <w:t xml:space="preserve">Soporte, gestión o inscripción de dispositivos con otros sistemas operativos (Windows, iOS, Android) fuera de los 10 equipos macOS de este proyecto.</w:t>
      </w:r>
    </w:p>
    <w:p>
      <w:pPr>
        <w:pStyle w:val="ListParagraph"/>
        <w:numPr>
          <w:ilvl w:val="0"/>
          <w:numId w:val="2"/>
        </w:numPr>
        <w:spacing w:after="90"/>
      </w:pPr>
      <w:r>
        <w:rPr>
          <w:rFonts w:ascii="Calibri" w:cs="Calibri" w:eastAsia="Calibri" w:hAnsi="Calibri"/>
          <w:color w:val="262626"/>
          <w:sz w:val="21"/>
          <w:szCs w:val="21"/>
        </w:rPr>
        <w:t xml:space="preserve">Adquisición de hardware: equipos, NAS, switches, puntos de acceso, cableado estructurado.</w:t>
      </w:r>
    </w:p>
    <w:p>
      <w:pPr>
        <w:pStyle w:val="ListParagraph"/>
        <w:numPr>
          <w:ilvl w:val="0"/>
          <w:numId w:val="2"/>
        </w:numPr>
        <w:spacing w:after="90"/>
      </w:pPr>
      <w:r>
        <w:rPr>
          <w:rFonts w:ascii="Calibri" w:cs="Calibri" w:eastAsia="Calibri" w:hAnsi="Calibri"/>
          <w:color w:val="262626"/>
          <w:sz w:val="21"/>
          <w:szCs w:val="21"/>
        </w:rPr>
        <w:t xml:space="preserve">Compra de licenciamiento — se asesora y dimensiona (sección 9), pero la adquisición/facturación corre por cuenta del cliente ante Microsoft/Apple o su distribuidor (CSP).</w:t>
      </w:r>
    </w:p>
    <w:p>
      <w:pPr>
        <w:pStyle w:val="ListParagraph"/>
        <w:numPr>
          <w:ilvl w:val="0"/>
          <w:numId w:val="2"/>
        </w:numPr>
        <w:spacing w:after="90"/>
      </w:pPr>
      <w:r>
        <w:rPr>
          <w:rFonts w:ascii="Calibri" w:cs="Calibri" w:eastAsia="Calibri" w:hAnsi="Calibri"/>
          <w:color w:val="262626"/>
          <w:sz w:val="21"/>
          <w:szCs w:val="21"/>
        </w:rPr>
        <w:t xml:space="preserve">Soporte operativo (Service Desk / ANS) posterior a la puesta en marcha; puede cotizarse como servicio adicional (Run/AMS) fuera de esta propuesta.</w:t>
      </w:r>
    </w:p>
    <w:p>
      <w:pPr>
        <w:pStyle w:val="ListParagraph"/>
        <w:numPr>
          <w:ilvl w:val="0"/>
          <w:numId w:val="2"/>
        </w:numPr>
        <w:spacing w:after="90"/>
      </w:pPr>
      <w:r>
        <w:rPr>
          <w:rFonts w:ascii="Calibri" w:cs="Calibri" w:eastAsia="Calibri" w:hAnsi="Calibri"/>
          <w:color w:val="262626"/>
          <w:sz w:val="21"/>
          <w:szCs w:val="21"/>
        </w:rPr>
        <w:t xml:space="preserve">Migración desde un MDM/UEM previo, en caso de existir (no reportado en la situación actual).</w:t>
      </w:r>
    </w:p>
    <w:p>
      <w:pPr>
        <w:pStyle w:val="ListParagraph"/>
        <w:numPr>
          <w:ilvl w:val="0"/>
          <w:numId w:val="2"/>
        </w:numPr>
        <w:spacing w:after="90"/>
      </w:pPr>
      <w:r>
        <w:rPr>
          <w:rFonts w:ascii="Calibri" w:cs="Calibri" w:eastAsia="Calibri" w:hAnsi="Calibri"/>
          <w:color w:val="262626"/>
          <w:sz w:val="21"/>
          <w:szCs w:val="21"/>
        </w:rPr>
        <w:t xml:space="preserve">Hardening del propio servidor Active Directory, DNS, DHCP o NAS del cliente (se asume administrado y operado por el cliente).</w:t>
      </w:r>
    </w:p>
    <w:p>
      <w:pPr>
        <w:pStyle w:val="Heading1"/>
        <w:pBdr>
          <w:bottom w:val="single" w:color="2E5395" w:sz="6" w:space="4"/>
        </w:pBdr>
        <w:spacing w:after="200" w:before="480"/>
      </w:pPr>
      <w:r>
        <w:rPr>
          <w:rFonts w:ascii="Calibri" w:cs="Calibri" w:eastAsia="Calibri" w:hAnsi="Calibri"/>
          <w:b/>
          <w:bCs/>
          <w:color w:val="1F3864"/>
          <w:sz w:val="30"/>
          <w:szCs w:val="30"/>
        </w:rPr>
        <w:t xml:space="preserve">6. Requerimientos Técnicos y Humanos</w:t>
      </w:r>
    </w:p>
    <w:p>
      <w:pPr>
        <w:pStyle w:val="Heading2"/>
        <w:spacing w:after="140" w:before="320"/>
      </w:pPr>
      <w:r>
        <w:rPr>
          <w:rFonts w:ascii="Calibri" w:cs="Calibri" w:eastAsia="Calibri" w:hAnsi="Calibri"/>
          <w:b/>
          <w:bCs/>
          <w:color w:val="2E5395"/>
          <w:sz w:val="24"/>
          <w:szCs w:val="24"/>
        </w:rPr>
        <w:t xml:space="preserve">6.1 Requerimientos técnicos</w:t>
      </w:r>
    </w:p>
    <w:p>
      <w:pPr>
        <w:pStyle w:val="ListParagraph"/>
        <w:numPr>
          <w:ilvl w:val="0"/>
          <w:numId w:val="2"/>
        </w:numPr>
        <w:spacing w:after="90"/>
      </w:pPr>
      <w:r>
        <w:rPr>
          <w:rFonts w:ascii="Calibri" w:cs="Calibri" w:eastAsia="Calibri" w:hAnsi="Calibri"/>
          <w:color w:val="262626"/>
          <w:sz w:val="21"/>
          <w:szCs w:val="21"/>
        </w:rPr>
        <w:t xml:space="preserve">Tenant de Microsoft Entra ID activo (existente o de nueva creación).</w:t>
      </w:r>
    </w:p>
    <w:p>
      <w:pPr>
        <w:pStyle w:val="ListParagraph"/>
        <w:numPr>
          <w:ilvl w:val="0"/>
          <w:numId w:val="2"/>
        </w:numPr>
        <w:spacing w:after="90"/>
      </w:pPr>
      <w:r>
        <w:rPr>
          <w:rFonts w:ascii="Calibri" w:cs="Calibri" w:eastAsia="Calibri" w:hAnsi="Calibri"/>
          <w:color w:val="262626"/>
          <w:sz w:val="21"/>
          <w:szCs w:val="21"/>
        </w:rPr>
        <w:t xml:space="preserve">Licenciamiento asignado para 10 usuarios que incluya Microsoft Intune Plan 1 y Microsoft Entra ID P1 (ver opciones en sección 9).</w:t>
      </w:r>
    </w:p>
    <w:p>
      <w:pPr>
        <w:pStyle w:val="ListParagraph"/>
        <w:numPr>
          <w:ilvl w:val="0"/>
          <w:numId w:val="2"/>
        </w:numPr>
        <w:spacing w:after="90"/>
      </w:pPr>
      <w:r>
        <w:rPr>
          <w:rFonts w:ascii="Calibri" w:cs="Calibri" w:eastAsia="Calibri" w:hAnsi="Calibri"/>
          <w:color w:val="262626"/>
          <w:sz w:val="21"/>
          <w:szCs w:val="21"/>
        </w:rPr>
        <w:t xml:space="preserve">Cuenta de Apple Business Manager (ABM) — requiere D-U-N-S number / identificación fiscal de la organización para su creación, si no existe.</w:t>
      </w:r>
    </w:p>
    <w:p>
      <w:pPr>
        <w:pStyle w:val="ListParagraph"/>
        <w:numPr>
          <w:ilvl w:val="0"/>
          <w:numId w:val="2"/>
        </w:numPr>
        <w:spacing w:after="90"/>
      </w:pPr>
      <w:r>
        <w:rPr>
          <w:rFonts w:ascii="Calibri" w:cs="Calibri" w:eastAsia="Calibri" w:hAnsi="Calibri"/>
          <w:color w:val="262626"/>
          <w:sz w:val="21"/>
          <w:szCs w:val="21"/>
        </w:rPr>
        <w:t xml:space="preserve">Los 10 equipos macOS deben poder resetearse a valores de fábrica y, idealmente, estar asociados a ABM (comprados vía Apple o reseller autorizado). Ver Supuestos y Riesgos si no es el caso.</w:t>
      </w:r>
    </w:p>
    <w:p>
      <w:pPr>
        <w:pStyle w:val="ListParagraph"/>
        <w:numPr>
          <w:ilvl w:val="0"/>
          <w:numId w:val="2"/>
        </w:numPr>
        <w:spacing w:after="90"/>
      </w:pPr>
      <w:r>
        <w:rPr>
          <w:rFonts w:ascii="Calibri" w:cs="Calibri" w:eastAsia="Calibri" w:hAnsi="Calibri"/>
          <w:color w:val="262626"/>
          <w:sz w:val="21"/>
          <w:szCs w:val="21"/>
        </w:rPr>
        <w:t xml:space="preserve">Conectividad de red corporativa (LAN/Wi-Fi) operativa en el sitio donde se ubicarán los equipos, con DHCP y DNS funcionales.</w:t>
      </w:r>
    </w:p>
    <w:p>
      <w:pPr>
        <w:pStyle w:val="ListParagraph"/>
        <w:numPr>
          <w:ilvl w:val="0"/>
          <w:numId w:val="2"/>
        </w:numPr>
        <w:spacing w:after="90"/>
      </w:pPr>
      <w:r>
        <w:rPr>
          <w:rFonts w:ascii="Calibri" w:cs="Calibri" w:eastAsia="Calibri" w:hAnsi="Calibri"/>
          <w:color w:val="262626"/>
          <w:sz w:val="21"/>
          <w:szCs w:val="21"/>
        </w:rPr>
        <w:t xml:space="preserve">Acceso administrativo (cuenta con permisos suficientes) al NAS para crear la cuenta/recurso compartido que se mapeará desde los 10 equipos.</w:t>
      </w:r>
    </w:p>
    <w:p>
      <w:pPr>
        <w:pStyle w:val="ListParagraph"/>
        <w:numPr>
          <w:ilvl w:val="0"/>
          <w:numId w:val="2"/>
        </w:numPr>
        <w:spacing w:after="90"/>
      </w:pPr>
      <w:r>
        <w:rPr>
          <w:rFonts w:ascii="Calibri" w:cs="Calibri" w:eastAsia="Calibri" w:hAnsi="Calibri"/>
          <w:color w:val="262626"/>
          <w:sz w:val="21"/>
          <w:szCs w:val="21"/>
        </w:rPr>
        <w:t xml:space="preserve">Acceso a Internet saliente hacia los endpoints de Apple (ABM, APNs) y Microsoft (Intune, Entra ID) desde la red del cliente (los puertos/URLs se validan en la fase de discovery).</w:t>
      </w:r>
    </w:p>
    <w:p>
      <w:pPr>
        <w:pStyle w:val="Heading2"/>
        <w:spacing w:after="140" w:before="320"/>
      </w:pPr>
      <w:r>
        <w:rPr>
          <w:rFonts w:ascii="Calibri" w:cs="Calibri" w:eastAsia="Calibri" w:hAnsi="Calibri"/>
          <w:b/>
          <w:bCs/>
          <w:color w:val="2E5395"/>
          <w:sz w:val="24"/>
          <w:szCs w:val="24"/>
        </w:rPr>
        <w:t xml:space="preserve">6.2 Requerimientos humanos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300"/>
        <w:gridCol w:w="32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Rol</w:t>
            </w:r>
          </w:p>
        </w:tc>
        <w:tc>
          <w:tcPr>
            <w:tcW w:type="dxa" w:w="3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Responsabilidad</w:t>
            </w:r>
          </w:p>
        </w:tc>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Origen</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Arquitecto/Consultor Intune – macOS</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Diseño, construcción de perfiles, piloto y rollout</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Proveedor</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Consultor de Identidad (Entra ID)</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Configuración de tenant, Conditional Access</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Proveedor (tiempo parcial)</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Administrador de TI del cliente</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Aprobaciones, acceso a ABM/tenant, validaciones</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Contacto de Networking</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Validación de DHCP/DNS/reglas de firewall/proxy</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Administrador del NAS</w:t>
            </w:r>
          </w:p>
        </w:tc>
        <w:tc>
          <w:tcPr>
            <w:tcW w:type="dxa" w:w="3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Creación de recurso compartido y credenciales</w:t>
            </w:r>
          </w:p>
        </w:tc>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Cliente</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Usuarios piloto (2)</w:t>
            </w:r>
          </w:p>
        </w:tc>
        <w:tc>
          <w:tcPr>
            <w:tcW w:type="dxa" w:w="3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Pruebas de aceptación en fase de piloto</w:t>
            </w:r>
          </w:p>
        </w:tc>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Cliente</w:t>
            </w:r>
          </w:p>
        </w:tc>
      </w:tr>
    </w:tbl>
    <w:p>
      <w:pPr>
        <w:pStyle w:val="Heading1"/>
        <w:pBdr>
          <w:bottom w:val="single" w:color="2E5395" w:sz="6" w:space="4"/>
        </w:pBdr>
        <w:spacing w:after="200" w:before="480"/>
      </w:pPr>
      <w:r>
        <w:rPr>
          <w:rFonts w:ascii="Calibri" w:cs="Calibri" w:eastAsia="Calibri" w:hAnsi="Calibri"/>
          <w:b/>
          <w:bCs/>
          <w:color w:val="1F3864"/>
          <w:sz w:val="30"/>
          <w:szCs w:val="30"/>
        </w:rPr>
        <w:t xml:space="preserve">7. Supuestos</w:t>
      </w:r>
    </w:p>
    <w:p>
      <w:pPr>
        <w:pStyle w:val="ListParagraph"/>
        <w:numPr>
          <w:ilvl w:val="0"/>
          <w:numId w:val="2"/>
        </w:numPr>
        <w:spacing w:after="90"/>
      </w:pPr>
      <w:r>
        <w:rPr>
          <w:rFonts w:ascii="Calibri" w:cs="Calibri" w:eastAsia="Calibri" w:hAnsi="Calibri"/>
          <w:color w:val="262626"/>
          <w:sz w:val="21"/>
          <w:szCs w:val="21"/>
        </w:rPr>
        <w:t xml:space="preserve">Los 10 equipos son macOS en una versión soportada por Apple y Microsoft Intune (se recomienda N-2 respecto a la versión más reciente de macOS al momento del proyecto).</w:t>
      </w:r>
    </w:p>
    <w:p>
      <w:pPr>
        <w:pStyle w:val="ListParagraph"/>
        <w:numPr>
          <w:ilvl w:val="0"/>
          <w:numId w:val="2"/>
        </w:numPr>
        <w:spacing w:after="90"/>
      </w:pPr>
      <w:r>
        <w:rPr>
          <w:rFonts w:ascii="Calibri" w:cs="Calibri" w:eastAsia="Calibri" w:hAnsi="Calibri"/>
          <w:color w:val="262626"/>
          <w:sz w:val="21"/>
          <w:szCs w:val="21"/>
        </w:rPr>
        <w:t xml:space="preserve">El cliente puede crear o ya cuenta con una cuenta de Apple Business Manager (ABM).</w:t>
      </w:r>
    </w:p>
    <w:p>
      <w:pPr>
        <w:pStyle w:val="ListParagraph"/>
        <w:numPr>
          <w:ilvl w:val="0"/>
          <w:numId w:val="2"/>
        </w:numPr>
        <w:spacing w:after="90"/>
      </w:pPr>
      <w:r>
        <w:rPr>
          <w:rFonts w:ascii="Calibri" w:cs="Calibri" w:eastAsia="Calibri" w:hAnsi="Calibri"/>
          <w:color w:val="262626"/>
          <w:sz w:val="21"/>
          <w:szCs w:val="21"/>
        </w:rPr>
        <w:t xml:space="preserve">Los equipos fueron o serán adquiridos a través de Apple o un reseller autorizado que permita su asociación automática a ABM; de no ser así, se aplicará inscripción manual vía Company Portal (ver riesgo asociado en sección 10, ya que limita el modo supervisado y con ello algunas restricciones como bloqueo de USB/capturas de pantalla).</w:t>
      </w:r>
    </w:p>
    <w:p>
      <w:pPr>
        <w:pStyle w:val="ListParagraph"/>
        <w:numPr>
          <w:ilvl w:val="0"/>
          <w:numId w:val="2"/>
        </w:numPr>
        <w:spacing w:after="90"/>
      </w:pPr>
      <w:r>
        <w:rPr>
          <w:rFonts w:ascii="Calibri" w:cs="Calibri" w:eastAsia="Calibri" w:hAnsi="Calibri"/>
          <w:color w:val="262626"/>
          <w:sz w:val="21"/>
          <w:szCs w:val="21"/>
        </w:rPr>
        <w:t xml:space="preserve">La red LAN/Wi-Fi corporativa, con DHCP y DNS operativos, ya existe y no requiere obra adicional; solo se valida conectividad, no se diseña infraestructura nueva.</w:t>
      </w:r>
    </w:p>
    <w:p>
      <w:pPr>
        <w:pStyle w:val="ListParagraph"/>
        <w:numPr>
          <w:ilvl w:val="0"/>
          <w:numId w:val="2"/>
        </w:numPr>
        <w:spacing w:after="90"/>
      </w:pPr>
      <w:r>
        <w:rPr>
          <w:rFonts w:ascii="Calibri" w:cs="Calibri" w:eastAsia="Calibri" w:hAnsi="Calibri"/>
          <w:color w:val="262626"/>
          <w:sz w:val="21"/>
          <w:szCs w:val="21"/>
        </w:rPr>
        <w:t xml:space="preserve">El NAS soporta el protocolo SMB y permite la creación de una cuenta o recurso compartido dedicado para los 10 equipos (Opción A de arquitectura).</w:t>
      </w:r>
    </w:p>
    <w:p>
      <w:pPr>
        <w:pStyle w:val="ListParagraph"/>
        <w:numPr>
          <w:ilvl w:val="0"/>
          <w:numId w:val="2"/>
        </w:numPr>
        <w:spacing w:after="90"/>
      </w:pPr>
      <w:r>
        <w:rPr>
          <w:rFonts w:ascii="Calibri" w:cs="Calibri" w:eastAsia="Calibri" w:hAnsi="Calibri"/>
          <w:color w:val="262626"/>
          <w:sz w:val="21"/>
          <w:szCs w:val="21"/>
        </w:rPr>
        <w:t xml:space="preserve">El cliente adquirirá o ya posee licenciamiento Microsoft 365/Intune/Entra ID suficiente para 10 usuarios antes del inicio de la fase de construcción (sección 9).</w:t>
      </w:r>
    </w:p>
    <w:p>
      <w:pPr>
        <w:pStyle w:val="ListParagraph"/>
        <w:numPr>
          <w:ilvl w:val="0"/>
          <w:numId w:val="2"/>
        </w:numPr>
        <w:spacing w:after="90"/>
      </w:pPr>
      <w:r>
        <w:rPr>
          <w:rFonts w:ascii="Calibri" w:cs="Calibri" w:eastAsia="Calibri" w:hAnsi="Calibri"/>
          <w:color w:val="262626"/>
          <w:sz w:val="21"/>
          <w:szCs w:val="21"/>
        </w:rPr>
        <w:t xml:space="preserve">No se contempla dentro de este proyecto la coexistencia con un MDM/UEM previo sobre los mismos equipos.</w:t>
      </w:r>
    </w:p>
    <w:p>
      <w:pPr>
        <w:pStyle w:val="ListParagraph"/>
        <w:numPr>
          <w:ilvl w:val="0"/>
          <w:numId w:val="2"/>
        </w:numPr>
        <w:spacing w:after="90"/>
      </w:pPr>
      <w:r>
        <w:rPr>
          <w:rFonts w:ascii="Calibri" w:cs="Calibri" w:eastAsia="Calibri" w:hAnsi="Calibri"/>
          <w:color w:val="262626"/>
          <w:sz w:val="21"/>
          <w:szCs w:val="21"/>
        </w:rPr>
        <w:t xml:space="preserve">El cliente proveerá accesos administrativos oportunos al tenant, a ABM y a la red durante las ventanas de trabajo acordadas.</w:t>
      </w:r>
    </w:p>
    <w:p>
      <w:pPr>
        <w:pStyle w:val="ListParagraph"/>
        <w:numPr>
          <w:ilvl w:val="0"/>
          <w:numId w:val="2"/>
        </w:numPr>
        <w:spacing w:after="90"/>
      </w:pPr>
      <w:r>
        <w:rPr>
          <w:rFonts w:ascii="Calibri" w:cs="Calibri" w:eastAsia="Calibri" w:hAnsi="Calibri"/>
          <w:color w:val="262626"/>
          <w:sz w:val="21"/>
          <w:szCs w:val="21"/>
        </w:rPr>
        <w:t xml:space="preserve">Los tiempos estimados (sección 8) consideran disponibilidad razonable de los recursos humanos del cliente listados en la sección 6.2; retrasos en accesos o aprobaciones pueden impactar el cronograma.</w:t>
      </w:r>
    </w:p>
    <w:p>
      <w:pPr>
        <w:pStyle w:val="Heading1"/>
        <w:pBdr>
          <w:bottom w:val="single" w:color="2E5395" w:sz="6" w:space="4"/>
        </w:pBdr>
        <w:spacing w:after="200" w:before="480"/>
      </w:pPr>
      <w:r>
        <w:rPr>
          <w:rFonts w:ascii="Calibri" w:cs="Calibri" w:eastAsia="Calibri" w:hAnsi="Calibri"/>
          <w:b/>
          <w:bCs/>
          <w:color w:val="1F3864"/>
          <w:sz w:val="30"/>
          <w:szCs w:val="30"/>
        </w:rPr>
        <w:t xml:space="preserve">8. Estimación de Tiempos</w:t>
      </w:r>
    </w:p>
    <w:p>
      <w:pPr>
        <w:spacing w:after="160" w:line="276"/>
      </w:pPr>
      <w:r>
        <w:rPr>
          <w:rFonts w:ascii="Calibri" w:cs="Calibri" w:eastAsia="Calibri" w:hAnsi="Calibri"/>
          <w:color w:val="262626"/>
          <w:sz w:val="21"/>
          <w:szCs w:val="21"/>
        </w:rPr>
        <w:t xml:space="preserve">Cronograma estimado en semanas hábiles; sujeto a confirmación de disponibilidad de accesos (tenant, ABM, red, NAS) por parte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200"/>
        <w:gridCol w:w="1600"/>
        <w:gridCol w:w="2500"/>
      </w:tblGrid>
      <w:tr>
        <w:trPr>
          <w:tblHeader/>
        </w:trPr>
        <w:tc>
          <w:tcPr>
            <w:tcW w:type="dxa" w:w="1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Fase</w:t>
            </w:r>
          </w:p>
        </w:tc>
        <w:tc>
          <w:tcPr>
            <w:tcW w:type="dxa" w:w="4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Actividad</w:t>
            </w:r>
          </w:p>
        </w:tc>
        <w:tc>
          <w:tcPr>
            <w:tcW w:type="dxa" w:w="16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Duración</w:t>
            </w:r>
          </w:p>
        </w:tc>
        <w:tc>
          <w:tcPr>
            <w:tcW w:type="dxa" w:w="25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Entregable</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Descubrimiento y diseño detallado (validación de supuestos, red, NAS, ABM)</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semana</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Documento de diseño</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Preparación de tenant: Entra ID, Intune, vinculación ABM</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semana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Tenant configurado</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3</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Construcción de perfiles de configuración y políticas de seguridad</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 semanas</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Perfiles y compliance listos</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4</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Piloto con 2 equipos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semana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Reporte de piloto</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5</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Ajustes post-piloto</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0.5 semana</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Perfiles ajustados</w:t>
            </w:r>
          </w:p>
        </w:tc>
      </w:tr>
      <w:tr>
        <w:tc>
          <w:tcPr>
            <w:tcW w:type="dxa" w:w="1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6</w:t>
            </w:r>
          </w:p>
        </w:tc>
        <w:tc>
          <w:tcPr>
            <w:tcW w:type="dxa" w:w="4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Rollout a los 10 equipos</w:t>
            </w:r>
          </w:p>
        </w:tc>
        <w:tc>
          <w:tcPr>
            <w:tcW w:type="dxa" w:w="16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 semana</w:t>
            </w:r>
          </w:p>
        </w:tc>
        <w:tc>
          <w:tcPr>
            <w:tcW w:type="dxa" w:w="25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 equipos gestionados</w:t>
            </w:r>
          </w:p>
        </w:tc>
      </w:tr>
      <w:tr>
        <w:tc>
          <w:tcPr>
            <w:tcW w:type="dxa" w:w="1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7</w:t>
            </w:r>
          </w:p>
        </w:tc>
        <w:tc>
          <w:tcPr>
            <w:tcW w:type="dxa" w:w="4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Documentación, capacitación (KT) y cierre</w:t>
            </w:r>
          </w:p>
        </w:tc>
        <w:tc>
          <w:tcPr>
            <w:tcW w:type="dxa" w:w="16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0.5 semana</w:t>
            </w:r>
          </w:p>
        </w:tc>
        <w:tc>
          <w:tcPr>
            <w:tcW w:type="dxa" w:w="25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Manual + acta de cierre</w:t>
            </w:r>
          </w:p>
        </w:tc>
      </w:tr>
    </w:tbl>
    <w:p>
      <w:pPr>
        <w:spacing w:after="160" w:line="276"/>
      </w:pPr>
      <w:r>
        <w:rPr>
          <w:rFonts w:ascii="Calibri" w:cs="Calibri" w:eastAsia="Calibri" w:hAnsi="Calibri"/>
          <w:color w:val="262626"/>
          <w:sz w:val="21"/>
          <w:szCs w:val="21"/>
        </w:rPr>
        <w:t xml:space="preserve">Total estimado: aproximadamente 7 semanas de esfuerzo (~5-6 semanas calendario si hay traslape entre fases), sin contar tiempos de adquisición de licenciamiento, hardware o de gestión de ABM (los cuales dependen de terceros y del propio cliente).</w:t>
      </w:r>
    </w:p>
    <w:p>
      <w:pPr>
        <w:pStyle w:val="Heading1"/>
        <w:pBdr>
          <w:bottom w:val="single" w:color="2E5395" w:sz="6" w:space="4"/>
        </w:pBdr>
        <w:spacing w:after="200" w:before="480"/>
      </w:pPr>
      <w:r>
        <w:rPr>
          <w:rFonts w:ascii="Calibri" w:cs="Calibri" w:eastAsia="Calibri" w:hAnsi="Calibri"/>
          <w:b/>
          <w:bCs/>
          <w:color w:val="1F3864"/>
          <w:sz w:val="30"/>
          <w:szCs w:val="30"/>
        </w:rPr>
        <w:t xml:space="preserve">9. Licenciamiento</w:t>
      </w:r>
    </w:p>
    <w:p>
      <w:pPr>
        <w:spacing w:after="160" w:line="276"/>
      </w:pPr>
      <w:r>
        <w:rPr>
          <w:rFonts w:ascii="Calibri" w:cs="Calibri" w:eastAsia="Calibri" w:hAnsi="Calibri"/>
          <w:color w:val="262626"/>
          <w:sz w:val="21"/>
          <w:szCs w:val="21"/>
        </w:rPr>
        <w:t xml:space="preserve">Se presentan las opciones vigentes de licenciamiento Microsoft relevantes para este proyecto. Los precios son de lista (USD, facturación anual) y deben confirmarse con Microsoft o el distribuidor (CSP) del cliente al momento de la compra, ya que están sujetos a cambio.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6100"/>
      </w:tblGrid>
      <w:tr>
        <w:trPr>
          <w:tblHeader/>
        </w:trPr>
        <w:tc>
          <w:tcPr>
            <w:tcW w:type="dxa" w:w="3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Licencia / SKU</w:t>
            </w:r>
          </w:p>
        </w:tc>
        <w:tc>
          <w:tcPr>
            <w:tcW w:type="dxa" w:w="2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Precio de lista aprox.</w:t>
            </w:r>
          </w:p>
        </w:tc>
        <w:tc>
          <w:tcPr>
            <w:tcW w:type="dxa" w:w="61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Notas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Intune Plan 1 (standalone)</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$8.00 usuario/mes</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MDM/MAM, perfiles, cumplimiento, Conditional Access básico</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Entra ID P1 (standalone)</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$6–7 usuario/mes</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Conditional Access avanzado, requerido para políticas de acceso condicional</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365 Business Premium</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$22.00 usuario/mes</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Incluye Intune Plan 1 + Entra ID P1 + Defender for Business + Office apps; tope 300 usuarios. Buena opción costo/beneficio para este proyecto (10 usuarios)</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365 E3 / EMS E3</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Variable (consultar)</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Incluye Intune Plan 1 + Entra ID P1; recomendable si el cliente ya está en ecosistema E3</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Intune Suite (add-on)</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+$10.00 usuario/mes</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Opcional: Endpoint Privilege Management, Remote Help, Advanced Analytics — útil para políticas avanzadas (sección 5)</w:t>
            </w:r>
          </w:p>
        </w:tc>
      </w:tr>
      <w:tr>
        <w:tc>
          <w:tcPr>
            <w:tcW w:type="dxa" w:w="3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Defender for Endpoint P1/P2</w:t>
            </w:r>
          </w:p>
        </w:tc>
        <w:tc>
          <w:tcPr>
            <w:tcW w:type="dxa" w:w="2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Consultar (incluido en E5 / Business Premium usa Defender for Business)</w:t>
            </w:r>
          </w:p>
        </w:tc>
        <w:tc>
          <w:tcPr>
            <w:tcW w:type="dxa" w:w="61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Recomendado para EDR/antivirus gestionado en macOS</w:t>
            </w:r>
          </w:p>
        </w:tc>
      </w:tr>
      <w:tr>
        <w:tc>
          <w:tcPr>
            <w:tcW w:type="dxa" w:w="3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Apple Business Manager (ABM)</w:t>
            </w:r>
          </w:p>
        </w:tc>
        <w:tc>
          <w:tcPr>
            <w:tcW w:type="dxa" w:w="2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Sin costo</w:t>
            </w:r>
          </w:p>
        </w:tc>
        <w:tc>
          <w:tcPr>
            <w:tcW w:type="dxa" w:w="61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Cuenta gratuita de Apple, requerida para ADE/supervisión</w:t>
            </w:r>
          </w:p>
        </w:tc>
      </w:tr>
    </w:tbl>
    <w:p>
      <w:pPr>
        <w:pBdr>
          <w:left w:val="single" w:color="BF8F00" w:sz="18" w:space="8"/>
        </w:pBdr>
        <w:shd w:fill="FFF6E5" w:val="clear"/>
        <w:spacing w:after="200" w:before="80"/>
        <w:ind w:left="120"/>
      </w:pPr>
      <w:r>
        <w:rPr>
          <w:rFonts w:ascii="Calibri" w:cs="Calibri" w:eastAsia="Calibri" w:hAnsi="Calibri"/>
          <w:i/>
          <w:iCs/>
          <w:color w:val="3B3B3B"/>
          <w:sz w:val="20"/>
          <w:szCs w:val="20"/>
        </w:rPr>
        <w:t xml:space="preserve">Los precios mostrados son referencias de mercado vigentes a mediados de 2026 y pueden variar por región, moneda, tipo de contrato (CSP/EA) y promociones. Se recomienda validar el costo final directamente en el portal de Microsoft 365 o con el distribuidor del cliente antes de la aprobación presupuestal.</w:t>
      </w:r>
    </w:p>
    <w:p>
      <w:pPr>
        <w:spacing w:after="160" w:line="276"/>
      </w:pPr>
      <w:r>
        <w:rPr>
          <w:rFonts w:ascii="Calibri" w:cs="Calibri" w:eastAsia="Calibri" w:hAnsi="Calibri"/>
          <w:color w:val="262626"/>
          <w:sz w:val="21"/>
          <w:szCs w:val="21"/>
        </w:rPr>
        <w:t xml:space="preserve">Recomendación: para un alcance de 10 equipos/usuarios, Microsoft 365 Business Premium suele ser la opción más eficiente en costo, ya que agrupa Intune Plan 1, Entra ID P1 y Defender for Business en una sola licencia, evitando la compra de SKUs standalone por separado. Si el cliente ya posee E3/E5 o EMS, deberá validarse qué componentes ya están cubiertos antes de comprar licencias adicionales.</w:t>
      </w:r>
    </w:p>
    <w:p>
      <w:pPr>
        <w:pStyle w:val="Heading1"/>
        <w:pBdr>
          <w:bottom w:val="single" w:color="2E5395" w:sz="6" w:space="4"/>
        </w:pBdr>
        <w:spacing w:after="200" w:before="480"/>
      </w:pPr>
      <w:r>
        <w:rPr>
          <w:rFonts w:ascii="Calibri" w:cs="Calibri" w:eastAsia="Calibri" w:hAnsi="Calibri"/>
          <w:b/>
          <w:bCs/>
          <w:color w:val="1F3864"/>
          <w:sz w:val="30"/>
          <w:szCs w:val="30"/>
        </w:rPr>
        <w:t xml:space="preserve">10. Matriz de Riesgos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1300"/>
        <w:gridCol w:w="1200"/>
        <w:gridCol w:w="5200"/>
      </w:tblGrid>
      <w:tr>
        <w:trPr>
          <w:tblHeader/>
        </w:trPr>
        <w:tc>
          <w:tcPr>
            <w:tcW w:type="dxa" w:w="38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Riesgo</w:t>
            </w:r>
          </w:p>
        </w:tc>
        <w:tc>
          <w:tcPr>
            <w:tcW w:type="dxa" w:w="13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Probabilidad</w:t>
            </w:r>
          </w:p>
        </w:tc>
        <w:tc>
          <w:tcPr>
            <w:tcW w:type="dxa" w:w="1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Impacto</w:t>
            </w:r>
          </w:p>
        </w:tc>
        <w:tc>
          <w:tcPr>
            <w:tcW w:type="dxa" w:w="52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Mitigación</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Equipos no asociados a Apple Business Manager (compra de segunda mano o sin reseller autorizado)</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Media</w:t>
            </w:r>
          </w:p>
        </w:tc>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Alto</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Verificar el origen de compra antes de iniciar; de no ser posible ADE, usar inscripción manual (Company Portal), asumiendo que ciertas políticas (bloqueo de USB, capturas de pantalla) no podrán aplicarse al 100% sin modo supervisado.</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El NAS no soporta autenticación local independiente de AD (exige credenciales de dominio)</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Baja</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Medio</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Evaluar en fase de discovery; si aplica, escalar a Opción B (Entra Kerberos SSO) como cambio de alcance, informando al cliente la implicación híbrida.</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Restricciones de captura/grabación de pantalla no soportadas en la versión de macOS instalada</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Baja</w:t>
            </w:r>
          </w:p>
        </w:tc>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Medio</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Validar versión mínima de macOS soportada por el payload de Restricciones antes del piloto.</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Resistencia de usuarios finales a políticas restrictivas (USB, sin capturas de pantalla)</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Media</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Medio</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Plan de comunicación y gestión del cambio; involucrar a los 2 usuarios piloto como early adopters.</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Licenciamiento insuficiente o no asignado a tiempo</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Media</w:t>
            </w:r>
          </w:p>
        </w:tc>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Alto</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Validar y confirmar licenciamiento en la fase de discovery, antes de iniciar la fase de construcción.</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Conectividad de red inestable o reglas de firewall/proxy que bloqueen tráfico a Apple/Microsoft</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Baja</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Alto</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Validar con el equipo de networking del cliente los endpoints requeridos (ABM/APNs, Intune, Entra ID) antes del piloto.</w:t>
            </w:r>
          </w:p>
        </w:tc>
      </w:tr>
      <w:tr>
        <w:tc>
          <w:tcPr>
            <w:tcW w:type="dxa" w:w="38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Cambios de alcance no planificados (scope creep)</w:t>
            </w:r>
          </w:p>
        </w:tc>
        <w:tc>
          <w:tcPr>
            <w:tcW w:type="dxa" w:w="13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Media</w:t>
            </w:r>
          </w:p>
        </w:tc>
        <w:tc>
          <w:tcPr>
            <w:tcW w:type="dxa" w:w="1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Medio</w:t>
            </w:r>
          </w:p>
        </w:tc>
        <w:tc>
          <w:tcPr>
            <w:tcW w:type="dxa" w:w="52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Control de cambios formal; cualquier ajuste de alcance se documenta y cotiza por separado.</w:t>
            </w:r>
          </w:p>
        </w:tc>
      </w:tr>
      <w:tr>
        <w:tc>
          <w:tcPr>
            <w:tcW w:type="dxa" w:w="38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Dependencia de disponibilidad de recursos del cliente (accesos, aprobaciones)</w:t>
            </w:r>
          </w:p>
        </w:tc>
        <w:tc>
          <w:tcPr>
            <w:tcW w:type="dxa" w:w="13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Media</w:t>
            </w:r>
          </w:p>
        </w:tc>
        <w:tc>
          <w:tcPr>
            <w:tcW w:type="dxa" w:w="1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Medio</w:t>
            </w:r>
          </w:p>
        </w:tc>
        <w:tc>
          <w:tcPr>
            <w:tcW w:type="dxa" w:w="52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Definir ventanas de trabajo y SLA de respuesta desde el kickoff del proyecto.</w:t>
            </w:r>
          </w:p>
        </w:tc>
      </w:tr>
    </w:tbl>
    <w:p>
      <w:pPr>
        <w:pStyle w:val="Heading1"/>
        <w:pBdr>
          <w:bottom w:val="single" w:color="2E5395" w:sz="6" w:space="4"/>
        </w:pBdr>
        <w:spacing w:after="200" w:before="480"/>
      </w:pPr>
      <w:r>
        <w:rPr>
          <w:rFonts w:ascii="Calibri" w:cs="Calibri" w:eastAsia="Calibri" w:hAnsi="Calibri"/>
          <w:b/>
          <w:bCs/>
          <w:color w:val="1F3864"/>
          <w:sz w:val="30"/>
          <w:szCs w:val="30"/>
        </w:rPr>
        <w:t xml:space="preserve">11. Estimación de Costos — Calculadora de Azure</w:t>
      </w:r>
    </w:p>
    <w:p>
      <w:pPr>
        <w:spacing w:after="160" w:line="276"/>
      </w:pPr>
      <w:r>
        <w:rPr>
          <w:rFonts w:ascii="Calibri" w:cs="Calibri" w:eastAsia="Calibri" w:hAnsi="Calibri"/>
          <w:color w:val="262626"/>
          <w:sz w:val="21"/>
          <w:szCs w:val="21"/>
        </w:rPr>
        <w:t xml:space="preserve">Esta solución está basada en servicios SaaS de Microsoft 365 (Entra ID + Intune) y en Apple Business Manager; no requiere aprovisionar infraestructura Azure IaaS (máquinas virtuales, redes virtuales, VPN Gateway, ExpressRoute, Azure AD DS, etc.), ya que:</w:t>
      </w:r>
    </w:p>
    <w:p>
      <w:pPr>
        <w:pStyle w:val="ListParagraph"/>
        <w:numPr>
          <w:ilvl w:val="0"/>
          <w:numId w:val="2"/>
        </w:numPr>
        <w:spacing w:after="90"/>
      </w:pPr>
      <w:r>
        <w:rPr>
          <w:rFonts w:ascii="Calibri" w:cs="Calibri" w:eastAsia="Calibri" w:hAnsi="Calibri"/>
          <w:color w:val="262626"/>
          <w:sz w:val="21"/>
          <w:szCs w:val="21"/>
        </w:rPr>
        <w:t xml:space="preserve">La identidad es cloud-only (Entra ID nativo), sin necesidad de un servidor de Microsoft Entra Connect en Azure.</w:t>
      </w:r>
    </w:p>
    <w:p>
      <w:pPr>
        <w:pStyle w:val="ListParagraph"/>
        <w:numPr>
          <w:ilvl w:val="0"/>
          <w:numId w:val="2"/>
        </w:numPr>
        <w:spacing w:after="90"/>
      </w:pPr>
      <w:r>
        <w:rPr>
          <w:rFonts w:ascii="Calibri" w:cs="Calibri" w:eastAsia="Calibri" w:hAnsi="Calibri"/>
          <w:color w:val="262626"/>
          <w:sz w:val="21"/>
          <w:szCs w:val="21"/>
        </w:rPr>
        <w:t xml:space="preserve">El acceso a DNS/DHCP/NAS se resuelve con la infraestructura de red y AD on-premise ya existente del cliente, sin componentes en Azure.</w:t>
      </w:r>
    </w:p>
    <w:p>
      <w:pPr>
        <w:pStyle w:val="ListParagraph"/>
        <w:numPr>
          <w:ilvl w:val="0"/>
          <w:numId w:val="2"/>
        </w:numPr>
        <w:spacing w:after="90"/>
      </w:pPr>
      <w:r>
        <w:rPr>
          <w:rFonts w:ascii="Calibri" w:cs="Calibri" w:eastAsia="Calibri" w:hAnsi="Calibri"/>
          <w:color w:val="262626"/>
          <w:sz w:val="21"/>
          <w:szCs w:val="21"/>
        </w:rPr>
        <w:t xml:space="preserve">No se contempla, en esta fase, la extensión Entra Kerberos SSO (Opción B), que sí podría introducir necesidad de validar Entra Connect (generalmente on-premise, no necesariamente en Azure).</w:t>
      </w:r>
    </w:p>
    <w:p>
      <w:pPr>
        <w:spacing w:after="160" w:line="276"/>
      </w:pPr>
      <w:r>
        <w:rPr>
          <w:rFonts w:ascii="Calibri" w:cs="Calibri" w:eastAsia="Calibri" w:hAnsi="Calibri"/>
          <w:color w:val="262626"/>
          <w:sz w:val="21"/>
          <w:szCs w:val="21"/>
        </w:rPr>
        <w:t xml:space="preserve">Por lo anterior, el costo relevante de este proyecto es de licenciamiento (sección 9), no de consumo de Azure. Aun así, se deja como referencia el uso de la Calculadora de Precios de Azure de Microsoft para escenarios futuros o complementarios:</w:t>
      </w:r>
    </w:p>
    <w:p>
      <w:pPr>
        <w:pStyle w:val="ListParagraph"/>
        <w:numPr>
          <w:ilvl w:val="0"/>
          <w:numId w:val="2"/>
        </w:numPr>
        <w:spacing w:after="90"/>
      </w:pPr>
      <w:r>
        <w:rPr>
          <w:rFonts w:ascii="Calibri" w:cs="Calibri" w:eastAsia="Calibri" w:hAnsi="Calibri"/>
          <w:color w:val="262626"/>
          <w:sz w:val="21"/>
          <w:szCs w:val="21"/>
        </w:rPr>
        <w:t xml:space="preserve">Calculadora de precios de Azure: https://azure.microsoft.com/es-mx/pricing/calculator/</w:t>
      </w:r>
    </w:p>
    <w:p>
      <w:pPr>
        <w:pStyle w:val="ListParagraph"/>
        <w:numPr>
          <w:ilvl w:val="0"/>
          <w:numId w:val="2"/>
        </w:numPr>
        <w:spacing w:after="90"/>
      </w:pPr>
      <w:r>
        <w:rPr>
          <w:rFonts w:ascii="Calibri" w:cs="Calibri" w:eastAsia="Calibri" w:hAnsi="Calibri"/>
          <w:color w:val="262626"/>
          <w:sz w:val="21"/>
          <w:szCs w:val="21"/>
        </w:rPr>
        <w:t xml:space="preserve">Comparador de planes Microsoft 365 / Intune: https://www.microsoft.com/es-mx/microsoft-365/business/compare-more-office-365-for-business-plans</w:t>
      </w:r>
    </w:p>
    <w:p>
      <w:pPr>
        <w:pBdr>
          <w:left w:val="single" w:color="BF8F00" w:sz="18" w:space="8"/>
        </w:pBdr>
        <w:shd w:fill="FFF6E5" w:val="clear"/>
        <w:spacing w:after="200" w:before="80"/>
        <w:ind w:left="120"/>
      </w:pPr>
      <w:r>
        <w:rPr>
          <w:rFonts w:ascii="Calibri" w:cs="Calibri" w:eastAsia="Calibri" w:hAnsi="Calibri"/>
          <w:i/>
          <w:iCs/>
          <w:color w:val="3B3B3B"/>
          <w:sz w:val="20"/>
          <w:szCs w:val="20"/>
        </w:rPr>
        <w:t xml:space="preserve">Si en una fase futura el cliente decide habilitar la Opción B (Entra Kerberos SSO / mayor integración híbrida) o requiere publicar servicios en Azure (por ejemplo, Azure Files como reemplazo del NAS, o una VPN Site-to-Site), se recomienda generar una estimación específica en la Calculadora de Azure en ese momento, ya que los costos dependen de la región, el SKU de VM/almacenamiento y el ancho de banda proyectado.</w:t>
      </w:r>
    </w:p>
    <w:p>
      <w:pPr>
        <w:pStyle w:val="Heading1"/>
        <w:pBdr>
          <w:bottom w:val="single" w:color="2E5395" w:sz="6" w:space="4"/>
        </w:pBdr>
        <w:spacing w:after="200" w:before="480"/>
      </w:pPr>
      <w:r>
        <w:rPr>
          <w:rFonts w:ascii="Calibri" w:cs="Calibri" w:eastAsia="Calibri" w:hAnsi="Calibri"/>
          <w:b/>
          <w:bCs/>
          <w:color w:val="1F3864"/>
          <w:sz w:val="30"/>
          <w:szCs w:val="30"/>
        </w:rPr>
        <w:t xml:space="preserve">Anexo A. Catálogo de Políticas de Seguridad Recomendadas (complemento a la sección 4.5)</w:t>
      </w:r>
    </w:p>
    <w:p>
      <w:pPr>
        <w:spacing w:after="160" w:line="276"/>
      </w:pPr>
      <w:r>
        <w:rPr>
          <w:rFonts w:ascii="Calibri" w:cs="Calibri" w:eastAsia="Calibri" w:hAnsi="Calibri"/>
          <w:color w:val="262626"/>
          <w:sz w:val="21"/>
          <w:szCs w:val="21"/>
        </w:rPr>
        <w:t xml:space="preserve">Además de las políticas solicitadas explícitamente por el cliente (USB, mapeos entre máquinas, captura de pantalla, screensaver, wallpaper), se recomienda evaluar e incorporar las siguientes políticas de seguridad para los equipos macOS, priorizadas según el perfil de riesgo del cliente: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6700"/>
      </w:tblGrid>
      <w:tr>
        <w:trPr>
          <w:tblHeader/>
        </w:trPr>
        <w:tc>
          <w:tcPr>
            <w:tcW w:type="dxa" w:w="34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Política</w:t>
            </w:r>
          </w:p>
        </w:tc>
        <w:tc>
          <w:tcPr>
            <w:tcW w:type="dxa" w:w="6700"/>
            <w:shd w:fill="1F3864" w:val="clear"/>
            <w:tcMar>
              <w:top w:type="dxa" w:w="80"/>
              <w:left w:type="dxa" w:w="100"/>
              <w:bottom w:type="dxa" w:w="80"/>
              <w:right w:type="dxa" w:w="100"/>
            </w:tcMar>
            <w:vAlign w:val="center"/>
          </w:tcPr>
          <w:p>
            <w:pPr>
              <w:jc w:val="center"/>
            </w:pPr>
            <w:r>
              <w:rPr>
                <w:rFonts w:ascii="Calibri" w:cs="Calibri" w:eastAsia="Calibri" w:hAnsi="Calibri"/>
                <w:b/>
                <w:bCs/>
                <w:color w:val="FFFFFF"/>
                <w:sz w:val="19"/>
                <w:szCs w:val="19"/>
              </w:rPr>
              <w:t xml:space="preserve">Descripción / objetivo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Cifrado de disco (FileVault)</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Habilitar y forzar FileVault en los 10 equipos, con custodia (escrow) de la llave de recuperación en Intune.</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Firewall de aplicaciones</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Activar el firewall nativo de macOS gestionado vía perfil de Intune.</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Gatekeeper / origen de apps</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Restringir instalación solo a App Store y desarrolladores identificados; bloquear "Permitir apps de cualquier origen".</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Gestión de actualizaciones de software</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Política de actualizaciones diferidas/forzadas de macOS y política de versión mínima de SO para cumplimiento.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Políticas de cumplimiento (Compliance) + Conditional Access</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Bloquear acceso a recursos corporativos (correo, SharePoint, etc.) desde equipos no inscritos o no conformes; exigir MFA.</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Gestión de cuenta local / privilegios</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Usuarios estándar por defecto; considerar Endpoint Privilege Management (Intune Suite) para elevaciones puntuales controladas.</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Deshabilitar cuenta de invitado</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Bloquear el inicio de sesión de invitado en los 10 equipos.</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Política de contraseña / código de acceso</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Complejidad mínima, expiración, bloqueo tras intentos fallidos, y borrado remoto configurado.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Restricción de iCloud corporativo</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Deshabilitar iCloud Drive/Fotos/Llavero para evitar fuga de datos corporativos hacia cuentas personales de Apple ID.</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Gestión de aplicaciones (Managed Open-In)</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Definir lista de apps permitidas/bloqueadas y evitar apertura cruzada de documentos corporativos en apps personales.</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Perfil de red Wi-Fi corporativa</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Distribuir SSID empresarial con autenticación 802.1X basada en certificado (vía SCEP/PKCS de Intune).</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Bloqueo/lock y borrado remoto</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Configurar capacidades de bloqueo y borrado remoto desde Intune ante pérdida o robo.</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Microsoft Defender for Endpoint en macOS</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Antivirus + EDR gestionado, con alertas integradas a Intune/Entra.</w:t>
            </w:r>
          </w:p>
        </w:tc>
      </w:tr>
      <w:tr>
        <w:tc>
          <w:tcPr>
            <w:tcW w:type="dxa" w:w="34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Restricciones de Bluetooth / AirPlay</w:t>
            </w:r>
          </w:p>
        </w:tc>
        <w:tc>
          <w:tcPr>
            <w:tcW w:type="dxa" w:w="6700"/>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Evaluar restricción según el perfil de riesgo del cliente (opcional).</w:t>
            </w:r>
          </w:p>
        </w:tc>
      </w:tr>
      <w:tr>
        <w:tc>
          <w:tcPr>
            <w:tcW w:type="dxa" w:w="34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Analítica de endpoints / logs</w:t>
            </w:r>
          </w:p>
        </w:tc>
        <w:tc>
          <w:tcPr>
            <w:tcW w:type="dxa" w:w="6700"/>
            <w:shd w:fill="F2F2F2" w:val="clear"/>
            <w:tcMar>
              <w:top w:type="dxa" w:w="80"/>
              <w:left w:type="dxa" w:w="100"/>
              <w:bottom w:type="dxa" w:w="80"/>
              <w:right w:type="dxa" w:w="100"/>
            </w:tcMar>
            <w:vAlign w:val="center"/>
          </w:tcPr>
          <w:p>
            <w:pPr>
              <w:jc w:val="left"/>
            </w:pPr>
            <w:r>
              <w:rPr>
                <w:rFonts w:ascii="Calibri" w:cs="Calibri" w:eastAsia="Calibri" w:hAnsi="Calibri"/>
                <w:b w:val="false"/>
                <w:bCs w:val="false"/>
                <w:color w:val="262626"/>
                <w:sz w:val="19"/>
                <w:szCs w:val="19"/>
              </w:rPr>
              <w:t xml:space="preserve">Habilitar Endpoint Analytics de Intune para monitoreo de salud y cumplimiento de los 10 equipos.</w:t>
            </w:r>
          </w:p>
        </w:tc>
      </w:tr>
    </w:tbl>
    <w:p>
      <w:pPr>
        <w:pBdr>
          <w:left w:val="single" w:color="375623" w:sz="18" w:space="8"/>
        </w:pBdr>
        <w:shd w:fill="FFF6E5" w:val="clear"/>
        <w:spacing w:after="200" w:before="80"/>
        <w:ind w:left="120"/>
      </w:pPr>
      <w:r>
        <w:rPr>
          <w:rFonts w:ascii="Calibri" w:cs="Calibri" w:eastAsia="Calibri" w:hAnsi="Calibri"/>
          <w:i/>
          <w:iCs/>
          <w:color w:val="3B3B3B"/>
          <w:sz w:val="20"/>
          <w:szCs w:val="20"/>
        </w:rPr>
        <w:t xml:space="preserve">Se recomienda priorizar en una primera etapa: FileVault, Firewall, Gatekeeper, Compliance + Conditional Access, política de contraseña y restricción de iCloud, ya que ofrecen el mayor impacto de seguridad con menor fricción para el usuario final. El resto puede incorporarse de forma incremental posterior al piloto.</w:t>
      </w:r>
    </w:p>
    <w:p>
      <w:pPr>
        <w:pStyle w:val="Heading1"/>
        <w:pBdr>
          <w:bottom w:val="single" w:color="2E5395" w:sz="6" w:space="4"/>
        </w:pBdr>
        <w:spacing w:after="200" w:before="480"/>
      </w:pPr>
      <w:r>
        <w:rPr>
          <w:rFonts w:ascii="Calibri" w:cs="Calibri" w:eastAsia="Calibri" w:hAnsi="Calibri"/>
          <w:b/>
          <w:bCs/>
          <w:color w:val="1F3864"/>
          <w:sz w:val="30"/>
          <w:szCs w:val="30"/>
        </w:rPr>
        <w:t xml:space="preserve">Próximos Pasos</w:t>
      </w:r>
    </w:p>
    <w:p>
      <w:pPr>
        <w:pStyle w:val="ListParagraph"/>
        <w:numPr>
          <w:ilvl w:val="0"/>
          <w:numId w:val="2"/>
        </w:numPr>
        <w:spacing w:after="90"/>
      </w:pPr>
      <w:r>
        <w:rPr>
          <w:rFonts w:ascii="Calibri" w:cs="Calibri" w:eastAsia="Calibri" w:hAnsi="Calibri"/>
          <w:color w:val="262626"/>
          <w:sz w:val="21"/>
          <w:szCs w:val="21"/>
        </w:rPr>
        <w:t xml:space="preserve">Validar y firmar de conformidad el alcance, los supuestos y el cronograma de esta propuesta.</w:t>
      </w:r>
    </w:p>
    <w:p>
      <w:pPr>
        <w:pStyle w:val="ListParagraph"/>
        <w:numPr>
          <w:ilvl w:val="0"/>
          <w:numId w:val="2"/>
        </w:numPr>
        <w:spacing w:after="90"/>
      </w:pPr>
      <w:r>
        <w:rPr>
          <w:rFonts w:ascii="Calibri" w:cs="Calibri" w:eastAsia="Calibri" w:hAnsi="Calibri"/>
          <w:color w:val="262626"/>
          <w:sz w:val="21"/>
          <w:szCs w:val="21"/>
        </w:rPr>
        <w:t xml:space="preserve">Confirmar el licenciamiento a adquirir/asignar (sección 9) y la disponibilidad de la cuenta de Apple Business Manager.</w:t>
      </w:r>
    </w:p>
    <w:p>
      <w:pPr>
        <w:pStyle w:val="ListParagraph"/>
        <w:numPr>
          <w:ilvl w:val="0"/>
          <w:numId w:val="2"/>
        </w:numPr>
        <w:spacing w:after="90"/>
      </w:pPr>
      <w:r>
        <w:rPr>
          <w:rFonts w:ascii="Calibri" w:cs="Calibri" w:eastAsia="Calibri" w:hAnsi="Calibri"/>
          <w:color w:val="262626"/>
          <w:sz w:val="21"/>
          <w:szCs w:val="21"/>
        </w:rPr>
        <w:t xml:space="preserve">Agendar sesión de kickoff con los equipos de TI, Networking y administración del NAS del cliente.</w:t>
      </w:r>
    </w:p>
    <w:p>
      <w:pPr>
        <w:pStyle w:val="ListParagraph"/>
        <w:numPr>
          <w:ilvl w:val="0"/>
          <w:numId w:val="2"/>
        </w:numPr>
        <w:spacing w:after="90"/>
      </w:pPr>
      <w:r>
        <w:rPr>
          <w:rFonts w:ascii="Calibri" w:cs="Calibri" w:eastAsia="Calibri" w:hAnsi="Calibri"/>
          <w:color w:val="262626"/>
          <w:sz w:val="21"/>
          <w:szCs w:val="21"/>
        </w:rPr>
        <w:t xml:space="preserve">Iniciar la Fase 1 — Descubrimiento y diseño detallado.</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C8C8C"/>
        <w:sz w:val="16"/>
        <w:szCs w:val="16"/>
      </w:rPr>
      <w:t xml:space="preserve">Página </w:t>
    </w:r>
    <w:r>
      <w:rPr>
        <w:color w:val="8C8C8C"/>
        <w:sz w:val="16"/>
        <w:szCs w:val="16"/>
      </w:rPr>
      <w:fldChar w:fldCharType="begin"/>
      <w:instrText xml:space="preserve">PAGE</w:instrText>
      <w:fldChar w:fldCharType="separate"/>
      <w:fldChar w:fldCharType="end"/>
    </w:r>
    <w:r>
      <w:rPr>
        <w:color w:val="8C8C8C"/>
        <w:sz w:val="16"/>
        <w:szCs w:val="16"/>
      </w:rPr>
      <w:t xml:space="preserve"> de </w:t>
    </w:r>
    <w:r>
      <w:rPr>
        <w:color w:val="8C8C8C"/>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i/>
        <w:iCs/>
        <w:color w:val="8C8C8C"/>
        <w:sz w:val="16"/>
        <w:szCs w:val="16"/>
      </w:rPr>
      <w:t xml:space="preserve">Propuesta Técnica — Implementación Microsoft Intune (macOS)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2026-08-06T05:49:02.685Z</dcterms:created>
  <dcterms:modified xsi:type="dcterms:W3CDTF">2026-08-06T05:49:02.686Z</dcterms:modified>
</cp:coreProperties>
</file>

<file path=docProps/custom.xml><?xml version="1.0" encoding="utf-8"?>
<Properties xmlns="http://schemas.openxmlformats.org/officeDocument/2006/custom-properties" xmlns:vt="http://schemas.openxmlformats.org/officeDocument/2006/docPropsVTypes"/>
</file>