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9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DOCUMENTO DE EVALUACIÓN — VERSIÓN BASE</w:t>
      </w:r>
    </w:p>
    <w:p>
      <w:pPr>
        <w:pBdr>
          <w:bottom w:val="single" w:color="1F4788" w:sz="16" w:space="8"/>
        </w:pBdr>
        <w:spacing w:after="120" w:before="0"/>
      </w:pPr>
      <w:r>
        <w:rPr>
          <w:rFonts w:ascii="Arial" w:cs="Arial" w:eastAsia="Arial" w:hAnsi="Arial"/>
          <w:b/>
          <w:bCs/>
          <w:color w:val="1F4788"/>
          <w:sz w:val="52"/>
          <w:szCs w:val="52"/>
        </w:rPr>
        <w:t xml:space="preserve">Mapa de Necesidades</w:t>
      </w:r>
    </w:p>
    <w:p>
      <w:pPr>
        <w:spacing w:after="480" w:before="80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Plataforma de Gobernanza de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C3ntro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Área solicitante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Área de Integración y Consultoría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Primer cliente interno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— Mensajería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Fecha de emisión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de junio de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Base (adaptar por vendor)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Uso interno — Evaluación de proveedores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D6E4F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01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Contexto del área y del negocio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Naturaleza del área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Área nueva de integración y consultoría tecnológica dentro de C3ntro, orientada a dar servicio a productos internos como SMS y Contact Center mediante integraciones, gobernanza de APIs y consultoría especializada.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Modelo operativo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Centro de servicios internos con modelo de cobro a clientes internos: fee base mensual por uso de plataforma más horas de consultoría. Los clientes internos financian la infraestructura compartida del área.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Equipo actual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personas: 1 manager (dimensionamiento, seguimiento y comunicación) y 2 ingenieros de integración. Sin equipo de infraestructura propio.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Fase actual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Arranque. Primer cliente interno activo: área de SMS. Expansión planificada hacia Contact Center y otros productos de C3ntro.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Restricción crítica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plataforma debe ser SaaS puro. No es posible involucrar al equipo de infraestructura de C3ntro ni asumir costos de operación de infraestructura propia en ningún componente.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6E4F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02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Clientes internos y sus necesidades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Los clientes internos del área son los productos de C3ntro que consumirán la plataforma de gobernanza. Cada cliente tiene necesidades específicas que la solución debe atender.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SMS — Cliente ancla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 ANCLA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Área de Mensajería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Gobernanza formal del ciclo de vida de sus APIs: versionado, publicación y deprecación controlada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Visibilidad sobre quién consume sus APIs, con qué volumen y con qué resultado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Aplicación de políticas de seguridad: autenticación, rate limiting y control de acceso por consumidor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Trazabilidad completa de transacciones para soporte de procesos de facturación y auditoría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Separación entre soporte del producto CPaaS y soporte de las integraciones sobre ese producto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SLAs estrictos de disponibilidad alineados con los compromisos de mensajería crítica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Contact Center — Cliente en pipeline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EN PIPELINE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Área de Contact Center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Integración de sus APIs con sistemas CRM y plataformas de orquestación de agentes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Gobernanza de los flujos de datos entre Contact Center y sistemas externos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Visibilidad operativa sobre el comportamiento de sus integraciones en producción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Otros productos C3ntro — Expansión futura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EXPANSIÓN FUTURA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Productos adicionales de la plataforma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arquitectura debe soportar incorporación de nuevos clientes internos sin rediseño de la plataforma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Segmentación de ambientes, políticas y analytics por cliente de forma completamente independiente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Modelo de costos que permita distribuir el fee de plataforma entre múltiples clientes internos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6E4F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03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Necesidades técnicas de gobernanza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Los requerimientos están clasificados por prioridad. Los marcados como CRÍTICO son condición necesaria para la viabilidad operativa del área.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788"/>
                <w:sz w:val="18"/>
                <w:szCs w:val="18"/>
              </w:rPr>
              <w:t xml:space="preserve">CICLO DE VIDA  </w:t>
            </w: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 [CRÍTICO]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Gestión de versiones y revisiones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Versionado formal de APIs con separación entre revisiones no disruptivas y versiones con breaking changes. Proceso de deprecación controlado sin impacto a consumidores activos.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SEGURIDAD  </w:t>
            </w: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 [CRÍTICO]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Autenticación y control de acceso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Soporte nativo para OAuth 2.0, JWT y API keys. RBAC granular hasta nivel de operación individual. Integración con proveedor de identidad corporativo existente en C3ntro.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CONTROL DE TRÁFICO  </w:t>
            </w: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 [CRÍTICO]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Rate limiting y throttling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Límites configurables por suscripción, por cliente interno y por operación específica. Ventanas de tiempo configurables. Base técnica para el modelo de cobro por consumo del área.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OBSERVABILIDAD  </w:t>
            </w: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 [CRÍTICO]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Analytics y trazabilidad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Registro inmutable de cada transacción con resultado, latencia y consumidor. Dashboards de consumo por cliente interno y por período. Exportable para facturación interna y auditorías formales.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PORTAL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 [ALTO]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Portal de desarrolladores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Autoservicio para consumidores internos: documentación de APIs, solicitud de acceso, gestión de credenciales y pruebas en vivo sin intervención directa del equipo del área.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PRODUCTOS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 [ALTO]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Gestión de planes y suscripciones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Agrupación de APIs en productos con condiciones diferenciadas por cliente. Suscripciones con límites distintos para SMS y Contact Center. Soporte directo al modelo de cobro interno del área.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RESILIENCIA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 [ALTO]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Circuit breaker y política de reintentos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Detección automática de backends degradados con desvío de tráfico. Políticas de reintento con backoff exponencial para absorber fallas transitorias sin impacto visible al consumidor de la API.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TRANSFORMACIÓN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 [MEDIO]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Políticas de transformación de tráfico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Modificación de headers, reescritura de URLs y transformaciones básicas de payload sin necesidad de modificar los backends. Para normalización entre sistemas con interfaces heterogéneas.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6E4F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04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Requerimientos de SLA y soporte enterprise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 mínimo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Disponibilidad de plataforma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99.99% mensual con SLA contractual respaldado por el vendor con penalizaciones definidas ante incumplimiento.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SMS opera con SLAs críticos con sus propios clientes finales.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Respuesta ante incidente crítico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1 hora para severidad P1 (sistema completamente inoperativo). Cobertura 24/7/365 sin excepción.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Mensajería crítica opera fuera de horario hábil todos los días.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Soporte técnico especializado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Acceso a ingenieros del vendor con conocimiento profundo del producto. No solo soporte de primer nivel con scripts.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El equipo interno es pequeño y no puede absorber diagnósticos complejos sin respaldo del vendor.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Account manager dedicado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 punto de contacto estable con conocimiento de la implementación específica del área.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Facilita escalaciones y reduce tiempo de resolución en incidentes de alta presión.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Revisiones proactivas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 menos una revisión de arquitectura o health check al año incluida en el contrato base.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El área no tiene experiencia previa en la plataforma y requiere validación externa periódica.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Notificación de incidentes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Comunicación proactiva ante degradaciones o mantenimientos planificados que afecten disponibilidad.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Permite activar protocolos internos antes de que el impacto llegue al cliente.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Idioma de soporte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Soporte en español o con Account Manager hispanohablante disponible.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Operación en México. Reduce fricción crítica en incidentes con alta presión de tiempo.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6E4F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05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Restricciones no negociables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Las siguientes restricciones son eliminatorias. Un vendor que no las cumple en su totalidad no avanza en el proceso de evaluación, independientemente de sus capacidades técnicas o precio.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single" w:color="1F4788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788"/>
                <w:sz w:val="22"/>
                <w:szCs w:val="22"/>
              </w:rPr>
              <w:t xml:space="preserve">SaaS puro — sin infraestructura propia en ningún componente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Tanto el control plane como el data plane deben operar completamente en la infraestructura del vendor. No se aceptan modelos híbridos donde el gateway o cualquier componente de procesamiento de tráfico requiera instalación, configuración u operación en infraestructura de C3ntro. El criterio de validación es simple: si el área necesita abrir un ticket con el equipo de infraestructura de C3ntro para desplegar o mantener cualquier componente de la plataforma, el modelo no cumple el requerimiento.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single" w:color="1F4788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788"/>
                <w:sz w:val="22"/>
                <w:szCs w:val="22"/>
              </w:rPr>
              <w:t xml:space="preserve">SLA contractual formal con el vendor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SLA de disponibilidad debe estar respaldado contractualmente por el vendor, con penalizaciones o créditos de servicio claramente definidos ante incumplimiento. No se aceptan compromisos de best effort ni SLAs que dependan de configuraciones opcionales adicionales para activarse.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single" w:color="1F4788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788"/>
                <w:sz w:val="22"/>
                <w:szCs w:val="22"/>
              </w:rPr>
              <w:t xml:space="preserve">Soporte enterprise incluido en el contrato 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soporte 24/7 con tiempos de respuesta contractuales para incidentes críticos debe estar incluido en el contrato principal, no como add-on opcional de adquisición separada. El área no tiene capacidad operativa para gestionar contratos de soporte independientes de la licencia de plataforma.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single" w:color="1F4788" w:sz="16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788"/>
                <w:sz w:val="22"/>
                <w:szCs w:val="22"/>
              </w:rPr>
              <w:t xml:space="preserve">Multi-tenancy nativo para clientes internos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plataforma debe permitir segmentar completamente los ambientes, políticas, analytics y credenciales de SMS y Contact Center como clientes separados dentro de la misma instancia contratada, sin costos adicionales por cliente ni configuración de infraestructura separada.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6E4F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06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Criterios de evaluación y peso relativo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Los tres primeros criterios son eliminatorios: su incumplimiento descalifica al vendor antes de evaluar los demás. Los criterios ponderados se aplican únicamente a vendors que superan los filtros eliminatorios.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Descripción y forma de validación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Cumplimiento SaaS puro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vendor opera todos los componentes. Ningún elemento requiere infraestructura de C3ntro. Se valida con demostración técnica y revisión contractual.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788"/>
                <w:sz w:val="20"/>
                <w:szCs w:val="20"/>
              </w:rPr>
              <w:t xml:space="preserve">ELIMINATORIO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SLA de disponibilidad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Disponibilidad contractual ≥ 99.99% con penalizaciones formales ante incumplimiento. Se valida en el contrato de servicio.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788"/>
                <w:sz w:val="20"/>
                <w:szCs w:val="20"/>
              </w:rPr>
              <w:t xml:space="preserve">ELIMINATORIO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Soporte enterprise 24/7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Respuesta ≤ 1 hora para P1, incluido en contrato base, con ingeniero especializado no de primer nivel.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788"/>
                <w:sz w:val="20"/>
                <w:szCs w:val="20"/>
              </w:rPr>
              <w:t xml:space="preserve">ELIMINATORIO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Capacidades de gobernanza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Cobertura de los 8 requerimientos técnicos de la sección 3, con énfasis en los 4 marcados como críticos.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788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Analytics y trazabilidad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Granularidad suficiente para soporte de facturación interna y auditorías sin integración adicional de herramientas externas.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788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Presencia en México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Soporte en español, presencia local directa o partner certificado con SLA garantizado directamente por el vendor.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788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Multi-tenancy y modelo de clientes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Segmentación nativa por cliente interno sin costos adicionales por unidad ni configuración de infraestructura separada.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788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Costo total y contrato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Precio predecible, contrato anual con flexibilidad, sin componentes de costo ocultos en infraestructura subyacente.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788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788"/>
                <w:sz w:val="22"/>
                <w:szCs w:val="22"/>
              </w:rPr>
              <w:t xml:space="preserve">Nota sobre el uso de este documento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Este documento es la versión base del mapa de necesidades. Para presentarlo a un vendor específico, se deben actualizar las secciones 1 y 2 con el nombre del vendor en el título, ajustar los criterios de evaluación según las capacidades conocidas del vendor, y agregar una sección de preguntas específicas al final. La estructura de requerimientos y restricciones permanece igual en todas las versiones.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666666"/>
        <w:sz w:val="16"/>
        <w:szCs w:val="16"/>
      </w:rPr>
      <w:t xml:space="preserve">Documento base — adaptar por vendor antes de presentar</w:t>
    </w:r>
    <w:r>
      <w:rPr>
        <w:rFonts w:ascii="Arial" w:cs="Arial" w:eastAsia="Arial" w:hAnsi="Arial"/>
        <w:color w:val="666666"/>
        <w:sz w:val="16"/>
        <w:szCs w:val="16"/>
      </w:rPr>
      <w:t xml:space="preserve">		Página </w:t>
    </w:r>
    <w:r>
      <w:rPr>
        <w:rFonts w:ascii="Arial" w:cs="Arial" w:eastAsia="Arial" w:hAnsi="Arial"/>
        <w:color w:val="1F47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788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666666"/>
        <w:sz w:val="18"/>
        <w:szCs w:val="18"/>
      </w:rPr>
      <w:t xml:space="preserve">C3ntro — Mapa de Necesidades: Plataforma de Gobernanza de APIs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b/>
        <w:bCs/>
        <w:color w:val="1F4788"/>
        <w:sz w:val="18"/>
        <w:szCs w:val="18"/>
      </w:rPr>
      <w:t xml:space="preserve">v1.0 —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78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2026-06-04T18:28:03.751Z</dcterms:created>
  <dcterms:modified xsi:type="dcterms:W3CDTF">2026-06-04T18:28:03.751Z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