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Eyebrow"/>
      </w:pPr>
      <w:r>
        <w:t xml:space="preserve">TRANSFORMER CAPITAL</w:t>
      </w:r>
    </w:p>
    <w:p>
      <w:pPr>
        <w:pStyle w:val="Title"/>
      </w:pPr>
      <w:r>
        <w:t xml:space="preserve">Insurance Schedule Amendment</w:t>
      </w:r>
    </w:p>
    <w:p>
      <w:pPr>
        <w:pStyle w:val="Subtitle"/>
      </w:pPr>
      <w:r>
        <w:t xml:space="preserve">TC-COVE-REQ-003 | FICTIONAL TEST FIXTURE</w:t>
      </w:r>
    </w:p>
    <w:p>
      <w:pPr>
        <w:pStyle w:val="Body"/>
      </w:pPr>
      <w:r>
        <w:t xml:space="preserve">Portfolio company: Cove Technologies Inc.</w:t>
      </w:r>
    </w:p>
    <w:p>
      <w:pPr>
        <w:pStyle w:val="Body"/>
      </w:pPr>
      <w:r>
        <w:t xml:space="preserve">Company business location: 1070 Bridgeview Way, San Francisco, CA 94124</w:t>
      </w:r>
    </w:p>
    <w:p>
      <w:pPr>
        <w:pStyle w:val="Body"/>
      </w:pPr>
      <w:r>
        <w:t xml:space="preserve">Investor and certificate holder: Transformer Capital</w:t>
      </w:r>
    </w:p>
    <w:p>
      <w:pPr>
        <w:pStyle w:val="Body"/>
      </w:pPr>
      <w:r>
        <w:t xml:space="preserve">Effective date: August 15, 2026</w:t>
      </w:r>
    </w:p>
    <w:p>
      <w:pPr>
        <w:pStyle w:val="Heading1"/>
      </w:pPr>
      <w:r>
        <w:t xml:space="preserve">1. Replacement requirement</w:t>
      </w:r>
    </w:p>
    <w:p>
      <w:pPr>
        <w:pStyle w:val="Body"/>
      </w:pPr>
      <w:r>
        <w:t xml:space="preserve">This amendment replaces the professional liability insurance paragraph in the draft investment agreement. Cove Technologies Inc. shall maintain Technology Errors &amp; Omissions Liability on a claims-made basis with an each claim limit of not less than $1,000,000 and an annual aggregate limit of not less than $1,000,000.</w:t>
      </w:r>
    </w:p>
    <w:p>
      <w:pPr>
        <w:pStyle w:val="Heading1"/>
      </w:pPr>
      <w:r>
        <w:t xml:space="preserve">2. Requirements intentionally not imposed</w:t>
      </w:r>
    </w:p>
    <w:p>
      <w:pPr>
        <w:pStyle w:val="Body"/>
      </w:pPr>
      <w:r>
        <w:t xml:space="preserve">No Directors &amp; Officers Liability, Commercial General Liability, Workers Compensation, Automobile Liability, additional insured status, waiver of subrogation, or primary and non-contributory wording is required by this amendment.</w:t>
      </w:r>
    </w:p>
    <w:p>
      <w:pPr>
        <w:pStyle w:val="Heading1"/>
      </w:pPr>
      <w:r>
        <w:t xml:space="preserve">3. Contract administration only</w:t>
      </w:r>
    </w:p>
    <w:p>
      <w:pPr>
        <w:pStyle w:val="Body"/>
      </w:pPr>
      <w:r>
        <w:t xml:space="preserve">The insurer should be rated A- VII or better by AM Best. Cove should deliver a certificate within ten business days, request 30 days' cancellation notice where available, promptly report claims, and flow appropriate insurance obligations to subcontractors. Cove also agrees to customary indemnification. These are administrative or contract terms, not policy coverage requirements, and must not be extracted as additional coverage rules.</w:t>
      </w:r>
    </w:p>
    <w:p>
      <w:pPr>
        <w:pStyle w:val="Body"/>
      </w:pPr>
      <w:r>
        <w:t xml:space="preserve">Certificate contact: certificates@transformer-capital.example</w:t>
      </w:r>
    </w:p>
    <w:p>
      <w:pPr>
        <w:pStyle w:val="FooterNote"/>
      </w:pPr>
      <w:r>
        <w:t xml:space="preserve">Fictional test fixture only. Not a binder, policy, certificate, investment agreement, or legal document.</w:t>
      </w:r>
    </w:p>
    <w:sectPr>
      <w:pgSz w:w="12240" w:h="15840"/>
      <w:pgMar w:top="1080" w:right="1080" w:bottom="1080" w:left="1080"/>
    </w:sectPr>
  </w:body>
</w:document>
</file>

<file path=word/styles.xml><?xml version="1.0" encoding="utf-8"?>
<w:styles xmlns:w="http://schemas.openxmlformats.org/wordprocessingml/2006/main">
  <w:style w:type="paragraph" w:default="1" w:styleId="Body">
    <w:name w:val="Body"/>
    <w:rPr>
      <w:rFonts w:ascii="Arial" w:hAnsi="Arial"/>
      <w:sz w:val="21"/>
      <w:color w:val="172033"/>
    </w:rPr>
    <w:pPr>
      <w:spacing w:after="140" w:line="300" w:lineRule="auto"/>
    </w:pPr>
  </w:style>
  <w:style w:type="paragraph" w:styleId="Eyebrow">
    <w:name w:val="Eyebrow"/>
    <w:basedOn w:val="Body"/>
    <w:rPr>
      <w:b/>
      <w:color w:val="3155A6"/>
      <w:sz w:val="18"/>
      <w:caps/>
    </w:rPr>
  </w:style>
  <w:style w:type="paragraph" w:styleId="Title">
    <w:name w:val="Title"/>
    <w:basedOn w:val="Body"/>
    <w:rPr>
      <w:b/>
      <w:color w:val="172033"/>
      <w:sz w:val="38"/>
    </w:rPr>
    <w:pPr>
      <w:spacing w:before="160" w:after="120"/>
    </w:pPr>
  </w:style>
  <w:style w:type="paragraph" w:styleId="Subtitle">
    <w:name w:val="Subtitle"/>
    <w:basedOn w:val="Body"/>
    <w:rPr>
      <w:color w:val="667085"/>
      <w:sz w:val="18"/>
    </w:rPr>
  </w:style>
  <w:style w:type="paragraph" w:styleId="Heading1">
    <w:name w:val="Heading 1"/>
    <w:basedOn w:val="Body"/>
    <w:rPr>
      <w:b/>
      <w:color w:val="3155A6"/>
      <w:sz w:val="23"/>
    </w:rPr>
    <w:pPr>
      <w:spacing w:before="280" w:after="100"/>
    </w:pPr>
  </w:style>
  <w:style w:type="paragraph" w:styleId="FooterNote">
    <w:name w:val="Footer Note"/>
    <w:basedOn w:val="Body"/>
    <w:rPr>
      <w:i/>
      <w:color w:val="667085"/>
      <w:sz w:val="16"/>
    </w:rPr>
    <w:pPr>
      <w:spacing w:before="3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Glass test fixture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Insurance Schedule Amendment — TC-COVE-REQ-003</dc:title>
  <dc:creator>Transformer Capital (fictional test fixture)</dc:creator>
  <dc:subject>Insurance requirements for Cove Technologies Inc.</dc:subject>
  <dcterms:created xsi:type="dcterms:W3CDTF">2026-08-01T12:00:00Z</dcterms:created>
  <dcterms:modified xsi:type="dcterms:W3CDTF">2026-08-01T12:00:00Z</dcterms:modified>
</cp:coreProperties>
</file>