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FB89" w14:textId="64EB3848" w:rsidR="004846A7" w:rsidRDefault="004846A7">
      <w:r w:rsidRPr="004846A7">
        <w:drawing>
          <wp:inline distT="0" distB="0" distL="0" distR="0" wp14:anchorId="2EDB1912" wp14:editId="5F862122">
            <wp:extent cx="5943600" cy="4160520"/>
            <wp:effectExtent l="0" t="0" r="0" b="5080"/>
            <wp:docPr id="1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logo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A7"/>
    <w:rsid w:val="004846A7"/>
    <w:rsid w:val="00FD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1E1B3"/>
  <w15:chartTrackingRefBased/>
  <w15:docId w15:val="{7413974E-5A49-3B48-9DE0-A61747B6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Whinfell Partners</dc:creator>
  <cp:keywords/>
  <dc:description/>
  <cp:lastModifiedBy>Whinfell Partners</cp:lastModifiedBy>
  <cp:revision>2</cp:revision>
  <dcterms:created xsi:type="dcterms:W3CDTF">2024-02-08T18:11:00Z</dcterms:created>
  <dcterms:modified xsi:type="dcterms:W3CDTF">2024-02-08T18:13:00Z</dcterms:modified>
</cp:coreProperties>
</file>