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e3a5f"/>
          <w:sz w:val="26"/>
          <w:szCs w:val="26"/>
        </w:rPr>
        <w:t xml:space="preserve">WHINFELL TRANSMISSION LADDER — DESK CARD v1.0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REGIME</w:t>
            </w:r>
          </w:p>
        </w:tc>
        <w:tc>
          <w:tcPr>
            <w:tcW w:type="dxa" w:w="252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WEAKEST LINK</w:t>
            </w:r>
          </w:p>
        </w:tc>
        <w:tc>
          <w:tcPr>
            <w:tcW w:type="dxa" w:w="252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LADDER AVG</w:t>
            </w:r>
          </w:p>
        </w:tc>
        <w:tc>
          <w:tcPr>
            <w:tcW w:type="dxa" w:w="252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BTC POSTURE</w:t>
            </w:r>
          </w:p>
        </w:tc>
        <w:tc>
          <w:tcPr>
            <w:tcW w:type="dxa" w:w="252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ETH POSTURE</w:t>
            </w:r>
          </w:p>
        </w:tc>
        <w:tc>
          <w:tcPr>
            <w:tcW w:type="dxa" w:w="252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AS OF</w:t>
            </w:r>
          </w:p>
        </w:tc>
      </w:tr>
      <w:tr>
        <w:tc>
          <w:tcPr>
            <w:tcW w:type="dxa" w:w="252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fef3c7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FRAGILE RISK-ON</w:t>
            </w:r>
          </w:p>
        </w:tc>
        <w:tc>
          <w:tcPr>
            <w:tcW w:type="dxa" w:w="252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fee2e2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Liquidity &amp; Rates 41</w:t>
            </w:r>
          </w:p>
        </w:tc>
        <w:tc>
          <w:tcPr>
            <w:tcW w:type="dxa" w:w="252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47 / 100</w:t>
            </w:r>
          </w:p>
        </w:tc>
        <w:tc>
          <w:tcPr>
            <w:tcW w:type="dxa" w:w="252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Reduced-size carry</w:t>
            </w:r>
          </w:p>
        </w:tc>
        <w:tc>
          <w:tcPr>
            <w:tcW w:type="dxa" w:w="252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Highly selective</w:t>
            </w:r>
          </w:p>
        </w:tc>
        <w:tc>
          <w:tcPr>
            <w:tcW w:type="dxa" w:w="252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2026-06-28 07:12 CT</w:t>
            </w:r>
          </w:p>
        </w:tc>
      </w:tr>
    </w:tbl>
    <w:p>
      <w:pPr>
        <w:spacing w:before="160"/>
      </w:pP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1. LIQUIDITY &amp; RATES</w:t>
            </w:r>
          </w:p>
        </w:tc>
        <w:tc>
          <w:tcPr>
            <w:tcW w:type="dxa" w:w="3024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2. CREDIT</w:t>
            </w:r>
          </w:p>
        </w:tc>
        <w:tc>
          <w:tcPr>
            <w:tcW w:type="dxa" w:w="3024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3. BREADTH</w:t>
            </w:r>
          </w:p>
        </w:tc>
        <w:tc>
          <w:tcPr>
            <w:tcW w:type="dxa" w:w="3024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4. HIGH-BETA/BTC</w:t>
            </w:r>
          </w:p>
        </w:tc>
        <w:tc>
          <w:tcPr>
            <w:tcW w:type="dxa" w:w="3024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5. BASIS</w:t>
            </w:r>
          </w:p>
        </w:tc>
      </w:tr>
      <w:tr>
        <w:tc>
          <w:tcPr>
            <w:tcW w:type="dxa" w:w="3024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fee2e2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41 • BROKEN
↓ 20D curve (40% wt)</w:t>
            </w:r>
          </w:p>
        </w:tc>
        <w:tc>
          <w:tcPr>
            <w:tcW w:type="dxa" w:w="3024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fef3c7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43 • FRAGILE
↓ 5D momentum</w:t>
            </w:r>
          </w:p>
        </w:tc>
        <w:tc>
          <w:tcPr>
            <w:tcW w:type="dxa" w:w="3024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fef3c7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50 • FRAGILE
All flat</w:t>
            </w:r>
          </w:p>
        </w:tc>
        <w:tc>
          <w:tcPr>
            <w:tcW w:type="dxa" w:w="3024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fef3c7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61 • FRAGILE
BTC lagging</w:t>
            </w:r>
          </w:p>
        </w:tc>
        <w:tc>
          <w:tcPr>
            <w:tcW w:type="dxa" w:w="3024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d1fae5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74 • CONSTRUCTIVE
Normal contango</w:t>
            </w:r>
          </w:p>
        </w:tc>
      </w:tr>
    </w:tbl>
    <w:p>
      <w:pPr>
        <w:spacing w:before="160"/>
      </w:pP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7560"/>
      </w:tblGrid>
      <w:tr>
        <w:tc>
          <w:tcPr>
            <w:tcW w:type="dxa" w:w="75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MENTAL MATH (Instant)</w:t>
            </w:r>
          </w:p>
          <w:p>
            <w:r>
              <w:rPr>
                <w:sz w:val="17"/>
                <w:szCs w:val="17"/>
              </w:rPr>
              <w:t xml:space="preserve">up = 75  |  flat = 50  |  down = 25</w:t>
            </w:r>
          </w:p>
          <w:p>
            <w:r>
              <w:rPr>
                <w:color w:val="475569"/>
                <w:sz w:val="16"/>
                <w:szCs w:val="16"/>
              </w:rPr>
              <w:t xml:space="preserve">Example: 40% weight × down (25) = –10 pts vs flat</w:t>
            </w:r>
          </w:p>
        </w:tc>
        <w:tc>
          <w:tcPr>
            <w:tcW w:type="dxa" w:w="75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fefc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854d0e"/>
                <w:sz w:val="18"/>
                <w:szCs w:val="18"/>
              </w:rPr>
              <w:t xml:space="preserve">KEY RULE — WEAKEST LINK</w:t>
            </w:r>
          </w:p>
          <w:p>
            <w:r>
              <w:rPr>
                <w:sz w:val="16"/>
                <w:szCs w:val="16"/>
              </w:rPr>
              <w:t xml:space="preserve">Size off the lowest stage (tie-break: Liquidity → Credit). Never warehouse when Liquidity &lt; 50.</w:t>
            </w:r>
          </w:p>
        </w:tc>
      </w:tr>
    </w:tbl>
    <w:p>
      <w:pPr>
        <w:spacing w:before="160"/>
      </w:pP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7560"/>
      </w:tblGrid>
      <w:tr>
        <w:tc>
          <w:tcPr>
            <w:tcW w:type="dxa" w:w="75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BTC — REDUCED-SIZE CARRY</w:t>
            </w:r>
          </w:p>
        </w:tc>
        <w:tc>
          <w:tcPr>
            <w:tcW w:type="dxa" w:w="75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ETH — HIGHLY SELECTIVE</w:t>
            </w:r>
          </w:p>
        </w:tc>
      </w:tr>
      <w:tr>
        <w:tc>
          <w:tcPr>
            <w:tcW w:type="dxa" w:w="75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Supported: </w:t>
            </w:r>
            <w:r>
              <w:rPr>
                <w:sz w:val="16"/>
                <w:szCs w:val="16"/>
              </w:rPr>
              <w:t xml:space="preserve">Reduced front-curve carry, client structures only</w:t>
            </w:r>
          </w:p>
          <w:p>
            <w:r>
              <w:rPr>
                <w:b/>
                <w:bCs/>
                <w:color w:val="b91c1c"/>
                <w:sz w:val="16"/>
                <w:szCs w:val="16"/>
              </w:rPr>
              <w:t xml:space="preserve">Avoid: </w:t>
            </w:r>
            <w:r>
              <w:rPr>
                <w:sz w:val="16"/>
                <w:szCs w:val="16"/>
              </w:rPr>
              <w:t xml:space="preserve">Aggressive prop carry, levered basis, warehouse risk</w:t>
            </w:r>
          </w:p>
        </w:tc>
        <w:tc>
          <w:tcPr>
            <w:tcW w:type="dxa" w:w="75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Supported: </w:t>
            </w:r>
            <w:r>
              <w:rPr>
                <w:sz w:val="16"/>
                <w:szCs w:val="16"/>
              </w:rPr>
              <w:t xml:space="preserve">Very selective client-led only</w:t>
            </w:r>
          </w:p>
          <w:p>
            <w:r>
              <w:rPr>
                <w:b/>
                <w:bCs/>
                <w:color w:val="b91c1c"/>
                <w:sz w:val="16"/>
                <w:szCs w:val="16"/>
              </w:rPr>
              <w:t xml:space="preserve">Avoid: </w:t>
            </w:r>
            <w:r>
              <w:rPr>
                <w:sz w:val="16"/>
                <w:szCs w:val="16"/>
              </w:rPr>
              <w:t xml:space="preserve">Most calendar/basis trades, any material size</w:t>
            </w:r>
          </w:p>
        </w:tc>
      </w:tr>
    </w:tbl>
    <w:p>
      <w:pPr>
        <w:spacing w:before="120"/>
        <w:jc w:val="center"/>
      </w:pPr>
      <w:r>
        <w:rPr>
          <w:i/>
          <w:iCs/>
          <w:color w:val="475569"/>
          <w:sz w:val="15"/>
          <w:szCs w:val="15"/>
        </w:rPr>
        <w:t xml:space="preserve">If Liquidity &amp; Rates + China SQ3 both improve → Score likely pushes to 65+ and BTC calendar risk becomes more justifiable.</w:t>
      </w:r>
    </w:p>
    <w:sectPr>
      <w:pgSz w:w="12240" w:h="15840" w:orient="landscape"/>
      <w:pgMar w:top="360" w:right="360" w:bottom="36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2026-06-28T19:57:00.162Z</dcterms:created>
  <dcterms:modified xsi:type="dcterms:W3CDTF">2026-06-28T19:57:00.162Z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