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WHINFELL TRANSMISSION LADDER</w:t>
      </w:r>
    </w:p>
    <w:p>
      <w:pPr>
        <w:spacing w:after="400"/>
        <w:jc w:val="center"/>
      </w:pPr>
      <w:r>
        <w:rPr>
          <w:rFonts w:ascii="Arial" w:cs="Arial" w:eastAsia="Arial" w:hAnsi="Arial"/>
          <w:color w:val="2c5282"/>
          <w:sz w:val="28"/>
          <w:szCs w:val="28"/>
        </w:rPr>
        <w:t xml:space="preserve">Teach-In &amp; Operational Specification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Version 1.0  |  June 28, 2026</w:t>
      </w:r>
    </w:p>
    <w:p>
      <w:pPr>
        <w:spacing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c5282" w:sz="8"/>
              <w:left w:val="single" w:color="2c5282" w:sz="8"/>
              <w:bottom w:val="single" w:color="2c5282" w:sz="8"/>
              <w:right w:val="single" w:color="2c5282" w:sz="8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Audience</w:t>
            </w:r>
          </w:p>
          <w:p>
            <w:r>
              <w:rPr>
                <w:sz w:val="20"/>
                <w:szCs w:val="20"/>
              </w:rPr>
              <w:t xml:space="preserve">• Junior analysts (first desk rotation)</w:t>
            </w:r>
          </w:p>
          <w:p>
            <w:r>
              <w:rPr>
                <w:sz w:val="20"/>
                <w:szCs w:val="20"/>
              </w:rPr>
              <w:t xml:space="preserve">• LLM operators &amp; collection agents</w:t>
            </w:r>
          </w:p>
          <w:p>
            <w:r>
              <w:rPr>
                <w:sz w:val="20"/>
                <w:szCs w:val="20"/>
              </w:rPr>
              <w:t xml:space="preserve">• Senior reviewers onboarding new team members</w:t>
            </w:r>
          </w:p>
        </w:tc>
      </w:tr>
    </w:tbl>
    <w:p>
      <w:pPr>
        <w:pStyle w:val="Heading1"/>
      </w:pPr>
      <w:r>
        <w:t xml:space="preserve">Part I — Rigorous Theory</w:t>
      </w:r>
    </w:p>
    <w:p>
      <w:pPr>
        <w:pStyle w:val="Heading2"/>
      </w:pPr>
      <w:r>
        <w:t xml:space="preserve">1. What Problem the Ladder Solves</w:t>
      </w:r>
    </w:p>
    <w:p>
      <w:r>
        <w:t xml:space="preserve">Markets do not jump from “macro headline” to “BTC calendar trade” in one step. Risk transmits through an ordered chain:</w:t>
      </w:r>
    </w:p>
    <w:p>
      <w:pPr>
        <w:spacing w:before="120"/>
      </w:pPr>
      <w:r>
        <w:rPr>
          <w:b/>
          <w:bCs/>
        </w:rPr>
        <w:t xml:space="preserve">Liquidity &amp; Rates → Credit Confirmation → Equity Breadth → High-Beta/BTC → Basis &amp; Term Structure</w:t>
      </w:r>
    </w:p>
    <w:p>
      <w:pPr>
        <w:spacing w:before="120"/>
      </w:pPr>
      <w:r>
        <w:t xml:space="preserve">Each stage is a necessary but not sufficient filter for the next. The ladder makes this chain explicit and scorable so the desk does not confuse price movement with transmission quality.</w:t>
      </w:r>
    </w:p>
    <w:p>
      <w:pPr>
        <w:pStyle w:val="Heading2"/>
      </w:pPr>
      <w:r>
        <w:t xml:space="preserve">2. Composite Scoring Theory</w:t>
      </w:r>
    </w:p>
    <w:p>
      <w:r>
        <w:t xml:space="preserve">Each stage score is a transparent composite indicator:</w:t>
      </w:r>
    </w:p>
    <w:p>
      <w:pPr>
        <w:spacing w:before="80"/>
      </w:pPr>
      <w:r>
        <w:rPr>
          <w:b/>
          <w:bCs/>
        </w:rPr>
        <w:t xml:space="preserve">StageScore = Σ (weightᵢ × subscoreᵢ)   where Σweight = 100,  subscore ∈ {25, 50, 75}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Subscore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Constructive transmission on that input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Neutral / Fragile — no directional sponsorship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Impaired — desk should not build size here</w:t>
            </w:r>
          </w:p>
        </w:tc>
      </w:tr>
    </w:tbl>
    <w:p>
      <w:pPr>
        <w:pStyle w:val="Heading2"/>
      </w:pPr>
      <w:r>
        <w:t xml:space="preserve">3. Why Expert-Judgment Hybrid v1?</w:t>
      </w:r>
    </w:p>
    <w:p>
      <w:r>
        <w:rPr>
          <w:b/>
          <w:bCs/>
        </w:rPr>
        <w:t xml:space="preserve">Chosen at launch:</w:t>
      </w:r>
    </w:p>
    <w:p>
      <w:pPr>
        <w:pStyle w:val="ListParagraph"/>
        <w:numPr>
          <w:ilvl w:val="0"/>
          <w:numId w:val="2"/>
        </w:numPr>
      </w:pPr>
      <w:r>
        <w:t xml:space="preserve">Transparency &amp; mental math are non-negotiable for desk trust</w:t>
      </w:r>
    </w:p>
    <w:p>
      <w:pPr>
        <w:pStyle w:val="ListParagraph"/>
        <w:numPr>
          <w:ilvl w:val="0"/>
          <w:numId w:val="2"/>
        </w:numPr>
      </w:pPr>
      <w:r>
        <w:t xml:space="preserve">Liquidity &amp; Rates is not interchangeable with Equity Breadth in a financing-chain model</w:t>
      </w:r>
    </w:p>
    <w:p>
      <w:pPr>
        <w:pStyle w:val="ListParagraph"/>
        <w:numPr>
          <w:ilvl w:val="0"/>
          <w:numId w:val="2"/>
        </w:numPr>
      </w:pPr>
      <w:r>
        <w:t xml:space="preserve">Statistical weights require validated live history (we do not have it yet)</w:t>
      </w:r>
    </w:p>
    <w:p>
      <w:pPr>
        <w:spacing w:before="200"/>
      </w:pPr>
      <w:r>
        <w:rPr>
          <w:b/>
          <w:bCs/>
        </w:rPr>
        <w:t xml:space="preserve">Future path:</w:t>
      </w:r>
      <w:r>
        <w:t xml:space="preserve"> After 60+ desk sessions, statistical weights become a validation overlay — not a black-box replacement.</w:t>
      </w:r>
    </w:p>
    <w:p>
      <w:pPr>
        <w:pStyle w:val="Heading1"/>
      </w:pPr>
      <w:r>
        <w:t xml:space="preserve">Part II — Junior Analyst Teach-In</w:t>
      </w:r>
    </w:p>
    <w:p>
      <w:pPr>
        <w:pStyle w:val="Heading2"/>
      </w:pPr>
      <w:r>
        <w:t xml:space="preserve">Daily Read Protocol</w:t>
      </w:r>
    </w:p>
    <w:p>
      <w:r>
        <w:rPr>
          <w:b/>
          <w:bCs/>
        </w:rPr>
        <w:t xml:space="preserve">10-second scan:</w:t>
      </w:r>
      <w:r>
        <w:t xml:space="preserve"> Decision band only (Regime + Weakest Link + BTC/ETH posture)</w:t>
      </w:r>
    </w:p>
    <w:p>
      <w:r>
        <w:rPr>
          <w:b/>
          <w:bCs/>
        </w:rPr>
        <w:t xml:space="preserve">60-second scan:</w:t>
      </w:r>
      <w:r>
        <w:t xml:space="preserve"> Band + heat strip + Failure #1 + BTC/ETH posture chips</w:t>
      </w:r>
    </w:p>
    <w:p>
      <w:r>
        <w:rPr>
          <w:b/>
          <w:bCs/>
        </w:rPr>
        <w:t xml:space="preserve">3-minute read:</w:t>
      </w:r>
      <w:r>
        <w:t xml:space="preserve"> Open weakest-link math card + both trade menus</w:t>
      </w:r>
    </w:p>
    <w:p>
      <w:pPr>
        <w:pStyle w:val="Heading2"/>
      </w:pPr>
      <w:r>
        <w:t xml:space="preserve">Mental Math (Instant)</w:t>
      </w:r>
    </w:p>
    <w:p>
      <w:r>
        <w:rPr>
          <w:b/>
          <w:bCs/>
          <w:sz w:val="24"/>
          <w:szCs w:val="24"/>
        </w:rPr>
        <w:t xml:space="preserve">up → 75   |   flat → 50   |   down → 25</w:t>
      </w:r>
    </w:p>
    <w:p>
      <w:pPr>
        <w:spacing w:before="120"/>
      </w:pPr>
      <w:r>
        <w:t xml:space="preserve">Example (Liquidity &amp; Rates fixture): 20D curve is down on 40% weight → loses ~10 points vs all-flat → score 41 (Broken).</w:t>
      </w:r>
    </w:p>
    <w:p>
      <w:pPr>
        <w:pStyle w:val="Heading2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Do:</w:t>
      </w:r>
      <w:r>
        <w:t xml:space="preserve"> Read trigger before evidence. Size off weakest link. Write Key Observation as “constraint + action”.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 not:</w:t>
      </w:r>
      <w:r>
        <w:t xml:space="preserve"> Treat 51 vs 49 as noise-free. Warehouse basis when liquidity &lt; 50. Edit localStorage to “fix” scores.</w:t>
      </w:r>
    </w:p>
    <w:p>
      <w:pPr>
        <w:pStyle w:val="Heading1"/>
      </w:pPr>
      <w:r>
        <w:t xml:space="preserve">Part III — LLM / Agent Specification</w:t>
      </w:r>
    </w:p>
    <w:p>
      <w:r>
        <w:t xml:space="preserve">Data precedence: localStorage → hydration/latest.json → fixture.</w:t>
      </w:r>
    </w:p>
    <w:p>
      <w:r>
        <w:t xml:space="preserve">Every stage must render a full math panel (formula + component table + horizons + causal lines).</w:t>
      </w:r>
    </w:p>
    <w:p>
      <w:r>
        <w:t xml:space="preserve">Weakest link = min score with tie-break order: Liquidity → Credit → Breadth → High-Beta → Basis.</w:t>
      </w:r>
    </w:p>
    <w:p>
      <w:r>
        <w:t xml:space="preserve">QA rule: FAIL if any markdown syntax, missing math panels, or inconsistent weakest-link messaging appears in rendered output.</w:t>
      </w:r>
    </w:p>
    <w:p>
      <w:pPr>
        <w:pStyle w:val="Heading1"/>
      </w:pPr>
      <w:r>
        <w:t xml:space="preserve">Part IV — Enhancement Backlog (Prioritized)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P0:</w:t>
      </w:r>
      <w:r>
        <w:t xml:space="preserve"> Historical mark storage (real 30D/3M/1Y from Parquet)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P0:</w:t>
      </w:r>
      <w:r>
        <w:t xml:space="preserve"> 2.2e raw→WTM transform (auto-suggest tracer marks from staged CSVs)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P1:</w:t>
      </w:r>
      <w:r>
        <w:t xml:space="preserve"> Component live values from Koyfin/Barchart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P1:</w:t>
      </w:r>
      <w:r>
        <w:t xml:space="preserve"> Divergence alert when |composite − tracer| &gt; 5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Teach-In v1.0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•  Whinfell Transmission Map —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Whinfell Transmission Ladder — Teach-In v1.0</w:t>
    </w:r>
    <w:r>
      <w:rPr>
        <w:color w:val="999999"/>
        <w:sz w:val="18"/>
        <w:szCs w:val="18"/>
      </w:rPr>
      <w:t xml:space="preserve">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2026-06-28T19:56:38.449Z</dcterms:created>
  <dcterms:modified xsi:type="dcterms:W3CDTF">2026-06-28T19:56:38.449Z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