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2272" w14:textId="378A8B2E" w:rsidR="00735083" w:rsidRDefault="001845E3">
      <w:r>
        <w:t xml:space="preserve">Karen </w:t>
      </w:r>
      <w:proofErr w:type="spellStart"/>
      <w:r>
        <w:t>clark</w:t>
      </w:r>
      <w:proofErr w:type="spellEnd"/>
    </w:p>
    <w:p w14:paraId="07D9EE4D" w14:textId="77777777" w:rsidR="001845E3" w:rsidRPr="001845E3" w:rsidRDefault="001845E3" w:rsidP="001845E3"/>
    <w:p w14:paraId="2B874311" w14:textId="77777777" w:rsidR="001845E3" w:rsidRDefault="001845E3" w:rsidP="001845E3"/>
    <w:p w14:paraId="59461155" w14:textId="10BC05F5" w:rsidR="001845E3" w:rsidRDefault="001845E3" w:rsidP="001845E3">
      <w:pPr>
        <w:tabs>
          <w:tab w:val="left" w:pos="920"/>
        </w:tabs>
      </w:pPr>
      <w:r>
        <w:tab/>
      </w:r>
      <w:proofErr w:type="spellStart"/>
      <w:r>
        <w:t>Capitulo</w:t>
      </w:r>
      <w:proofErr w:type="spellEnd"/>
      <w:r>
        <w:t xml:space="preserve"> </w:t>
      </w:r>
      <w:r>
        <w:t xml:space="preserve">8: “La ingeniería de </w:t>
      </w:r>
      <w:proofErr w:type="spellStart"/>
      <w:r>
        <w:t>prompts</w:t>
      </w:r>
      <w:proofErr w:type="spellEnd"/>
      <w:r>
        <w:t xml:space="preserve"> no es el futuro” – </w:t>
      </w:r>
      <w:proofErr w:type="spellStart"/>
      <w:r>
        <w:t>Oguz</w:t>
      </w:r>
      <w:proofErr w:type="spellEnd"/>
      <w:r>
        <w:t xml:space="preserve"> A. </w:t>
      </w:r>
      <w:proofErr w:type="spellStart"/>
      <w:r>
        <w:t>Acar</w:t>
      </w:r>
      <w:proofErr w:type="spellEnd"/>
    </w:p>
    <w:p w14:paraId="7013DB3E" w14:textId="77777777" w:rsidR="001845E3" w:rsidRDefault="001845E3" w:rsidP="001845E3">
      <w:pPr>
        <w:tabs>
          <w:tab w:val="left" w:pos="920"/>
        </w:tabs>
      </w:pPr>
      <w:r>
        <w:t xml:space="preserve">En este capítulo, el autor sostiene que la llamada ingeniería de </w:t>
      </w:r>
      <w:proofErr w:type="spellStart"/>
      <w:r>
        <w:t>prompts</w:t>
      </w:r>
      <w:proofErr w:type="spellEnd"/>
      <w:r>
        <w:t xml:space="preserve"> —la práctica de diseñar cuidadosamente las instrucciones que se dan a los modelos de inteligencia artificial generativa— es solo una habilidad temporal. A medida que la tecnología avance, los modelos serán más capaces de entender el lenguaje natural, reduciendo la necesidad de elaborar </w:t>
      </w:r>
      <w:proofErr w:type="spellStart"/>
      <w:r>
        <w:t>prompts</w:t>
      </w:r>
      <w:proofErr w:type="spellEnd"/>
      <w:r>
        <w:t xml:space="preserve"> complejos. </w:t>
      </w:r>
      <w:proofErr w:type="spellStart"/>
      <w:r>
        <w:t>Acar</w:t>
      </w:r>
      <w:proofErr w:type="spellEnd"/>
      <w:r>
        <w:t xml:space="preserve"> enfatiza que el valor real no está en escribir la frase perfecta, sino en definir correctamente el problema, comprender el contexto y formular objetivos claros.</w:t>
      </w:r>
    </w:p>
    <w:p w14:paraId="44CED2E8" w14:textId="77777777" w:rsidR="001845E3" w:rsidRDefault="001845E3" w:rsidP="001845E3">
      <w:pPr>
        <w:tabs>
          <w:tab w:val="left" w:pos="920"/>
        </w:tabs>
      </w:pPr>
      <w:r>
        <w:t xml:space="preserve">Además, señala que muchas empresas están enfocándose en contratar “ingenieros de </w:t>
      </w:r>
      <w:proofErr w:type="spellStart"/>
      <w:r>
        <w:t>prompt</w:t>
      </w:r>
      <w:proofErr w:type="spellEnd"/>
      <w:r>
        <w:t xml:space="preserve">”, cuando lo realmente importante será transformar los procesos de trabajo y alinear la IA con las metas estratégicas de la organización. La habilidad clave del futuro será saber qué problema resolver, no tanto cómo comunicárselo a la máquina. El capítulo concluye que la ingeniería de </w:t>
      </w:r>
      <w:proofErr w:type="spellStart"/>
      <w:r>
        <w:t>prompts</w:t>
      </w:r>
      <w:proofErr w:type="spellEnd"/>
      <w:r>
        <w:t xml:space="preserve"> evolucionará hacia roles más amplios que incluyan diseño de flujos de trabajo, gobierno de la IA e interpretación de resultados.</w:t>
      </w:r>
    </w:p>
    <w:p w14:paraId="4D7DF203" w14:textId="77777777" w:rsidR="001845E3" w:rsidRDefault="001845E3" w:rsidP="001845E3">
      <w:pPr>
        <w:tabs>
          <w:tab w:val="left" w:pos="920"/>
        </w:tabs>
      </w:pPr>
      <w:r>
        <w:t xml:space="preserve">Capítulo 9: “Ocho preguntas sobre el uso responsable de la IA, respondidas” – </w:t>
      </w:r>
      <w:proofErr w:type="spellStart"/>
      <w:r>
        <w:t>Tsedal</w:t>
      </w:r>
      <w:proofErr w:type="spellEnd"/>
      <w:r>
        <w:t xml:space="preserve"> </w:t>
      </w:r>
      <w:proofErr w:type="spellStart"/>
      <w:r>
        <w:t>Neeley</w:t>
      </w:r>
      <w:proofErr w:type="spellEnd"/>
    </w:p>
    <w:p w14:paraId="73BA2DDC" w14:textId="77777777" w:rsidR="001845E3" w:rsidRDefault="001845E3" w:rsidP="001845E3">
      <w:pPr>
        <w:tabs>
          <w:tab w:val="left" w:pos="920"/>
        </w:tabs>
      </w:pPr>
      <w:r>
        <w:t>Este capítulo aborda las principales preguntas éticas y organizacionales sobre el uso responsable de la IA generativa. La autora plantea temas como la confianza en los sistemas, la prevención de sesgos, la protección de la privacidad y la transparencia. También insiste en que el uso de la IA no es solo una cuestión técnica, sino también de liderazgo, cultura y gobernanza.</w:t>
      </w:r>
    </w:p>
    <w:p w14:paraId="487E49C8" w14:textId="77777777" w:rsidR="001845E3" w:rsidRDefault="001845E3" w:rsidP="001845E3">
      <w:pPr>
        <w:tabs>
          <w:tab w:val="left" w:pos="920"/>
        </w:tabs>
      </w:pPr>
      <w:proofErr w:type="spellStart"/>
      <w:r>
        <w:t>Neeley</w:t>
      </w:r>
      <w:proofErr w:type="spellEnd"/>
      <w:r>
        <w:t xml:space="preserve"> recomienda que las empresas establezcan marcos claros de responsabilidad y capacitación para sus empleados, de modo que comprendan tanto el potencial como los riesgos de la IA. El capítulo concluye con una reflexión central: las organizaciones no deben preguntarse solo si pueden usar la IA, sino si deben hacerlo y cómo hacerlo de manera ética y segura.</w:t>
      </w:r>
    </w:p>
    <w:p w14:paraId="3A6F2DEF" w14:textId="7875873E" w:rsidR="001845E3" w:rsidRPr="001845E3" w:rsidRDefault="001845E3" w:rsidP="001845E3">
      <w:pPr>
        <w:tabs>
          <w:tab w:val="left" w:pos="920"/>
        </w:tabs>
      </w:pPr>
    </w:p>
    <w:sectPr w:rsidR="001845E3" w:rsidRPr="001845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E3"/>
    <w:rsid w:val="001845E3"/>
    <w:rsid w:val="002206F7"/>
    <w:rsid w:val="00735083"/>
    <w:rsid w:val="0097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8A29"/>
  <w15:chartTrackingRefBased/>
  <w15:docId w15:val="{E4D281AC-F90E-4724-B912-43F561B4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5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5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</cp:revision>
  <dcterms:created xsi:type="dcterms:W3CDTF">2025-11-09T22:46:00Z</dcterms:created>
  <dcterms:modified xsi:type="dcterms:W3CDTF">2025-11-11T00:27:00Z</dcterms:modified>
</cp:coreProperties>
</file>