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NERDS</w:t>
      </w:r>
    </w:p>
    <w:p>
      <w:pPr>
        <w:pStyle w:val="Subtitle"/>
      </w:pPr>
      <w:r>
        <w:t>Navigation &amp; Expedition Research Discovery Surveyor</w:t>
      </w:r>
    </w:p>
    <w:p>
      <w:pPr>
        <w:pStyle w:val="Heading1"/>
      </w:pPr>
      <w:r>
        <w:t>Application Scope &amp; Development Baseline — v0.2.1</w:t>
      </w:r>
    </w:p>
    <w:p>
      <w:r>
        <w:t>14 October 2026  |  Status: planning scope for review  |  Repository: clarkgraff/NERDS</w:t>
      </w:r>
    </w:p>
    <w:p>
      <w:r>
        <w:t>Scope boundary: NERDS is the expedition navigation, geographic &amp; vessel-planning application. 4nR-SURVEYOR is a separate, independently versioned research intelligence system. Their integration is optional and governed by an explicit interface. This document does not replace the standalone 4nR-SURVEYOR scope.</w:t>
      </w:r>
    </w:p>
    <w:p>
      <w:pPr>
        <w:pStyle w:val="Heading1"/>
      </w:pPr>
      <w:r>
        <w:t>1. Purpose &amp; release definition</w:t>
      </w:r>
    </w:p>
    <w:p>
      <w:r>
        <w:t>NERDS supports planning and evaluating a global maritime expedition through an offline-first geographic workspace. It must manage waypoints, visualise routes, estimate passage distance &amp; time, apply vessel characteristics, and prepare the foundation for progressively more sophisticated marine and environmental routing.</w:t>
      </w:r>
    </w:p>
    <w:p>
      <w:r>
        <w:t>v0.2.1 is the target specification for the next navigational development milestone, not a declaration that these features have been built or validated. Codex has unfinished work in progress; the actual repository state must be inspected and reconciled before implementation.</w:t>
      </w:r>
    </w:p>
    <w:p>
      <w:pPr>
        <w:pStyle w:val="Heading1"/>
      </w:pPr>
      <w:r>
        <w:t>2. Separation of systems — mandatory architecture</w:t>
      </w:r>
    </w:p>
    <w:tbl>
      <w:tblPr>
        <w:tblStyle w:val="LightShading-Accent1"/>
        <w:tblW w:type="auto" w:w="0"/>
        <w:jc w:val="center"/>
        <w:tblLook w:firstColumn="1" w:firstRow="1" w:lastColumn="0" w:lastRow="0" w:noHBand="0" w:noVBand="1" w:val="04A0"/>
      </w:tblPr>
      <w:tblGrid>
        <w:gridCol w:w="4853"/>
        <w:gridCol w:w="4853"/>
      </w:tblGrid>
      <w:tr>
        <w:tc>
          <w:tcPr>
            <w:tcW w:type="dxa" w:w="4853"/>
            <w:vAlign w:val="center"/>
          </w:tcPr>
          <w:p>
            <w:r>
              <w:t>NERDS: owns</w:t>
            </w:r>
          </w:p>
        </w:tc>
        <w:tc>
          <w:tcPr>
            <w:tcW w:type="dxa" w:w="4853"/>
            <w:vAlign w:val="center"/>
          </w:tcPr>
          <w:p>
            <w:r>
              <w:t>4nR-SURVEYOR: owns</w:t>
            </w:r>
          </w:p>
        </w:tc>
      </w:tr>
      <w:tr>
        <w:tc>
          <w:tcPr>
            <w:tcW w:type="dxa" w:w="4853"/>
            <w:vAlign w:val="center"/>
          </w:tcPr>
          <w:p>
            <w:r>
              <w:t>Waypoints, route plans, marine geometry, chart layers</w:t>
            </w:r>
          </w:p>
        </w:tc>
        <w:tc>
          <w:tcPr>
            <w:tcW w:type="dxa" w:w="4853"/>
            <w:vAlign w:val="center"/>
          </w:tcPr>
          <w:p>
            <w:r>
              <w:t>Cultural investigation, discovery &amp; research preferences</w:t>
            </w:r>
          </w:p>
        </w:tc>
      </w:tr>
      <w:tr>
        <w:tc>
          <w:tcPr>
            <w:tcW w:type="dxa" w:w="4853"/>
            <w:vAlign w:val="center"/>
          </w:tcPr>
          <w:p>
            <w:r>
              <w:t>Vessel specifications, passage estimates, route alternatives</w:t>
            </w:r>
          </w:p>
        </w:tc>
        <w:tc>
          <w:tcPr>
            <w:tcW w:type="dxa" w:w="4853"/>
            <w:vAlign w:val="center"/>
          </w:tcPr>
          <w:p>
            <w:r>
              <w:t>Nine SURVEYOR disciplinary classification frameworks</w:t>
            </w:r>
          </w:p>
        </w:tc>
      </w:tr>
      <w:tr>
        <w:tc>
          <w:tcPr>
            <w:tcW w:type="dxa" w:w="4853"/>
            <w:vAlign w:val="center"/>
          </w:tcPr>
          <w:p>
            <w:r>
              <w:t>Weather/current/tide visualisation and computational routing</w:t>
            </w:r>
          </w:p>
        </w:tc>
        <w:tc>
          <w:tcPr>
            <w:tcW w:type="dxa" w:w="4853"/>
            <w:vAlign w:val="center"/>
          </w:tcPr>
          <w:p>
            <w:r>
              <w:t>AI reasoning, research indexing, source provenance &amp; knowledge synthesis</w:t>
            </w:r>
          </w:p>
        </w:tc>
      </w:tr>
      <w:tr>
        <w:tc>
          <w:tcPr>
            <w:tcW w:type="dxa" w:w="4853"/>
            <w:vAlign w:val="center"/>
          </w:tcPr>
          <w:p>
            <w:r>
              <w:t>Expedition geographic project storage &amp; export</w:t>
            </w:r>
          </w:p>
        </w:tc>
        <w:tc>
          <w:tcPr>
            <w:tcW w:type="dxa" w:w="4853"/>
            <w:vAlign w:val="center"/>
          </w:tcPr>
          <w:p>
            <w:r>
              <w:t>Independent research archive, profile persistence &amp; research reports</w:t>
            </w:r>
          </w:p>
        </w:tc>
      </w:tr>
    </w:tbl>
    <w:p/>
    <w:p>
      <w:pPr>
        <w:pStyle w:val="ListBullet"/>
      </w:pPr>
      <w:r>
        <w:t>Either system must start and operate its core functions when the other is unavailable.</w:t>
      </w:r>
    </w:p>
    <w:p>
      <w:pPr>
        <w:pStyle w:val="ListBullet"/>
      </w:pPr>
      <w:r>
        <w:t>No shared writable database, hidden runtime coupling, or requirement to have a local language model installed to plan routes.</w:t>
      </w:r>
    </w:p>
    <w:p>
      <w:pPr>
        <w:pStyle w:val="ListBullet"/>
      </w:pPr>
      <w:r>
        <w:t>Define a versioned, documented exchange interface for waypoint IDs, coordinates, route IDs, time windows and referenced findings; support explicit import/export or local API later.</w:t>
      </w:r>
    </w:p>
    <w:p>
      <w:pPr>
        <w:pStyle w:val="ListBullet"/>
      </w:pPr>
      <w:r>
        <w:t>The legacy “4nR-AI” connection dialog in v0.1.0 is an integration prototype; its continued placement inside NERDS is not an architectural requirement.</w:t>
      </w:r>
    </w:p>
    <w:p>
      <w:pPr>
        <w:pStyle w:val="Heading1"/>
      </w:pPr>
      <w:r>
        <w:t>3. Current verified baseline &amp; work in progress</w:t>
      </w:r>
    </w:p>
    <w:tbl>
      <w:tblPr>
        <w:tblStyle w:val="LightShading-Accent1"/>
        <w:tblW w:type="auto" w:w="0"/>
        <w:jc w:val="center"/>
        <w:tblLook w:firstColumn="1" w:firstRow="1" w:lastColumn="0" w:lastRow="0" w:noHBand="0" w:noVBand="1" w:val="04A0"/>
      </w:tblPr>
      <w:tblGrid>
        <w:gridCol w:w="4853"/>
        <w:gridCol w:w="4853"/>
      </w:tblGrid>
      <w:tr>
        <w:tc>
          <w:tcPr>
            <w:tcW w:type="dxa" w:w="4853"/>
            <w:vAlign w:val="center"/>
          </w:tcPr>
          <w:p>
            <w:r>
              <w:t>Component</w:t>
            </w:r>
          </w:p>
        </w:tc>
        <w:tc>
          <w:tcPr>
            <w:tcW w:type="dxa" w:w="4853"/>
            <w:vAlign w:val="center"/>
          </w:tcPr>
          <w:p>
            <w:r>
              <w:t>Status / evidence</w:t>
            </w:r>
          </w:p>
        </w:tc>
      </w:tr>
      <w:tr>
        <w:tc>
          <w:tcPr>
            <w:tcW w:type="dxa" w:w="4853"/>
            <w:vAlign w:val="center"/>
          </w:tcPr>
          <w:p>
            <w:r>
              <w:t>Electron Windows application v0.1.0</w:t>
            </w:r>
          </w:p>
        </w:tc>
        <w:tc>
          <w:tcPr>
            <w:tcW w:type="dxa" w:w="4853"/>
            <w:vAlign w:val="center"/>
          </w:tcPr>
          <w:p>
            <w:r>
              <w:t>Installed and demonstrated by user; CesiumJS globe/Mercator, waypoint list, ROUTE PLOT, local storage controls.</w:t>
            </w:r>
          </w:p>
        </w:tc>
      </w:tr>
      <w:tr>
        <w:tc>
          <w:tcPr>
            <w:tcW w:type="dxa" w:w="4853"/>
            <w:vAlign w:val="center"/>
          </w:tcPr>
          <w:p>
            <w:r>
              <w:t>Route display in v0.1.0</w:t>
            </w:r>
          </w:p>
        </w:tc>
        <w:tc>
          <w:tcPr>
            <w:tcW w:type="dxa" w:w="4853"/>
            <w:vAlign w:val="center"/>
          </w:tcPr>
          <w:p>
            <w:r>
              <w:t>Demonstration links by waypoint order, explicitly labelled NOT A NAVIGABLE ROUTE.</w:t>
            </w:r>
          </w:p>
        </w:tc>
      </w:tr>
      <w:tr>
        <w:tc>
          <w:tcPr>
            <w:tcW w:type="dxa" w:w="4853"/>
            <w:vAlign w:val="center"/>
          </w:tcPr>
          <w:p>
            <w:r>
              <w:t>Waypoints and photograph indexing</w:t>
            </w:r>
          </w:p>
        </w:tc>
        <w:tc>
          <w:tcPr>
            <w:tcW w:type="dxa" w:w="4853"/>
            <w:vAlign w:val="center"/>
          </w:tcPr>
          <w:p>
            <w:r>
              <w:t>Editable / persisted waypoint flow and photo EXIF/GPS indexing present in initial scope; verify repository implementation before changing.</w:t>
            </w:r>
          </w:p>
        </w:tc>
      </w:tr>
      <w:tr>
        <w:tc>
          <w:tcPr>
            <w:tcW w:type="dxa" w:w="4853"/>
            <w:vAlign w:val="center"/>
          </w:tcPr>
          <w:p>
            <w:r>
              <w:t>Vessel &amp; route improvements</w:t>
            </w:r>
          </w:p>
        </w:tc>
        <w:tc>
          <w:tcPr>
            <w:tcW w:type="dxa" w:w="4853"/>
            <w:vAlign w:val="center"/>
          </w:tcPr>
          <w:p>
            <w:r>
              <w:t>Drag reorder, vessel preferences and experimental offshore land-avoidance reported as ongoing Codex work, NOT verified as a completed build.</w:t>
            </w:r>
          </w:p>
        </w:tc>
      </w:tr>
      <w:tr>
        <w:tc>
          <w:tcPr>
            <w:tcW w:type="dxa" w:w="4853"/>
            <w:vAlign w:val="center"/>
          </w:tcPr>
          <w:p>
            <w:r>
              <w:t>Local inference connectivity</w:t>
            </w:r>
          </w:p>
        </w:tc>
        <w:tc>
          <w:tcPr>
            <w:tcW w:type="dxa" w:w="4853"/>
            <w:vAlign w:val="center"/>
          </w:tcPr>
          <w:p>
            <w:r>
              <w:t>NERDS v0.1.0 successfully listed a Qwen3 model via Lemonade and returned a short API test response; belongs to integration testing, not a dependency for navigation.</w:t>
            </w:r>
          </w:p>
        </w:tc>
      </w:tr>
    </w:tbl>
    <w:p/>
    <w:p>
      <w:pPr>
        <w:pStyle w:val="Heading1"/>
      </w:pPr>
      <w:r>
        <w:t>4. Geographic workspace &amp; mapping</w:t>
      </w:r>
    </w:p>
    <w:p>
      <w:pPr>
        <w:pStyle w:val="ListBullet"/>
      </w:pPr>
      <w:r>
        <w:t>Retain CesiumJS globe with 2D Mercator switching, zoom, pan, selection, geolocated waypoints and clear route overlays.</w:t>
      </w:r>
    </w:p>
    <w:p>
      <w:pPr>
        <w:pStyle w:val="ListBullet"/>
      </w:pPr>
      <w:r>
        <w:t>Operate offline from packaged or bunkered base imagery at an appropriate, documented level of detail; online layers may be added without breaking offline use.</w:t>
      </w:r>
    </w:p>
    <w:p>
      <w:pPr>
        <w:pStyle w:val="ListBullet"/>
      </w:pPr>
      <w:r>
        <w:t>Support selected location, labelled waypoint sequence, leg information, overview fit and visible distinction between proposed geometry and validated marine routes.</w:t>
      </w:r>
    </w:p>
    <w:p>
      <w:pPr>
        <w:pStyle w:val="ListBullet"/>
      </w:pPr>
      <w:r>
        <w:t>Track layer provenance, licence, geographic coverage, resolution, time relevance and offline availability.</w:t>
      </w:r>
    </w:p>
    <w:p>
      <w:pPr>
        <w:pStyle w:val="ListBullet"/>
      </w:pPr>
      <w:r>
        <w:t>Base map, coastlines, bathymetry, administrative geography and marine chart data are separate datasets with distinct reliability and licensing.</w:t>
      </w:r>
    </w:p>
    <w:p>
      <w:pPr>
        <w:pStyle w:val="Heading1"/>
      </w:pPr>
      <w:r>
        <w:t>5. WAYPOINTS &amp; expedition project model</w:t>
      </w:r>
    </w:p>
    <w:p>
      <w:pPr>
        <w:pStyle w:val="ListBullet"/>
      </w:pPr>
      <w:r>
        <w:t>Create, edit, rename, delete and reorder waypoints; drag-and-drop and explicit move-up/down controls must keep the map in sync.</w:t>
      </w:r>
    </w:p>
    <w:p>
      <w:pPr>
        <w:pStyle w:val="ListBullet"/>
      </w:pPr>
      <w:r>
        <w:t>Permit city lookup, manual lat/long entry and map-pin placement; do not force city-centre coordinates to represent a vessel berth or harbour entrance.</w:t>
      </w:r>
    </w:p>
    <w:p>
      <w:pPr>
        <w:pStyle w:val="ListBullet"/>
      </w:pPr>
      <w:r>
        <w:t>Maintain stable waypoint identifiers independent of list order; distinguish place of interest, port access location, transit waypoint and optional land-visit waypoint.</w:t>
      </w:r>
    </w:p>
    <w:p>
      <w:pPr>
        <w:pStyle w:val="ListBullet"/>
      </w:pPr>
      <w:r>
        <w:t>Store leg endpoints, transport mode (BY-SEA default; BY-ROAD / BY-AIR when deliberately selected), schedule data, notes, source and coordinate precision.</w:t>
      </w:r>
    </w:p>
    <w:p>
      <w:pPr>
        <w:pStyle w:val="ListBullet"/>
      </w:pPr>
      <w:r>
        <w:t>Persist multiple named expedition projects, reopen accurately, recover safely from interrupted writes and export in documented formats.</w:t>
      </w:r>
    </w:p>
    <w:p>
      <w:pPr>
        <w:pStyle w:val="ListBullet"/>
      </w:pPr>
      <w:r>
        <w:t>Compute leg nautical miles, cumulative nautical miles, travel-time estimate &amp; arrival projection from the route geometry actually in use; mark provisional values.</w:t>
      </w:r>
    </w:p>
    <w:p>
      <w:pPr>
        <w:pStyle w:val="Heading1"/>
      </w:pPr>
      <w:r>
        <w:t>6. VESSEL PREFERENCES</w:t>
      </w:r>
    </w:p>
    <w:tbl>
      <w:tblPr>
        <w:tblStyle w:val="LightShading-Accent1"/>
        <w:tblW w:type="auto" w:w="0"/>
        <w:jc w:val="center"/>
        <w:tblLook w:firstColumn="1" w:firstRow="1" w:lastColumn="0" w:lastRow="0" w:noHBand="0" w:noVBand="1" w:val="04A0"/>
      </w:tblPr>
      <w:tblGrid>
        <w:gridCol w:w="4853"/>
        <w:gridCol w:w="4853"/>
      </w:tblGrid>
      <w:tr>
        <w:tc>
          <w:tcPr>
            <w:tcW w:type="dxa" w:w="4853"/>
            <w:vAlign w:val="center"/>
          </w:tcPr>
          <w:p>
            <w:r>
              <w:t>Attribute group</w:t>
            </w:r>
          </w:p>
        </w:tc>
        <w:tc>
          <w:tcPr>
            <w:tcW w:type="dxa" w:w="4853"/>
            <w:vAlign w:val="center"/>
          </w:tcPr>
          <w:p>
            <w:r>
              <w:t>Required inputs / calculations</w:t>
            </w:r>
          </w:p>
        </w:tc>
      </w:tr>
      <w:tr>
        <w:tc>
          <w:tcPr>
            <w:tcW w:type="dxa" w:w="4853"/>
            <w:vAlign w:val="center"/>
          </w:tcPr>
          <w:p>
            <w:r>
              <w:t>Identification</w:t>
            </w:r>
          </w:p>
        </w:tc>
        <w:tc>
          <w:tcPr>
            <w:tcW w:type="dxa" w:w="4853"/>
            <w:vAlign w:val="center"/>
          </w:tcPr>
          <w:p>
            <w:r>
              <w:t>Vessel name, flag/country, IMO, MMSI, image/icon.</w:t>
            </w:r>
          </w:p>
        </w:tc>
      </w:tr>
      <w:tr>
        <w:tc>
          <w:tcPr>
            <w:tcW w:type="dxa" w:w="4853"/>
            <w:vAlign w:val="center"/>
          </w:tcPr>
          <w:p>
            <w:r>
              <w:t>Geometry</w:t>
            </w:r>
          </w:p>
        </w:tc>
        <w:tc>
          <w:tcPr>
            <w:tcW w:type="dxa" w:w="4853"/>
            <w:vAlign w:val="center"/>
          </w:tcPr>
          <w:p>
            <w:r>
              <w:t>Length overall, beam, draft, air draft, displacement; hull type; optional waterline length.</w:t>
            </w:r>
          </w:p>
        </w:tc>
      </w:tr>
      <w:tr>
        <w:tc>
          <w:tcPr>
            <w:tcW w:type="dxa" w:w="4853"/>
            <w:vAlign w:val="center"/>
          </w:tcPr>
          <w:p>
            <w:r>
              <w:t>Propulsion</w:t>
            </w:r>
          </w:p>
        </w:tc>
        <w:tc>
          <w:tcPr>
            <w:tcW w:type="dxa" w:w="4853"/>
            <w:vAlign w:val="center"/>
          </w:tcPr>
          <w:p>
            <w:r>
              <w:t>Independent SAIL, POWER-DIESEL &amp; POWER-ELECTRIC selections; supported combinations.</w:t>
            </w:r>
          </w:p>
        </w:tc>
      </w:tr>
      <w:tr>
        <w:tc>
          <w:tcPr>
            <w:tcW w:type="dxa" w:w="4853"/>
            <w:vAlign w:val="center"/>
          </w:tcPr>
          <w:p>
            <w:r>
              <w:t>Operating performance</w:t>
            </w:r>
          </w:p>
        </w:tc>
        <w:tc>
          <w:tcPr>
            <w:tcW w:type="dxa" w:w="4853"/>
            <w:vAlign w:val="center"/>
          </w:tcPr>
          <w:p>
            <w:r>
              <w:t>Editable nominal speeds, estimated hull speed from waterline length when applicable, manual override, modes BEST-TIME / BEST-EFFICIENCY / BEST-SAILING.</w:t>
            </w:r>
          </w:p>
        </w:tc>
      </w:tr>
      <w:tr>
        <w:tc>
          <w:tcPr>
            <w:tcW w:type="dxa" w:w="4853"/>
            <w:vAlign w:val="center"/>
          </w:tcPr>
          <w:p>
            <w:r>
              <w:t>Route constraints</w:t>
            </w:r>
          </w:p>
        </w:tc>
        <w:tc>
          <w:tcPr>
            <w:tcW w:type="dxa" w:w="4853"/>
            <w:vAlign w:val="center"/>
          </w:tcPr>
          <w:p>
            <w:r>
              <w:t>Configurable under-keel clearance, bridge clearance &amp; draft/air-draft safety allowances; provenance of assumptions.</w:t>
            </w:r>
          </w:p>
        </w:tc>
      </w:tr>
    </w:tbl>
    <w:p/>
    <w:p>
      <w:r>
        <w:t>The ship model should be designed for later extension with sail polars, motor efficiency curves, hybrid energy characteristics, sea-state response and learned performance from measured telemetry. Those advanced models are not presumed already calibrated in v0.2.1.</w:t>
      </w:r>
    </w:p>
    <w:p>
      <w:pPr>
        <w:pStyle w:val="Heading1"/>
      </w:pPr>
      <w:r>
        <w:t>6A. Offshore routing &amp; dual voyage estimates — approved requirements</w:t>
      </w:r>
    </w:p>
    <w:p>
      <w:pPr>
        <w:pStyle w:val="ListBullet"/>
      </w:pPr>
      <w:r>
        <w:t>Default speeds — The expedition-wide reference speed is 6.0 knots, editable in VESSEL PREFERENCES. The nominal target cruising speed under POWER-DIESEL or POWER-ELECTRIC is 10.0 knots, also editable. These are planning assumptions, not guaranteed actual speeds.</w:t>
      </w:r>
    </w:p>
    <w:p>
      <w:pPr>
        <w:pStyle w:val="ListBullet"/>
      </w:pPr>
      <w:r>
        <w:t>Side-by-side passage display — For every leg and the whole voyage, display STANDARD (6.0 kn) and CALCULATED estimates adjacent to one another. Show reference speed, modelled effective speed over ground (SOG), passage distance (NM), elapsed duration, projected arrival date/time and the time difference. Never replace the 6-knot baseline with the calculated figure.</w:t>
      </w:r>
    </w:p>
    <w:p>
      <w:pPr>
        <w:pStyle w:val="ListBullet"/>
      </w:pPr>
      <w:r>
        <w:t>Power-mode accounting — When powered propulsion is selected, use the 10.0-knot nominal target as an input to the calculated passage case; retain the 6.0-knot baseline for direct comparison. Sailing nominal target begins at 6.0 kn. For mixed sail/power routing, compute elapsed time by segment according to its operating mode and integrate segment times rather than averaging segment speeds.</w:t>
      </w:r>
    </w:p>
    <w:p>
      <w:pPr>
        <w:pStyle w:val="ListBullet"/>
      </w:pPr>
      <w:r>
        <w:t>Dynamic recalculation — Recalculate the CALCULATED estimate after changes to route geometry, distance, propulsion mode, vessel preferences or available wind/current/wave data. Until numerical environmental integration is available, calculate a clearly labelled nominal-speed estimate; do not display synthetic weather-derived values as measured or forecast speeds.</w:t>
      </w:r>
    </w:p>
    <w:p>
      <w:pPr>
        <w:pStyle w:val="ListBullet"/>
      </w:pPr>
      <w:r>
        <w:t>Effective voyage speed — Calculate end-to-end effective SOG as total route distance divided by summed travel time. Estimate ETA from departure date/time plus elapsed time; distinguish vessel-local clock displays from underlying stored timestamps.</w:t>
      </w:r>
    </w:p>
    <w:p>
      <w:pPr>
        <w:pStyle w:val="ListBullet"/>
      </w:pPr>
      <w:r>
        <w:t>Offshore preferred routing — Include OFFSHORE PREFERRED as a routing preference. Penalise unnecessary coastline proximity, mapped reefs/shoals and unsuitable or uncertain depths; consider continental shelf, shelf break, slope and abrupt seabed rises as contextual factors. Shelf-break alignment is NOT a mandatory routing track.</w:t>
      </w:r>
    </w:p>
    <w:p>
      <w:pPr>
        <w:pStyle w:val="ListBullet"/>
      </w:pPr>
      <w:r>
        <w:t>Coastal separation — Provide an editable preferred minimum separation from land in nautical miles (suggested choices: 5, 10, 25, 50, 100 and Custom). This is a soft optimisation preference, not an absolute constraint, particularly for harbour approaches, canals, straits and rivers.</w:t>
      </w:r>
    </w:p>
    <w:p>
      <w:pPr>
        <w:pStyle w:val="ListBullet"/>
      </w:pPr>
      <w:r>
        <w:t>Clearance and geological context — Under-keel clearance, coastal hazards and chart restrictions remain separate evidence-dependent checks. Detect charted underwater obstructions where data supports them. Geological/seismic/volcanic hazards, if added later, require their own datasets; seabed gradients alone do not predict activity.</w:t>
      </w:r>
    </w:p>
    <w:p>
      <w:pPr>
        <w:pStyle w:val="ListBullet"/>
      </w:pPr>
      <w:r>
        <w:t>Staged implementation — For v0.2.1, implement editable nominal speeds and paired baseline/nominal-calculated duration &amp; ETA outputs against actual route geometry; add route-preference storage and explicit status for preliminary offshore routing. Bathymetry-aware clearance, authoritative coastal constraints and real forecast optimisation remain staged by available datasets and validation.</w:t>
      </w:r>
    </w:p>
    <w:p>
      <w:pPr>
        <w:pStyle w:val="Heading1"/>
      </w:pPr>
      <w:r>
        <w:t>7. Global marine routing — staged implementation</w:t>
      </w:r>
    </w:p>
    <w:p>
      <w:pPr>
        <w:pStyle w:val="Heading2"/>
      </w:pPr>
      <w:r>
        <w:t>7.1 Foundational water-aware routing</w:t>
      </w:r>
    </w:p>
    <w:p>
      <w:pPr>
        <w:pStyle w:val="ListBullet"/>
      </w:pPr>
      <w:r>
        <w:t>Generate route candidates between water-access endpoints over an explicit marine graph or accessible-water surface, avoiding mapped land at the dataset’s working resolution.</w:t>
      </w:r>
    </w:p>
    <w:p>
      <w:pPr>
        <w:pStyle w:val="ListBullet"/>
      </w:pPr>
      <w:r>
        <w:t>Apply route connections from city/interest coordinates to maritime access points separately; label them as connectors, not sea passages.</w:t>
      </w:r>
    </w:p>
    <w:p>
      <w:pPr>
        <w:pStyle w:val="ListBullet"/>
      </w:pPr>
      <w:r>
        <w:t>Implement transparent fallback when the dataset cannot resolve a narrow channel, lock, canal or approach; never silently claim a valid passage.</w:t>
      </w:r>
    </w:p>
    <w:p>
      <w:pPr>
        <w:pStyle w:val="ListBullet"/>
      </w:pPr>
      <w:r>
        <w:t>Preserve alternatives and annotate routing provenance, coverage and confidence. A visually plausible ocean route is not proof of navigational clearance.</w:t>
      </w:r>
    </w:p>
    <w:p>
      <w:pPr>
        <w:pStyle w:val="Heading2"/>
      </w:pPr>
      <w:r>
        <w:t>7.2 Marine restrictions &amp; chart awareness</w:t>
      </w:r>
    </w:p>
    <w:p>
      <w:pPr>
        <w:pStyle w:val="ListBullet"/>
      </w:pPr>
      <w:r>
        <w:t>Treat coastline screening, bathymetric clearance, official nautical chart features, restricted areas and bridge clearances as different validation layers.</w:t>
      </w:r>
    </w:p>
    <w:p>
      <w:pPr>
        <w:pStyle w:val="ListBullet"/>
      </w:pPr>
      <w:r>
        <w:t>Depth/under-keel, air draft, canals, locks, traffic restrictions and known passage exclusions must be modelled as typed constraints, with unavailable evidence explicitly reported.</w:t>
      </w:r>
    </w:p>
    <w:p>
      <w:pPr>
        <w:pStyle w:val="ListBullet"/>
      </w:pPr>
      <w:r>
        <w:t>Use high-resolution authoritative regional data when available. Global GEBCO-scale depth grids are useful for context but do not establish safe harbour/channel transits.</w:t>
      </w:r>
    </w:p>
    <w:p>
      <w:pPr>
        <w:pStyle w:val="Heading2"/>
      </w:pPr>
      <w:r>
        <w:t>7.3 Scope of data acquisition</w:t>
      </w:r>
    </w:p>
    <w:p>
      <w:pPr>
        <w:pStyle w:val="ListBullet"/>
      </w:pPr>
      <w:r>
        <w:t>NO BULK DOWNLOAD of the complete NOAA United States ENC/chart database. Acquire only chosen regional data relevant to a route when appropriate and licensed.</w:t>
      </w:r>
    </w:p>
    <w:p>
      <w:pPr>
        <w:pStyle w:val="ListBullet"/>
      </w:pPr>
      <w:r>
        <w:t>Stage global low-resolution coastline and bathymetry as separate layers; define update cadence, licences, space requirements and geographic coverage.</w:t>
      </w:r>
    </w:p>
    <w:p>
      <w:pPr>
        <w:pStyle w:val="ListBullet"/>
      </w:pPr>
      <w:r>
        <w:t>Use Store &amp; Forward bunkering for selective coastal, environmental and route-area content, storing verification metadata and source attribution.</w:t>
      </w:r>
    </w:p>
    <w:p>
      <w:pPr>
        <w:pStyle w:val="Heading1"/>
      </w:pPr>
      <w:r>
        <w:t>8. Environmental routing &amp; visualisation</w:t>
      </w:r>
    </w:p>
    <w:p>
      <w:pPr>
        <w:pStyle w:val="ListBullet"/>
      </w:pPr>
      <w:r>
        <w:t>Provide a data-layer interface for winds, currents, waves, weather systems and tides, distinguishing observation, analysis and forecast with timestamp and valid-time metadata.</w:t>
      </w:r>
    </w:p>
    <w:p>
      <w:pPr>
        <w:pStyle w:val="ListBullet"/>
      </w:pPr>
      <w:r>
        <w:t>Integrate appropriately licensed environmental visualisation techniques inspired by the MIT-licensed Cameron Beccario Earth project while preserving full licence/copyright notices for reused code.</w:t>
      </w:r>
    </w:p>
    <w:p>
      <w:pPr>
        <w:pStyle w:val="ListBullet"/>
      </w:pPr>
      <w:r>
        <w:t>Keep environmental rendering distinct from routing computation; use physically meaningful forecast grids, units and interpolation, not the visual particle animation as a numerical routing engine.</w:t>
      </w:r>
    </w:p>
    <w:p>
      <w:pPr>
        <w:pStyle w:val="ListBullet"/>
      </w:pPr>
      <w:r>
        <w:t>Specify separate routing objective functions for BEST-TIME, BEST-EFFICIENCY and BEST-SAILING. Estimate ETAs and vessel responses only to the precision supported by available data.</w:t>
      </w:r>
    </w:p>
    <w:p>
      <w:pPr>
        <w:pStyle w:val="ListBullet"/>
      </w:pPr>
      <w:r>
        <w:t>Provide fallback routes when environmental datasets are unavailable; display data-age and uncertainty indicators.</w:t>
      </w:r>
    </w:p>
    <w:p>
      <w:pPr>
        <w:pStyle w:val="Heading1"/>
      </w:pPr>
      <w:r>
        <w:t>9. Calculations, testing &amp; verification</w:t>
      </w:r>
    </w:p>
    <w:tbl>
      <w:tblPr>
        <w:tblStyle w:val="LightShading-Accent1"/>
        <w:tblW w:type="auto" w:w="0"/>
        <w:jc w:val="center"/>
        <w:tblLook w:firstColumn="1" w:firstRow="1" w:lastColumn="0" w:lastRow="0" w:noHBand="0" w:noVBand="1" w:val="04A0"/>
      </w:tblPr>
      <w:tblGrid>
        <w:gridCol w:w="4853"/>
        <w:gridCol w:w="4853"/>
      </w:tblGrid>
      <w:tr>
        <w:tc>
          <w:tcPr>
            <w:tcW w:type="dxa" w:w="4853"/>
            <w:vAlign w:val="center"/>
          </w:tcPr>
          <w:p>
            <w:r>
              <w:t>Acceptance area</w:t>
            </w:r>
          </w:p>
        </w:tc>
        <w:tc>
          <w:tcPr>
            <w:tcW w:type="dxa" w:w="4853"/>
            <w:vAlign w:val="center"/>
          </w:tcPr>
          <w:p>
            <w:r>
              <w:t>Minimum objective</w:t>
            </w:r>
          </w:p>
        </w:tc>
      </w:tr>
      <w:tr>
        <w:tc>
          <w:tcPr>
            <w:tcW w:type="dxa" w:w="4853"/>
            <w:vAlign w:val="center"/>
          </w:tcPr>
          <w:p>
            <w:r>
              <w:t>Geometry</w:t>
            </w:r>
          </w:p>
        </w:tc>
        <w:tc>
          <w:tcPr>
            <w:tcW w:type="dxa" w:w="4853"/>
            <w:vAlign w:val="center"/>
          </w:tcPr>
          <w:p>
            <w:r>
              <w:t>No sea-route leg crosses mapped land at the tested dataset resolution; source &amp; resolution documented.</w:t>
            </w:r>
          </w:p>
        </w:tc>
      </w:tr>
      <w:tr>
        <w:tc>
          <w:tcPr>
            <w:tcW w:type="dxa" w:w="4853"/>
            <w:vAlign w:val="center"/>
          </w:tcPr>
          <w:p>
            <w:r>
              <w:t>Waypoint editing</w:t>
            </w:r>
          </w:p>
        </w:tc>
        <w:tc>
          <w:tcPr>
            <w:tcW w:type="dxa" w:w="4853"/>
            <w:vAlign w:val="center"/>
          </w:tcPr>
          <w:p>
            <w:r>
              <w:t>Reordering updates list, numbering, polyline, distances &amp; persisted project consistently.</w:t>
            </w:r>
          </w:p>
        </w:tc>
      </w:tr>
      <w:tr>
        <w:tc>
          <w:tcPr>
            <w:tcW w:type="dxa" w:w="4853"/>
            <w:vAlign w:val="center"/>
          </w:tcPr>
          <w:p>
            <w:r>
              <w:t>Passage accounting</w:t>
            </w:r>
          </w:p>
        </w:tc>
        <w:tc>
          <w:tcPr>
            <w:tcW w:type="dxa" w:w="4853"/>
            <w:vAlign w:val="center"/>
          </w:tcPr>
          <w:p>
            <w:r>
              <w:t>Leg, total NM, elapsed time and ETA recalculate deterministically from current routing geometry &amp; operating speed.</w:t>
            </w:r>
          </w:p>
        </w:tc>
      </w:tr>
      <w:tr>
        <w:tc>
          <w:tcPr>
            <w:tcW w:type="dxa" w:w="4853"/>
            <w:vAlign w:val="center"/>
          </w:tcPr>
          <w:p>
            <w:r>
              <w:t>Vessel constraints</w:t>
            </w:r>
          </w:p>
        </w:tc>
        <w:tc>
          <w:tcPr>
            <w:tcW w:type="dxa" w:w="4853"/>
            <w:vAlign w:val="center"/>
          </w:tcPr>
          <w:p>
            <w:r>
              <w:t>Draft/air-draft restrictions are applied if authoritative evidence exists; otherwise show unresolved status, not clearance.</w:t>
            </w:r>
          </w:p>
        </w:tc>
      </w:tr>
      <w:tr>
        <w:tc>
          <w:tcPr>
            <w:tcW w:type="dxa" w:w="4853"/>
            <w:vAlign w:val="center"/>
          </w:tcPr>
          <w:p>
            <w:r>
              <w:t>Offline mode</w:t>
            </w:r>
          </w:p>
        </w:tc>
        <w:tc>
          <w:tcPr>
            <w:tcW w:type="dxa" w:w="4853"/>
            <w:vAlign w:val="center"/>
          </w:tcPr>
          <w:p>
            <w:r>
              <w:t>Open projects, edit waypoints, view cached globe and use available routing layers with network disconnected.</w:t>
            </w:r>
          </w:p>
        </w:tc>
      </w:tr>
      <w:tr>
        <w:tc>
          <w:tcPr>
            <w:tcW w:type="dxa" w:w="4853"/>
            <w:vAlign w:val="center"/>
          </w:tcPr>
          <w:p>
            <w:r>
              <w:t>Data integrity</w:t>
            </w:r>
          </w:p>
        </w:tc>
        <w:tc>
          <w:tcPr>
            <w:tcW w:type="dxa" w:w="4853"/>
            <w:vAlign w:val="center"/>
          </w:tcPr>
          <w:p>
            <w:r>
              <w:t>Restart/reopen preserves coordinates, project, vessel settings, mode, selected route and citations.</w:t>
            </w:r>
          </w:p>
        </w:tc>
      </w:tr>
      <w:tr>
        <w:tc>
          <w:tcPr>
            <w:tcW w:type="dxa" w:w="4853"/>
            <w:vAlign w:val="center"/>
          </w:tcPr>
          <w:p>
            <w:r>
              <w:t>Regression</w:t>
            </w:r>
          </w:p>
        </w:tc>
        <w:tc>
          <w:tcPr>
            <w:tcW w:type="dxa" w:w="4853"/>
            <w:vAlign w:val="center"/>
          </w:tcPr>
          <w:p>
            <w:r>
              <w:t>Automated geometry/unit/project tests plus desktop smoke tests and a reproducible MSI install.</w:t>
            </w:r>
          </w:p>
        </w:tc>
      </w:tr>
      <w:tr>
        <w:tc>
          <w:tcPr>
            <w:tcW w:type="dxa" w:w="4853"/>
          </w:tcPr>
          <w:p>
            <w:r>
              <w:t>Dual voyage estimates</w:t>
            </w:r>
          </w:p>
        </w:tc>
        <w:tc>
          <w:tcPr>
            <w:tcW w:type="dxa" w:w="4853"/>
          </w:tcPr>
          <w:p>
            <w:r>
              <w:t>Every leg and total voyage show a constant 6.0 kn reference beside a separate calculated/nominal estimate, both with duration &amp; ETA; changing route geometry recalculates both.</w:t>
            </w:r>
          </w:p>
        </w:tc>
      </w:tr>
      <w:tr>
        <w:tc>
          <w:tcPr>
            <w:tcW w:type="dxa" w:w="4853"/>
          </w:tcPr>
          <w:p>
            <w:r>
              <w:t>Powered voyage</w:t>
            </w:r>
          </w:p>
        </w:tc>
        <w:tc>
          <w:tcPr>
            <w:tcW w:type="dxa" w:w="4853"/>
          </w:tcPr>
          <w:p>
            <w:r>
              <w:t>Selecting POWER uses editable nominal 10.0 kn for the calculated case while retaining the 6.0 kn reference; mixed propulsion sums segment durations.</w:t>
            </w:r>
          </w:p>
        </w:tc>
      </w:tr>
      <w:tr>
        <w:tc>
          <w:tcPr>
            <w:tcW w:type="dxa" w:w="4853"/>
          </w:tcPr>
          <w:p>
            <w:r>
              <w:t>Offshore planning preference</w:t>
            </w:r>
          </w:p>
        </w:tc>
        <w:tc>
          <w:tcPr>
            <w:tcW w:type="dxa" w:w="4853"/>
          </w:tcPr>
          <w:p>
            <w:r>
              <w:t>A saved preference includes OFFSHORE PREFERRED and editable coastline separation; any unvalidated chart/bathymetric safety conclusions are clearly identified.</w:t>
            </w:r>
          </w:p>
        </w:tc>
      </w:tr>
    </w:tbl>
    <w:p/>
    <w:p>
      <w:r>
        <w:t>Suggested validation passages: Amsterdam → Emden → Hamburg → Kiel → Gdańsk (including coastal and confined-water cases); an open-ocean passage such as Lisbon → Casablanca; and a route where a direct great-circle line crosses land. Test cases must declare available chart depth, coastline scale and expected unresolved constraints.</w:t>
      </w:r>
    </w:p>
    <w:p>
      <w:pPr>
        <w:pStyle w:val="Heading1"/>
      </w:pPr>
      <w:r>
        <w:t>10. User interface &amp; output</w:t>
      </w:r>
    </w:p>
    <w:p>
      <w:pPr>
        <w:pStyle w:val="ListBullet"/>
      </w:pPr>
      <w:r>
        <w:t>Keep navigation tasks accessible from ROUTE PLOT and geographic display, with a visible vessel-profile editor and leg-level results.</w:t>
      </w:r>
    </w:p>
    <w:p>
      <w:pPr>
        <w:pStyle w:val="ListBullet"/>
      </w:pPr>
      <w:r>
        <w:t>Separate “PLANNING DEMONSTRATION”, “PRELIMINARY WATER-AWARE ROUTE” and “CHART-CONSTRAINED ROUTE” statuses according to demonstrated capabilities.</w:t>
      </w:r>
    </w:p>
    <w:p>
      <w:pPr>
        <w:pStyle w:val="ListBullet"/>
      </w:pPr>
      <w:r>
        <w:t>On the map and in exports, show route geometry, waypoints, NM, timestamps, objective mode, dataset provenance, warnings and unresolved validation gaps.</w:t>
      </w:r>
    </w:p>
    <w:p>
      <w:pPr>
        <w:pStyle w:val="ListBullet"/>
      </w:pPr>
      <w:r>
        <w:t>Preserve field notes and production references as optional waypoint metadata; detailed cultural research remains the separate 4nR-SURVEYOR responsibility.</w:t>
      </w:r>
    </w:p>
    <w:p>
      <w:pPr>
        <w:pStyle w:val="Heading1"/>
      </w:pPr>
      <w:r>
        <w:t>11. Release engineering &amp; handoff</w:t>
      </w:r>
    </w:p>
    <w:p>
      <w:pPr>
        <w:pStyle w:val="ListBullet"/>
      </w:pPr>
      <w:r>
        <w:t>Inspect the live repository first, including its current branch, open modifications, tests and Codex reports; do not overwrite unfinished work or recreate already implemented features.</w:t>
      </w:r>
    </w:p>
    <w:p>
      <w:pPr>
        <w:pStyle w:val="ListBullet"/>
      </w:pPr>
      <w:r>
        <w:t>Produce an incremental commit trail, change log, test report, known limitations, packaging/build instructions and versioned Windows MSI.</w:t>
      </w:r>
    </w:p>
    <w:p>
      <w:pPr>
        <w:pStyle w:val="ListBullet"/>
      </w:pPr>
      <w:r>
        <w:t>Use a clear release label v0.2.1 only after implemented acceptance tests pass; describe incomplete features as deferred rather than delivered.</w:t>
      </w:r>
    </w:p>
    <w:p>
      <w:pPr>
        <w:pStyle w:val="ListBullet"/>
      </w:pPr>
      <w:r>
        <w:t>Design NERDS APIs and project schema for forward compatibility with a separate 4nR-SURVEYOR process; no cross-project integration work until separately approved.</w:t>
      </w:r>
    </w:p>
    <w:p>
      <w:pPr>
        <w:pStyle w:val="Heading1"/>
      </w:pPr>
      <w:r>
        <w:t>12. Delivery priorities &amp; deferrals</w:t>
      </w:r>
    </w:p>
    <w:tbl>
      <w:tblPr>
        <w:tblStyle w:val="LightShading-Accent1"/>
        <w:tblW w:type="auto" w:w="0"/>
        <w:jc w:val="center"/>
        <w:tblLook w:firstColumn="1" w:firstRow="1" w:lastColumn="0" w:lastRow="0" w:noHBand="0" w:noVBand="1" w:val="04A0"/>
      </w:tblPr>
      <w:tblGrid>
        <w:gridCol w:w="4853"/>
        <w:gridCol w:w="4853"/>
      </w:tblGrid>
      <w:tr>
        <w:tc>
          <w:tcPr>
            <w:tcW w:type="dxa" w:w="4853"/>
            <w:vAlign w:val="center"/>
          </w:tcPr>
          <w:p>
            <w:r>
              <w:t>Priority</w:t>
            </w:r>
          </w:p>
        </w:tc>
        <w:tc>
          <w:tcPr>
            <w:tcW w:type="dxa" w:w="4853"/>
            <w:vAlign w:val="center"/>
          </w:tcPr>
          <w:p>
            <w:r>
              <w:t>Delivery / decision</w:t>
            </w:r>
          </w:p>
        </w:tc>
      </w:tr>
      <w:tr>
        <w:tc>
          <w:tcPr>
            <w:tcW w:type="dxa" w:w="4853"/>
            <w:vAlign w:val="center"/>
          </w:tcPr>
          <w:p>
            <w:r>
              <w:t>P0 — finish existing Codex task</w:t>
            </w:r>
          </w:p>
        </w:tc>
        <w:tc>
          <w:tcPr>
            <w:tcW w:type="dxa" w:w="4853"/>
            <w:vAlign w:val="center"/>
          </w:tcPr>
          <w:p>
            <w:r>
              <w:t>Verify current waypoint/reorder/vessel/routing work and produce a stable, tested baseline.</w:t>
            </w:r>
          </w:p>
        </w:tc>
      </w:tr>
      <w:tr>
        <w:tc>
          <w:tcPr>
            <w:tcW w:type="dxa" w:w="4853"/>
            <w:vAlign w:val="center"/>
          </w:tcPr>
          <w:p>
            <w:r>
              <w:t>P1 — v0.2.1 application scope</w:t>
            </w:r>
          </w:p>
        </w:tc>
        <w:tc>
          <w:tcPr>
            <w:tcW w:type="dxa" w:w="4853"/>
            <w:vAlign w:val="center"/>
          </w:tcPr>
          <w:p>
            <w:r>
              <w:t>Offline map, stable waypoints/projects, preliminary water-aware routing, calculations, vessel preferences and transparent state labels.</w:t>
            </w:r>
          </w:p>
        </w:tc>
      </w:tr>
      <w:tr>
        <w:tc>
          <w:tcPr>
            <w:tcW w:type="dxa" w:w="4853"/>
            <w:vAlign w:val="center"/>
          </w:tcPr>
          <w:p>
            <w:r>
              <w:t>P2 — staged extension</w:t>
            </w:r>
          </w:p>
        </w:tc>
        <w:tc>
          <w:tcPr>
            <w:tcW w:type="dxa" w:w="4853"/>
            <w:vAlign w:val="center"/>
          </w:tcPr>
          <w:p>
            <w:r>
              <w:t>Selective maritime data ingestion, route validation, environment layers and improved route alternatives.</w:t>
            </w:r>
          </w:p>
        </w:tc>
      </w:tr>
      <w:tr>
        <w:tc>
          <w:tcPr>
            <w:tcW w:type="dxa" w:w="4853"/>
            <w:vAlign w:val="center"/>
          </w:tcPr>
          <w:p>
            <w:r>
              <w:t>Deferred / separately scoped</w:t>
            </w:r>
          </w:p>
        </w:tc>
        <w:tc>
          <w:tcPr>
            <w:tcW w:type="dxa" w:w="4853"/>
            <w:vAlign w:val="center"/>
          </w:tcPr>
          <w:p>
            <w:r>
              <w:t>Full chart-aware global navigation, calibrated weather-route optimisation, automatic ship telemetry learning, 4nR-SURVEYOR cultural intelligence implementation.</w:t>
            </w:r>
          </w:p>
        </w:tc>
      </w:tr>
    </w:tbl>
    <w:p/>
    <w:p>
      <w:pPr>
        <w:pStyle w:val="Heading1"/>
      </w:pPr>
      <w:r>
        <w:t>13. Decisions still requiring review</w:t>
      </w:r>
    </w:p>
    <w:p>
      <w:pPr>
        <w:pStyle w:val="ListBullet"/>
      </w:pPr>
      <w:r>
        <w:t>Specific freely redistributable worldwide coastline and water-graph data products, licensing and preprocessing pipeline.</w:t>
      </w:r>
    </w:p>
    <w:p>
      <w:pPr>
        <w:pStyle w:val="ListBullet"/>
      </w:pPr>
      <w:r>
        <w:t>Route planner algorithm and performance target on the GMKtec, including constrained passages, canals and transport-mode changes.</w:t>
      </w:r>
    </w:p>
    <w:p>
      <w:pPr>
        <w:pStyle w:val="ListBullet"/>
      </w:pPr>
      <w:r>
        <w:t>Selected environmental dataset products/forecast horizons and the exact numerical optimisation assumptions.</w:t>
      </w:r>
    </w:p>
    <w:p>
      <w:pPr>
        <w:pStyle w:val="ListBullet"/>
      </w:pPr>
      <w:r>
        <w:t>Definition of the safe boundary between preliminary expedition planning and navigationally verified routing.</w:t>
      </w:r>
    </w:p>
    <w:p>
      <w:pPr>
        <w:pStyle w:val="ListBullet"/>
      </w:pPr>
      <w:r>
        <w:t>Precise v0.2.1 inclusion after inspection of Codex’s currently unfinished build.</w:t>
      </w:r>
    </w:p>
    <w:p>
      <w:pPr>
        <w:pStyle w:val="Heading1"/>
      </w:pPr>
      <w:r>
        <w:t>Appendix — Reference resources to evaluate</w:t>
      </w:r>
    </w:p>
    <w:p>
      <w:r>
        <w:t>CesiumJS (https://cesium.com/cesiumjs/); Natural Earth (https://www.naturalearthdata.com/); GEBCO (https://www.gebco.net/); EMODnet (https://emodnet.ec.europa.eu/); NOAA nautical chart catalogue (https://www.nauticalcharts.noaa.gov/); Copernicus Marine (https://marine.copernicus.eu/); Earth open-source project &amp; MIT licence (https://github.com/cambecc/earth). These are candidate sources, not blanket permission to redistribute or a claim that specific datasets are already integrated.</w:t>
      </w:r>
    </w:p>
    <w:p>
      <w:r>
        <w:t>Document control — NERDS v0.2.1 development scope / planning baseline. Companion document: 4nR-SURVEYOR Scope v1.0. Architectural separation takes precedence over legacy v0.1.0 naming or prototype integrations.</w:t>
      </w:r>
      <w:r>
        <w:t xml:space="preserve"> Revision A: adds approved offshore-route planning &amp; dual 6/10-knot voyage-estimate requirements (14 October 2026).</w:t>
      </w:r>
    </w:p>
    <w:p>
      <w:r>
        <w:br w:type="page"/>
      </w:r>
    </w:p>
    <w:p>
      <w:pPr>
        <w:pStyle w:val="Title"/>
      </w:pPr>
      <w:r>
        <w:t>REVISION B — v0.2.0 Acceptance Findings &amp; Global UI Requirements</w:t>
      </w:r>
    </w:p>
    <w:p>
      <w:pPr>
        <w:pStyle w:val="Subtitle"/>
      </w:pPr>
      <w:r>
        <w:t>14 October 2026  |  Status: approved scope corrections from user acceptance testing</w:t>
      </w:r>
    </w:p>
    <w:p>
      <w:r>
        <w:t>REVISION PRECEDENCE: This addendum supersedes any conflicting earlier language in this scope, notably mandatory water-access inputs, generic BY-ROAD labelling, departure-date defaults and time display. All original material remains retained for traceability. Implementation status is determined by actual build/test results, not the presence of a control.</w:t>
      </w:r>
    </w:p>
    <w:p>
      <w:pPr>
        <w:pStyle w:val="Heading1"/>
      </w:pPr>
      <w:r>
        <w:t>A. City Hall-to-City Hall waypoint routing — v0.2.1</w:t>
      </w:r>
    </w:p>
    <w:p>
      <w:pPr>
        <w:pStyle w:val="ListBullet"/>
      </w:pPr>
      <w:r>
        <w:t>Use each city hall / municipal centre as the default geographic anchor, falling back to a documented city centre if city hall is unavailable; preserve manual coordinate and pin overrides.</w:t>
      </w:r>
    </w:p>
    <w:p>
      <w:pPr>
        <w:pStyle w:val="ListBullet"/>
      </w:pPr>
      <w:r>
        <w:t>For v0.2.1, do NOT require users to populate harbour or water-access coordinates before invoking the route calculation. Auto-generate a coarse offshore water-aware path between geographical anchors with visually distinguished approximate city-to-water connectors where applicable.</w:t>
      </w:r>
    </w:p>
    <w:p>
      <w:pPr>
        <w:pStyle w:val="ListBullet"/>
      </w:pPr>
      <w:r>
        <w:t>Preserve explicit uncertainty: approximate connectors must not be counted or represented as navigable marine legs. Route distances and estimated passage times must identify their basis and provisional character.</w:t>
      </w:r>
    </w:p>
    <w:p>
      <w:pPr>
        <w:pStyle w:val="ListBullet"/>
      </w:pPr>
      <w:r>
        <w:t>Existing CALCULATE control is present in v0.2.0; expose it clearly as PLOT ROUTE (or CALCULATE ROUTE) and make it usable without manual water-access editing. Finer harbour access, canals, depths, tide/clearance and chart-validated passages are staged for later builds.</w:t>
      </w:r>
    </w:p>
    <w:p>
      <w:pPr>
        <w:pStyle w:val="ListBullet"/>
      </w:pPr>
      <w:r>
        <w:t>Preserve Offshore Preferred preference and seabed/shelf awareness as planning considerations, without implying that coarse topography validates navigational safety.</w:t>
      </w:r>
    </w:p>
    <w:p>
      <w:pPr>
        <w:pStyle w:val="Heading1"/>
      </w:pPr>
      <w:r>
        <w:t>B. Global date, time &amp; time-zone standard</w:t>
      </w:r>
    </w:p>
    <w:p>
      <w:pPr>
        <w:pStyle w:val="ListBullet"/>
      </w:pPr>
      <w:r>
        <w:t>24-hour time HH:mm is mandatory throughout the NERDS application. Do not display 12-hour AM/PM fields.</w:t>
      </w:r>
    </w:p>
    <w:p>
      <w:pPr>
        <w:pStyle w:val="ListBullet"/>
      </w:pPr>
      <w:r>
        <w:t>Every displayed time (departure, arrival, waypoint schedule, project log and time-based overlays) must display its explicit time zone or UTC offset.</w:t>
      </w:r>
    </w:p>
    <w:p>
      <w:pPr>
        <w:pStyle w:val="ListBullet"/>
      </w:pPr>
      <w:r>
        <w:t>Initial departure calendar date is the project creation date. Default zone is project creation location when reliably resolved; otherwise UTC. Retain user overrides.</w:t>
      </w:r>
    </w:p>
    <w:p>
      <w:pPr>
        <w:pStyle w:val="ListBullet"/>
      </w:pPr>
      <w:r>
        <w:t>Persist instants in UTC alongside the selected IANA time-zone ID; compute displayed offsets using the event date, including daylight saving and date-line transitions.</w:t>
      </w:r>
    </w:p>
    <w:p>
      <w:pPr>
        <w:pStyle w:val="ListBullet"/>
      </w:pPr>
      <w:r>
        <w:t>Changing display zone must preserve the instant; editing the event local time changes the instant intentionally. Recalculate relevant ETAs after departure-time changes.</w:t>
      </w:r>
    </w:p>
    <w:p>
      <w:pPr>
        <w:pStyle w:val="Heading1"/>
      </w:pPr>
      <w:r>
        <w:t>C. Global dialogue control standard</w:t>
      </w:r>
    </w:p>
    <w:p>
      <w:pPr>
        <w:pStyle w:val="ListBullet"/>
      </w:pPr>
      <w:r>
        <w:t>For every editable dialogue that supports commit/discard: DONE applies/saves pending changes and closes; CANCEL discards pending changes and closes; top-right X behaves like CANCEL.</w:t>
      </w:r>
    </w:p>
    <w:p>
      <w:pPr>
        <w:pStyle w:val="ListBullet"/>
      </w:pPr>
      <w:r>
        <w:t>Use a temporary editing state; opening, typing and clicking X/CANCEL must not silently persist changes.</w:t>
      </w:r>
    </w:p>
    <w:p>
      <w:pPr>
        <w:pStyle w:val="ListBullet"/>
      </w:pPr>
      <w:r>
        <w:t>Read-only dialogues use DONE or CLOSE. Running operations may use START/STOP/ABORT where fitting; DONE appears when the operation is completed.</w:t>
      </w:r>
    </w:p>
    <w:p>
      <w:pPr>
        <w:pStyle w:val="ListBullet"/>
      </w:pPr>
      <w:r>
        <w:t>Apply consistently to LOCAL STORAGE, VESSEL PREFERENCES, ROUTE PLOT, MAP SETTINGS, external link/assistant dialogues and all future applicable dialogues.</w:t>
      </w:r>
    </w:p>
    <w:p>
      <w:pPr>
        <w:pStyle w:val="Heading1"/>
      </w:pPr>
      <w:r>
        <w:t>D. v0.2.0 acceptance findings register (AF-001 to AF-019)</w:t>
      </w:r>
    </w:p>
    <w:p>
      <w:pPr>
        <w:pStyle w:val="ListBullet"/>
      </w:pPr>
      <w:r>
        <w:rPr>
          <w:b/>
        </w:rPr>
        <w:t xml:space="preserve">AF-001 — 4nR logo [Open]: </w:t>
      </w:r>
      <w:r>
        <w:t>Display configured logo automatically in top-right header; retain settings selection.</w:t>
      </w:r>
    </w:p>
    <w:p>
      <w:pPr>
        <w:pStyle w:val="ListBullet"/>
      </w:pPr>
      <w:r>
        <w:rPr>
          <w:b/>
        </w:rPr>
        <w:t xml:space="preserve">AF-002 — Transport modes [Open]: </w:t>
      </w:r>
      <w:r>
        <w:t>Offer BY-SEA (default), BY-LAND and BY-AIR. Apply mode-specific calculation rules.</w:t>
      </w:r>
    </w:p>
    <w:p>
      <w:pPr>
        <w:pStyle w:val="ListBullet"/>
      </w:pPr>
      <w:r>
        <w:rPr>
          <w:b/>
        </w:rPr>
        <w:t xml:space="preserve">AF-003 — New project defaults [Open]: </w:t>
      </w:r>
      <w:r>
        <w:t>ZERO pre-assigned waypoints; any demonstration is separate from the live workspace.</w:t>
      </w:r>
    </w:p>
    <w:p>
      <w:pPr>
        <w:pStyle w:val="ListBullet"/>
      </w:pPr>
      <w:r>
        <w:rPr>
          <w:b/>
        </w:rPr>
        <w:t xml:space="preserve">AF-004 — City lookup [Open]: </w:t>
      </w:r>
      <w:r>
        <w:t>Implement actual connected city lookup, with documented offline availability/fallback.</w:t>
      </w:r>
    </w:p>
    <w:p>
      <w:pPr>
        <w:pStyle w:val="ListBullet"/>
      </w:pPr>
      <w:r>
        <w:rPr>
          <w:b/>
        </w:rPr>
        <w:t xml:space="preserve">AF-005 — Alphabetisation [Open]: </w:t>
      </w:r>
      <w:r>
        <w:t>Alphabetise every appropriate picklist, including the 15 starter cities.</w:t>
      </w:r>
    </w:p>
    <w:p>
      <w:pPr>
        <w:pStyle w:val="ListBullet"/>
      </w:pPr>
      <w:r>
        <w:rPr>
          <w:b/>
        </w:rPr>
        <w:t xml:space="preserve">AF-006 — Departure date [Open]: </w:t>
      </w:r>
      <w:r>
        <w:t>Default to project creation date; follow global 24-hour/time-zone standard.</w:t>
      </w:r>
    </w:p>
    <w:p>
      <w:pPr>
        <w:pStyle w:val="ListBullet"/>
      </w:pPr>
      <w:r>
        <w:rPr>
          <w:b/>
        </w:rPr>
        <w:t xml:space="preserve">AF-007 — Roads overlay [Open]: </w:t>
      </w:r>
      <w:r>
        <w:t>Independent ROADS ON/OFF map toggle.</w:t>
      </w:r>
    </w:p>
    <w:p>
      <w:pPr>
        <w:pStyle w:val="ListBullet"/>
      </w:pPr>
      <w:r>
        <w:rPr>
          <w:b/>
        </w:rPr>
        <w:t xml:space="preserve">AF-008 — Borders overlay [Open]: </w:t>
      </w:r>
      <w:r>
        <w:t>Independent BORDERS ON/OFF map toggle.</w:t>
      </w:r>
    </w:p>
    <w:p>
      <w:pPr>
        <w:pStyle w:val="ListBullet"/>
      </w:pPr>
      <w:r>
        <w:rPr>
          <w:b/>
        </w:rPr>
        <w:t xml:space="preserve">AF-009 — Time zones overlay [Open]: </w:t>
      </w:r>
      <w:r>
        <w:t>Independent TIME ZONES ON/OFF map toggle.</w:t>
      </w:r>
    </w:p>
    <w:p>
      <w:pPr>
        <w:pStyle w:val="ListBullet"/>
      </w:pPr>
      <w:r>
        <w:rPr>
          <w:b/>
        </w:rPr>
        <w:t xml:space="preserve">AF-010 — Music research hints [Open]: </w:t>
      </w:r>
      <w:r>
        <w:t>SURVEYOR–MUSIC HINTS ON/OFF map layer; consumes optional external supplied data.</w:t>
      </w:r>
    </w:p>
    <w:p>
      <w:pPr>
        <w:pStyle w:val="ListBullet"/>
      </w:pPr>
      <w:r>
        <w:rPr>
          <w:b/>
        </w:rPr>
        <w:t xml:space="preserve">AF-011 — Cuisine research hints [Open]: </w:t>
      </w:r>
      <w:r>
        <w:t>SURVEYOR–CUISINE HINTS ON/OFF map layer; consumes optional external supplied data.</w:t>
      </w:r>
    </w:p>
    <w:p>
      <w:pPr>
        <w:pStyle w:val="ListBullet"/>
      </w:pPr>
      <w:r>
        <w:rPr>
          <w:b/>
        </w:rPr>
        <w:t xml:space="preserve">AF-012 — Culture research hints [Open]: </w:t>
      </w:r>
      <w:r>
        <w:t>SURVEYOR–CULTURE HINTS ON/OFF map layer; consumes optional external supplied data.</w:t>
      </w:r>
    </w:p>
    <w:p>
      <w:pPr>
        <w:pStyle w:val="ListBullet"/>
      </w:pPr>
      <w:r>
        <w:rPr>
          <w:b/>
        </w:rPr>
        <w:t xml:space="preserve">AF-013 — All research hints [Open]: </w:t>
      </w:r>
      <w:r>
        <w:t>ALL SURVEYOR HINTS ON/OFF controls available hint layers.</w:t>
      </w:r>
    </w:p>
    <w:p>
      <w:pPr>
        <w:pStyle w:val="ListBullet"/>
      </w:pPr>
      <w:r>
        <w:rPr>
          <w:b/>
        </w:rPr>
        <w:t xml:space="preserve">AF-014 — Vessel persistence [Critical]: </w:t>
      </w:r>
      <w:r>
        <w:t>Fix inability to save/reopen vessel details. Include explicit DONE/CANCEL behaviour.</w:t>
      </w:r>
    </w:p>
    <w:p>
      <w:pPr>
        <w:pStyle w:val="ListBullet"/>
      </w:pPr>
      <w:r>
        <w:rPr>
          <w:b/>
        </w:rPr>
        <w:t xml:space="preserve">AF-015 — Waypoint drag order [Passed]: </w:t>
      </w:r>
      <w:r>
        <w:t>Verified functional in user test; preserve/regression-test.</w:t>
      </w:r>
    </w:p>
    <w:p>
      <w:pPr>
        <w:pStyle w:val="ListBullet"/>
      </w:pPr>
      <w:r>
        <w:rPr>
          <w:b/>
        </w:rPr>
        <w:t xml:space="preserve">AF-016 — Save project [Passed]: </w:t>
      </w:r>
      <w:r>
        <w:t>Verified functional in user test; verify full round-trip persistence.</w:t>
      </w:r>
    </w:p>
    <w:p>
      <w:pPr>
        <w:pStyle w:val="ListBullet"/>
      </w:pPr>
      <w:r>
        <w:rPr>
          <w:b/>
        </w:rPr>
        <w:t xml:space="preserve">AF-017 — Assistant dialogue [Open]: </w:t>
      </w:r>
      <w:r>
        <w:t>Use DONE rather than X-only closure; no coupling of NERDS core operation to SURVEYOR.</w:t>
      </w:r>
    </w:p>
    <w:p>
      <w:pPr>
        <w:pStyle w:val="ListBullet"/>
      </w:pPr>
      <w:r>
        <w:rPr>
          <w:b/>
        </w:rPr>
        <w:t xml:space="preserve">AF-018 — Local storage dialogue [Open]: </w:t>
      </w:r>
      <w:r>
        <w:t>Adopt global DONE/CANCEL/X standard (applies to all eligible dialogues).</w:t>
      </w:r>
    </w:p>
    <w:p>
      <w:pPr>
        <w:pStyle w:val="ListBullet"/>
      </w:pPr>
      <w:r>
        <w:rPr>
          <w:b/>
        </w:rPr>
        <w:t xml:space="preserve">AF-019 — Route calculation [Critical]: </w:t>
      </w:r>
      <w:r>
        <w:t>CALCULATE exists but blocks on manual water access; expose PLOT ROUTE workflow and calculate from city hall anchors without that prerequisite.</w:t>
      </w:r>
    </w:p>
    <w:p>
      <w:pPr>
        <w:pStyle w:val="Heading1"/>
      </w:pPr>
      <w:r>
        <w:t>E. Speed, passage estimates &amp; build priorities</w:t>
      </w:r>
    </w:p>
    <w:p>
      <w:pPr>
        <w:pStyle w:val="ListBullet"/>
      </w:pPr>
      <w:r>
        <w:t>6.0 kn remains the editable standard reference speed, pre-populated in applicable voyage controls; powered nominal target is 10.0 kn. Show the 6.0 kn reference and the calculated speed, passage duration &amp; ETA side by side, for legs and entire voyage.</w:t>
      </w:r>
    </w:p>
    <w:p>
      <w:pPr>
        <w:pStyle w:val="ListBullet"/>
      </w:pPr>
      <w:r>
        <w:t>When real environmental/performance inputs are unavailable, label calculated values as provisional/nominal, not measured forecasts. Use route distance divided by summed elapsed time to compute effective SOG.</w:t>
      </w:r>
    </w:p>
    <w:p>
      <w:pPr>
        <w:pStyle w:val="ListBullet"/>
      </w:pPr>
      <w:r>
        <w:t>Build priority: MAKE IT WORK. MAKE IT FAST. MAKE IT AWESOME. IT CAN BE HUGE. No arbitrary installer-size constraint; retain required assets, map quality, dependencies, resolution and offline capability. Optimise size only without a capability trade-off.</w:t>
      </w:r>
    </w:p>
    <w:p>
      <w:pPr>
        <w:pStyle w:val="ListBullet"/>
      </w:pPr>
      <w:r>
        <w:t>NERDS and 4nR-SURVEYOR remain independently versioned systems with separate ownership, storage and release cycles. SURVEYOR HINT toggles are optional visual integration only; the research engine stays external.</w:t>
      </w:r>
    </w:p>
    <w:p>
      <w:pPr>
        <w:pStyle w:val="ListBullet"/>
      </w:pPr>
      <w:r>
        <w:t>Acceptance gate: complete AF-014 and AF-019; test AF-003, AF-004, AF-006, AF-018, transport selection, all overlays, time-zone display and basic persistence before claiming v0.2.1 finished.</w:t>
      </w:r>
    </w:p>
    <w:p>
      <w:r>
        <w:t>Revision record — Rev A: offshore routing &amp; dual voyage estimates. Rev B: city-hall default routing, user acceptance register AF-001–AF-019, global dialogue and time standards, build philosophy. Earlier scope retained in full; this addendum governs conflicts.</w:t>
      </w:r>
    </w:p>
    <w:sectPr w:rsidR="00FC693F" w:rsidRPr="0006063C" w:rsidSect="00034616">
      <w:headerReference w:type="default" r:id="rId9"/>
      <w:footerReference w:type="default" r:id="rId10"/>
      <w:pgSz w:w="12240" w:h="15840"/>
      <w:pgMar w:top="1109" w:right="1267" w:bottom="1008"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14 OCTOBER 2026  •  DRAFT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NERDS  |  ENGINEERING SCOPE  |  v0.2.1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Segoe UI" w:hAnsi="Segoe UI"/>
      <w:color w:val="2433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Segoe UI" w:hAnsi="Segoe UI"/>
      <w:b/>
      <w:bCs/>
      <w:color w:val="08455F"/>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0F5C7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Segoe UI" w:hAnsi="Segoe UI"/>
      <w:b/>
      <w:color w:val="0D33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NERDS Application Scope v0.2.1 — Revision A</dc:title>
  <dc:subject>Offshore routing and dual voyage estimates added to application development scope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