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B2B2B"/>
          <w:sz w:val="40"/>
          <w:szCs w:val="40"/>
        </w:rPr>
        <w:t xml:space="preserve">Marriott International</w:t>
      </w:r>
    </w:p>
    <w:p>
      <w:pPr>
        <w:spacing w:after="60"/>
      </w:pPr>
      <w:r>
        <w:rPr>
          <w:rFonts w:ascii="Arial" w:cs="Arial" w:eastAsia="Arial" w:hAnsi="Arial"/>
          <w:color w:val="A6192E"/>
          <w:sz w:val="28"/>
          <w:szCs w:val="28"/>
        </w:rPr>
        <w:t xml:space="preserve">Digital Transformation KPI Analysis</w:t>
      </w:r>
    </w:p>
    <w:p>
      <w:pPr>
        <w:pBdr>
          <w:bottom w:val="single" w:color="A6192E" w:sz="12" w:space="8"/>
        </w:pBdr>
        <w:spacing w:after="240"/>
      </w:pPr>
      <w:r>
        <w:rPr>
          <w:rFonts w:ascii="Arial" w:cs="Arial" w:eastAsia="Arial" w:hAnsi="Arial"/>
          <w:color w:val="5F5A57"/>
          <w:sz w:val="19"/>
          <w:szCs w:val="19"/>
        </w:rPr>
        <w:t xml:space="preserve">KPI 5: Worldwide Room Growth   |   KPI 6: Operating Margin</w:t>
      </w:r>
    </w:p>
    <w:p>
      <w:pPr>
        <w:pStyle w:val="Heading1"/>
        <w:spacing w:after="60" w:before="220"/>
      </w:pPr>
      <w:r>
        <w:rPr>
          <w:rFonts w:ascii="Arial" w:cs="Arial" w:eastAsia="Arial" w:hAnsi="Arial"/>
          <w:b/>
          <w:bCs/>
          <w:color w:val="2B2B2B"/>
          <w:sz w:val="30"/>
          <w:szCs w:val="30"/>
        </w:rPr>
        <w:t xml:space="preserve">KPI 5: Worldwide Room Growth</w:t>
      </w:r>
    </w:p>
    <w:p>
      <w:pPr>
        <w:pBdr>
          <w:bottom w:val="single" w:color="A6192E" w:sz="6" w:space="6"/>
        </w:pBdr>
        <w:spacing w:after="160"/>
      </w:pPr>
      <w:r>
        <w:rPr>
          <w:rFonts w:ascii="Arial" w:cs="Arial" w:eastAsia="Arial" w:hAnsi="Arial"/>
          <w:i/>
          <w:iCs/>
          <w:color w:val="5F5A57"/>
          <w:sz w:val="21"/>
          <w:szCs w:val="21"/>
        </w:rPr>
        <w:t xml:space="preserve">Type: Leading Indicator (Platform / Ecosystem Leverage)</w:t>
      </w:r>
    </w:p>
    <w:p>
      <w:pPr>
        <w:pStyle w:val="Heading2"/>
        <w:spacing w:after="80" w:before="160"/>
      </w:pPr>
      <w:r>
        <w:rPr>
          <w:rFonts w:ascii="Arial" w:cs="Arial" w:eastAsia="Arial" w:hAnsi="Arial"/>
          <w:b/>
          <w:bCs/>
          <w:color w:val="A6192E"/>
          <w:sz w:val="24"/>
          <w:szCs w:val="24"/>
        </w:rPr>
        <w:t xml:space="preserve">KPI Rationale</w:t>
      </w:r>
      <w:r>
        <w:rPr>
          <w:rFonts w:ascii="Arial" w:cs="Arial" w:eastAsia="Arial" w:hAnsi="Arial"/>
          <w:color w:val="5F5A57"/>
          <w:sz w:val="18"/>
          <w:szCs w:val="18"/>
        </w:rPr>
        <w:t xml:space="preserve">   Member A</w:t>
      </w:r>
    </w:p>
    <w:p>
      <w:pPr>
        <w:spacing w:after="100" w:line="264"/>
      </w:pPr>
      <w:r>
        <w:rPr>
          <w:rFonts w:ascii="Arial" w:cs="Arial" w:eastAsia="Arial" w:hAnsi="Arial"/>
          <w:sz w:val="20"/>
          <w:szCs w:val="20"/>
        </w:rPr>
        <w:t xml:space="preserve">Worldwide room growth measures how fast Marriott's partner ecosystem is expanding. Marriott owns very few of its hotels; it runs a two-sided platform in which independent hotel owners supply the rooms and Marriott Bonvoy's nearly 271 million members supply the demand. Owners pay Marriott fees to plug into its brands, reservation system, and loyalty program, so every net new room is a third-party partner choosing Marriott's platform over a competitor's or over staying independent.</w:t>
      </w:r>
    </w:p>
    <w:p>
      <w:pPr>
        <w:spacing w:after="100" w:line="264"/>
      </w:pPr>
      <w:r>
        <w:rPr>
          <w:rFonts w:ascii="Arial" w:cs="Arial" w:eastAsia="Arial" w:hAnsi="Arial"/>
          <w:sz w:val="20"/>
          <w:szCs w:val="20"/>
        </w:rPr>
        <w:t xml:space="preserve">This metric reveals something the other KPIs cannot: it is the only supply-side measure in the set. Membership and penetration show whether guests are engaging; room growth shows whether hotel owners believe the platform is worth paying for. The two sides reinforce each other, because more hotels give members more places to earn and redeem points, and a larger member base makes the platform more valuable to the next owner. Because each room signed today generates fees for many years, room growth also signals future fee revenue before it appears in the income statement.</w:t>
      </w:r>
    </w:p>
    <w:p>
      <w:pPr>
        <w:pStyle w:val="Heading2"/>
        <w:spacing w:after="80" w:before="160"/>
      </w:pPr>
      <w:r>
        <w:rPr>
          <w:rFonts w:ascii="Arial" w:cs="Arial" w:eastAsia="Arial" w:hAnsi="Arial"/>
          <w:b/>
          <w:bCs/>
          <w:color w:val="A6192E"/>
          <w:sz w:val="24"/>
          <w:szCs w:val="24"/>
        </w:rPr>
        <w:t xml:space="preserve">Data Sourcing</w:t>
      </w:r>
      <w:r>
        <w:rPr>
          <w:rFonts w:ascii="Arial" w:cs="Arial" w:eastAsia="Arial" w:hAnsi="Arial"/>
          <w:color w:val="5F5A57"/>
          <w:sz w:val="18"/>
          <w:szCs w:val="18"/>
        </w:rPr>
        <w:t xml:space="preserve">   Member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700"/>
        <w:gridCol w:w="5880"/>
      </w:tblGrid>
      <w:tr>
        <w:trPr>
          <w:tblHeader/>
        </w:trPr>
        <w:tc>
          <w:tcPr>
            <w:tcW w:type="dxa" w:w="1000"/>
            <w:tcBorders>
              <w:top w:val="single" w:color="DDD3CC" w:sz="4"/>
              <w:left w:val="single" w:color="DDD3CC" w:sz="4"/>
              <w:bottom w:val="single" w:color="DDD3CC" w:sz="4"/>
              <w:right w:val="single" w:color="DDD3CC" w:sz="4"/>
            </w:tcBorders>
            <w:shd w:fill="A6192E" w:color="auto" w:val="clear"/>
            <w:tcMar>
              <w:top w:type="dxa" w:w="45"/>
              <w:left w:type="dxa" w:w="100"/>
              <w:bottom w:type="dxa" w:w="45"/>
              <w:right w:type="dxa" w:w="100"/>
            </w:tcMar>
            <w:vAlign w:val="center"/>
          </w:tcPr>
          <w:p>
            <w:pPr>
              <w:jc w:val="center"/>
            </w:pPr>
            <w:r>
              <w:rPr>
                <w:rFonts w:ascii="Arial" w:cs="Arial" w:eastAsia="Arial" w:hAnsi="Arial"/>
                <w:b/>
                <w:bCs/>
                <w:color w:val="FFFFFF"/>
                <w:sz w:val="19"/>
                <w:szCs w:val="19"/>
              </w:rPr>
              <w:t xml:space="preserve">Year-end</w:t>
            </w:r>
          </w:p>
        </w:tc>
        <w:tc>
          <w:tcPr>
            <w:tcW w:type="dxa" w:w="1500"/>
            <w:tcBorders>
              <w:top w:val="single" w:color="DDD3CC" w:sz="4"/>
              <w:left w:val="single" w:color="DDD3CC" w:sz="4"/>
              <w:bottom w:val="single" w:color="DDD3CC" w:sz="4"/>
              <w:right w:val="single" w:color="DDD3CC" w:sz="4"/>
            </w:tcBorders>
            <w:shd w:fill="A6192E" w:color="auto" w:val="clear"/>
            <w:tcMar>
              <w:top w:type="dxa" w:w="45"/>
              <w:left w:type="dxa" w:w="100"/>
              <w:bottom w:type="dxa" w:w="45"/>
              <w:right w:type="dxa" w:w="100"/>
            </w:tcMar>
            <w:vAlign w:val="center"/>
          </w:tcPr>
          <w:p>
            <w:pPr>
              <w:jc w:val="center"/>
            </w:pPr>
            <w:r>
              <w:rPr>
                <w:rFonts w:ascii="Arial" w:cs="Arial" w:eastAsia="Arial" w:hAnsi="Arial"/>
                <w:b/>
                <w:bCs/>
                <w:color w:val="FFFFFF"/>
                <w:sz w:val="19"/>
                <w:szCs w:val="19"/>
              </w:rPr>
              <w:t xml:space="preserve">Net room growth (%)</w:t>
            </w:r>
          </w:p>
        </w:tc>
        <w:tc>
          <w:tcPr>
            <w:tcW w:type="dxa" w:w="1700"/>
            <w:tcBorders>
              <w:top w:val="single" w:color="DDD3CC" w:sz="4"/>
              <w:left w:val="single" w:color="DDD3CC" w:sz="4"/>
              <w:bottom w:val="single" w:color="DDD3CC" w:sz="4"/>
              <w:right w:val="single" w:color="DDD3CC" w:sz="4"/>
            </w:tcBorders>
            <w:shd w:fill="A6192E" w:color="auto" w:val="clear"/>
            <w:tcMar>
              <w:top w:type="dxa" w:w="45"/>
              <w:left w:type="dxa" w:w="100"/>
              <w:bottom w:type="dxa" w:w="45"/>
              <w:right w:type="dxa" w:w="100"/>
            </w:tcMar>
            <w:vAlign w:val="center"/>
          </w:tcPr>
          <w:p>
            <w:pPr>
              <w:jc w:val="center"/>
            </w:pPr>
            <w:r>
              <w:rPr>
                <w:rFonts w:ascii="Arial" w:cs="Arial" w:eastAsia="Arial" w:hAnsi="Arial"/>
                <w:b/>
                <w:bCs/>
                <w:color w:val="FFFFFF"/>
                <w:sz w:val="19"/>
                <w:szCs w:val="19"/>
              </w:rPr>
              <w:t xml:space="preserve">Year-end rooms</w:t>
            </w:r>
          </w:p>
        </w:tc>
        <w:tc>
          <w:tcPr>
            <w:tcW w:type="dxa" w:w="5880"/>
            <w:tcBorders>
              <w:top w:val="single" w:color="DDD3CC" w:sz="4"/>
              <w:left w:val="single" w:color="DDD3CC" w:sz="4"/>
              <w:bottom w:val="single" w:color="DDD3CC" w:sz="4"/>
              <w:right w:val="single" w:color="DDD3CC" w:sz="4"/>
            </w:tcBorders>
            <w:shd w:fill="A6192E" w:color="auto" w:val="clear"/>
            <w:tcMar>
              <w:top w:type="dxa" w:w="45"/>
              <w:left w:type="dxa" w:w="100"/>
              <w:bottom w:type="dxa" w:w="45"/>
              <w:right w:type="dxa" w:w="100"/>
            </w:tcMar>
            <w:vAlign w:val="center"/>
          </w:tcPr>
          <w:p>
            <w:pPr>
              <w:jc w:val="center"/>
            </w:pPr>
            <w:r>
              <w:rPr>
                <w:rFonts w:ascii="Arial" w:cs="Arial" w:eastAsia="Arial" w:hAnsi="Arial"/>
                <w:b/>
                <w:bCs/>
                <w:color w:val="FFFFFF"/>
                <w:sz w:val="19"/>
                <w:szCs w:val="19"/>
              </w:rPr>
              <w:t xml:space="preserve">Source</w:t>
            </w:r>
          </w:p>
        </w:tc>
      </w:tr>
      <w:tr>
        <w:tc>
          <w:tcPr>
            <w:tcW w:type="dxa" w:w="10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2021</w:t>
            </w:r>
          </w:p>
        </w:tc>
        <w:tc>
          <w:tcPr>
            <w:tcW w:type="dxa" w:w="15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3.9</w:t>
            </w:r>
          </w:p>
        </w:tc>
        <w:tc>
          <w:tcPr>
            <w:tcW w:type="dxa" w:w="17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1,479,179</w:t>
            </w:r>
          </w:p>
        </w:tc>
        <w:tc>
          <w:tcPr>
            <w:tcW w:type="dxa" w:w="588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2021 earnings release (Form 8-K, Ex. 99)</w:t>
            </w:r>
          </w:p>
        </w:tc>
      </w:tr>
      <w:tr>
        <w:tc>
          <w:tcPr>
            <w:tcW w:type="dxa" w:w="100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2022</w:t>
            </w:r>
          </w:p>
        </w:tc>
        <w:tc>
          <w:tcPr>
            <w:tcW w:type="dxa" w:w="150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3.1</w:t>
            </w:r>
          </w:p>
        </w:tc>
        <w:tc>
          <w:tcPr>
            <w:tcW w:type="dxa" w:w="170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1,525,407</w:t>
            </w:r>
          </w:p>
        </w:tc>
        <w:tc>
          <w:tcPr>
            <w:tcW w:type="dxa" w:w="588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2022 earnings release (Form 8-K, Ex. 99)</w:t>
            </w:r>
          </w:p>
        </w:tc>
      </w:tr>
      <w:tr>
        <w:tc>
          <w:tcPr>
            <w:tcW w:type="dxa" w:w="10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2023</w:t>
            </w:r>
          </w:p>
        </w:tc>
        <w:tc>
          <w:tcPr>
            <w:tcW w:type="dxa" w:w="15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4.7</w:t>
            </w:r>
          </w:p>
        </w:tc>
        <w:tc>
          <w:tcPr>
            <w:tcW w:type="dxa" w:w="17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1,597,380</w:t>
            </w:r>
          </w:p>
        </w:tc>
        <w:tc>
          <w:tcPr>
            <w:tcW w:type="dxa" w:w="588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2023 earnings release (Form 8-K, Ex. 99)</w:t>
            </w:r>
          </w:p>
        </w:tc>
      </w:tr>
      <w:tr>
        <w:tc>
          <w:tcPr>
            <w:tcW w:type="dxa" w:w="100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2024</w:t>
            </w:r>
          </w:p>
        </w:tc>
        <w:tc>
          <w:tcPr>
            <w:tcW w:type="dxa" w:w="150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6.8</w:t>
            </w:r>
          </w:p>
        </w:tc>
        <w:tc>
          <w:tcPr>
            <w:tcW w:type="dxa" w:w="170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Over 1.7 million</w:t>
            </w:r>
          </w:p>
        </w:tc>
        <w:tc>
          <w:tcPr>
            <w:tcW w:type="dxa" w:w="588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2024 earnings release (Feb 2025)</w:t>
            </w:r>
          </w:p>
        </w:tc>
      </w:tr>
      <w:tr>
        <w:tc>
          <w:tcPr>
            <w:tcW w:type="dxa" w:w="10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2025</w:t>
            </w:r>
          </w:p>
        </w:tc>
        <w:tc>
          <w:tcPr>
            <w:tcW w:type="dxa" w:w="15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Over 4.3</w:t>
            </w:r>
          </w:p>
        </w:tc>
        <w:tc>
          <w:tcPr>
            <w:tcW w:type="dxa" w:w="17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Nearly 1.78 million</w:t>
            </w:r>
          </w:p>
        </w:tc>
        <w:tc>
          <w:tcPr>
            <w:tcW w:type="dxa" w:w="588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2025 earnings release (Form 8-K, Ex. 99), Feb 10, 2026</w:t>
            </w:r>
          </w:p>
        </w:tc>
      </w:tr>
    </w:tbl>
    <w:p>
      <w:pPr>
        <w:spacing w:after="140" w:before="80"/>
      </w:pPr>
      <w:r>
        <w:rPr>
          <w:rFonts w:ascii="Arial" w:cs="Arial" w:eastAsia="Arial" w:hAnsi="Arial"/>
          <w:i/>
          <w:iCs/>
          <w:color w:val="5F5A57"/>
          <w:sz w:val="17"/>
          <w:szCs w:val="17"/>
        </w:rPr>
        <w:t xml:space="preserve">Growth rates are as stated in each release's highlights. Year-end room counts come from the Total Lodging Products table in each release; Marriott gave only rounded totals for 2024 and 2025. Room growth is net of hotels that left the system.</w:t>
      </w:r>
    </w:p>
    <w:p>
      <w:pPr>
        <w:pStyle w:val="Heading1"/>
        <w:spacing w:after="60" w:before="220"/>
      </w:pPr>
      <w:r>
        <w:rPr>
          <w:rFonts w:ascii="Arial" w:cs="Arial" w:eastAsia="Arial" w:hAnsi="Arial"/>
          <w:b/>
          <w:bCs/>
          <w:color w:val="2B2B2B"/>
          <w:sz w:val="30"/>
          <w:szCs w:val="30"/>
        </w:rPr>
        <w:t xml:space="preserve">KPI 6: Operating Margin</w:t>
      </w:r>
    </w:p>
    <w:p>
      <w:pPr>
        <w:pBdr>
          <w:bottom w:val="single" w:color="A6192E" w:sz="6" w:space="6"/>
        </w:pBdr>
        <w:spacing w:after="160"/>
      </w:pPr>
      <w:r>
        <w:rPr>
          <w:rFonts w:ascii="Arial" w:cs="Arial" w:eastAsia="Arial" w:hAnsi="Arial"/>
          <w:i/>
          <w:iCs/>
          <w:color w:val="5F5A57"/>
          <w:sz w:val="21"/>
          <w:szCs w:val="21"/>
        </w:rPr>
        <w:t xml:space="preserve">Type: Lagging Indicator (Operational Leverage)</w:t>
      </w:r>
    </w:p>
    <w:p>
      <w:pPr>
        <w:pStyle w:val="Heading2"/>
        <w:spacing w:after="80" w:before="160"/>
      </w:pPr>
      <w:r>
        <w:rPr>
          <w:rFonts w:ascii="Arial" w:cs="Arial" w:eastAsia="Arial" w:hAnsi="Arial"/>
          <w:b/>
          <w:bCs/>
          <w:color w:val="A6192E"/>
          <w:sz w:val="24"/>
          <w:szCs w:val="24"/>
        </w:rPr>
        <w:t xml:space="preserve">KPI Rationale</w:t>
      </w:r>
      <w:r>
        <w:rPr>
          <w:rFonts w:ascii="Arial" w:cs="Arial" w:eastAsia="Arial" w:hAnsi="Arial"/>
          <w:color w:val="5F5A57"/>
          <w:sz w:val="18"/>
          <w:szCs w:val="18"/>
        </w:rPr>
        <w:t xml:space="preserve">   Member A</w:t>
      </w:r>
    </w:p>
    <w:p>
      <w:pPr>
        <w:spacing w:after="100" w:line="264"/>
      </w:pPr>
      <w:r>
        <w:rPr>
          <w:rFonts w:ascii="Arial" w:cs="Arial" w:eastAsia="Arial" w:hAnsi="Arial"/>
          <w:sz w:val="20"/>
          <w:szCs w:val="20"/>
        </w:rPr>
        <w:t xml:space="preserve">Operating margin (operating income divided by total revenues) tests whether Marriott's growth is turning into efficiency. Marriott pays largely fixed corporate costs for technology, the Bonvoy platform, and headquarters staff. If the transformation is working, those costs should be spread over a growing system, and each new dollar of revenue should produce more profit. Operating margin is the outcome that shows whether that is happening.</w:t>
      </w:r>
    </w:p>
    <w:p>
      <w:pPr>
        <w:spacing w:after="100" w:line="264"/>
      </w:pPr>
      <w:r>
        <w:rPr>
          <w:rFonts w:ascii="Arial" w:cs="Arial" w:eastAsia="Arial" w:hAnsi="Arial"/>
          <w:sz w:val="20"/>
          <w:szCs w:val="20"/>
        </w:rPr>
        <w:t xml:space="preserve">This metric reveals something the other KPIs cannot: every other KPI in the set measures growth, while operating margin is the only one that measures efficiency. It is also a better fit for Marriott than gross margin. As a fee-based business, Marriott has little cost of goods sold, so gross margin says little, while operating margin captures the overhead that operational leverage is supposed to spread.</w:t>
      </w:r>
    </w:p>
    <w:p>
      <w:pPr>
        <w:pStyle w:val="Heading2"/>
        <w:spacing w:after="80" w:before="160"/>
      </w:pPr>
      <w:r>
        <w:rPr>
          <w:rFonts w:ascii="Arial" w:cs="Arial" w:eastAsia="Arial" w:hAnsi="Arial"/>
          <w:b/>
          <w:bCs/>
          <w:color w:val="A6192E"/>
          <w:sz w:val="24"/>
          <w:szCs w:val="24"/>
        </w:rPr>
        <w:t xml:space="preserve">Data Sourcing</w:t>
      </w:r>
      <w:r>
        <w:rPr>
          <w:rFonts w:ascii="Arial" w:cs="Arial" w:eastAsia="Arial" w:hAnsi="Arial"/>
          <w:color w:val="5F5A57"/>
          <w:sz w:val="18"/>
          <w:szCs w:val="18"/>
        </w:rPr>
        <w:t xml:space="preserve">   Member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350"/>
        <w:gridCol w:w="1350"/>
        <w:gridCol w:w="1350"/>
        <w:gridCol w:w="5230"/>
      </w:tblGrid>
      <w:tr>
        <w:trPr>
          <w:tblHeader/>
        </w:trPr>
        <w:tc>
          <w:tcPr>
            <w:tcW w:type="dxa" w:w="800"/>
            <w:tcBorders>
              <w:top w:val="single" w:color="DDD3CC" w:sz="4"/>
              <w:left w:val="single" w:color="DDD3CC" w:sz="4"/>
              <w:bottom w:val="single" w:color="DDD3CC" w:sz="4"/>
              <w:right w:val="single" w:color="DDD3CC" w:sz="4"/>
            </w:tcBorders>
            <w:shd w:fill="A6192E" w:color="auto" w:val="clear"/>
            <w:tcMar>
              <w:top w:type="dxa" w:w="45"/>
              <w:left w:type="dxa" w:w="100"/>
              <w:bottom w:type="dxa" w:w="45"/>
              <w:right w:type="dxa" w:w="100"/>
            </w:tcMar>
            <w:vAlign w:val="center"/>
          </w:tcPr>
          <w:p>
            <w:pPr>
              <w:jc w:val="center"/>
            </w:pPr>
            <w:r>
              <w:rPr>
                <w:rFonts w:ascii="Arial" w:cs="Arial" w:eastAsia="Arial" w:hAnsi="Arial"/>
                <w:b/>
                <w:bCs/>
                <w:color w:val="FFFFFF"/>
                <w:sz w:val="19"/>
                <w:szCs w:val="19"/>
              </w:rPr>
              <w:t xml:space="preserve">Year</w:t>
            </w:r>
          </w:p>
        </w:tc>
        <w:tc>
          <w:tcPr>
            <w:tcW w:type="dxa" w:w="1350"/>
            <w:tcBorders>
              <w:top w:val="single" w:color="DDD3CC" w:sz="4"/>
              <w:left w:val="single" w:color="DDD3CC" w:sz="4"/>
              <w:bottom w:val="single" w:color="DDD3CC" w:sz="4"/>
              <w:right w:val="single" w:color="DDD3CC" w:sz="4"/>
            </w:tcBorders>
            <w:shd w:fill="A6192E" w:color="auto" w:val="clear"/>
            <w:tcMar>
              <w:top w:type="dxa" w:w="45"/>
              <w:left w:type="dxa" w:w="100"/>
              <w:bottom w:type="dxa" w:w="45"/>
              <w:right w:type="dxa" w:w="100"/>
            </w:tcMar>
            <w:vAlign w:val="center"/>
          </w:tcPr>
          <w:p>
            <w:pPr>
              <w:jc w:val="center"/>
            </w:pPr>
            <w:r>
              <w:rPr>
                <w:rFonts w:ascii="Arial" w:cs="Arial" w:eastAsia="Arial" w:hAnsi="Arial"/>
                <w:b/>
                <w:bCs/>
                <w:color w:val="FFFFFF"/>
                <w:sz w:val="19"/>
                <w:szCs w:val="19"/>
              </w:rPr>
              <w:t xml:space="preserve">Operating income ($M)</w:t>
            </w:r>
          </w:p>
        </w:tc>
        <w:tc>
          <w:tcPr>
            <w:tcW w:type="dxa" w:w="1350"/>
            <w:tcBorders>
              <w:top w:val="single" w:color="DDD3CC" w:sz="4"/>
              <w:left w:val="single" w:color="DDD3CC" w:sz="4"/>
              <w:bottom w:val="single" w:color="DDD3CC" w:sz="4"/>
              <w:right w:val="single" w:color="DDD3CC" w:sz="4"/>
            </w:tcBorders>
            <w:shd w:fill="A6192E" w:color="auto" w:val="clear"/>
            <w:tcMar>
              <w:top w:type="dxa" w:w="45"/>
              <w:left w:type="dxa" w:w="100"/>
              <w:bottom w:type="dxa" w:w="45"/>
              <w:right w:type="dxa" w:w="100"/>
            </w:tcMar>
            <w:vAlign w:val="center"/>
          </w:tcPr>
          <w:p>
            <w:pPr>
              <w:jc w:val="center"/>
            </w:pPr>
            <w:r>
              <w:rPr>
                <w:rFonts w:ascii="Arial" w:cs="Arial" w:eastAsia="Arial" w:hAnsi="Arial"/>
                <w:b/>
                <w:bCs/>
                <w:color w:val="FFFFFF"/>
                <w:sz w:val="19"/>
                <w:szCs w:val="19"/>
              </w:rPr>
              <w:t xml:space="preserve">Total revenues ($M)</w:t>
            </w:r>
          </w:p>
        </w:tc>
        <w:tc>
          <w:tcPr>
            <w:tcW w:type="dxa" w:w="1350"/>
            <w:tcBorders>
              <w:top w:val="single" w:color="DDD3CC" w:sz="4"/>
              <w:left w:val="single" w:color="DDD3CC" w:sz="4"/>
              <w:bottom w:val="single" w:color="DDD3CC" w:sz="4"/>
              <w:right w:val="single" w:color="DDD3CC" w:sz="4"/>
            </w:tcBorders>
            <w:shd w:fill="A6192E" w:color="auto" w:val="clear"/>
            <w:tcMar>
              <w:top w:type="dxa" w:w="45"/>
              <w:left w:type="dxa" w:w="100"/>
              <w:bottom w:type="dxa" w:w="45"/>
              <w:right w:type="dxa" w:w="100"/>
            </w:tcMar>
            <w:vAlign w:val="center"/>
          </w:tcPr>
          <w:p>
            <w:pPr>
              <w:jc w:val="center"/>
            </w:pPr>
            <w:r>
              <w:rPr>
                <w:rFonts w:ascii="Arial" w:cs="Arial" w:eastAsia="Arial" w:hAnsi="Arial"/>
                <w:b/>
                <w:bCs/>
                <w:color w:val="FFFFFF"/>
                <w:sz w:val="19"/>
                <w:szCs w:val="19"/>
              </w:rPr>
              <w:t xml:space="preserve">Operating margin (%)</w:t>
            </w:r>
          </w:p>
        </w:tc>
        <w:tc>
          <w:tcPr>
            <w:tcW w:type="dxa" w:w="5230"/>
            <w:tcBorders>
              <w:top w:val="single" w:color="DDD3CC" w:sz="4"/>
              <w:left w:val="single" w:color="DDD3CC" w:sz="4"/>
              <w:bottom w:val="single" w:color="DDD3CC" w:sz="4"/>
              <w:right w:val="single" w:color="DDD3CC" w:sz="4"/>
            </w:tcBorders>
            <w:shd w:fill="A6192E" w:color="auto" w:val="clear"/>
            <w:tcMar>
              <w:top w:type="dxa" w:w="45"/>
              <w:left w:type="dxa" w:w="100"/>
              <w:bottom w:type="dxa" w:w="45"/>
              <w:right w:type="dxa" w:w="100"/>
            </w:tcMar>
            <w:vAlign w:val="center"/>
          </w:tcPr>
          <w:p>
            <w:pPr>
              <w:jc w:val="center"/>
            </w:pPr>
            <w:r>
              <w:rPr>
                <w:rFonts w:ascii="Arial" w:cs="Arial" w:eastAsia="Arial" w:hAnsi="Arial"/>
                <w:b/>
                <w:bCs/>
                <w:color w:val="FFFFFF"/>
                <w:sz w:val="19"/>
                <w:szCs w:val="19"/>
              </w:rPr>
              <w:t xml:space="preserve">Source</w:t>
            </w:r>
          </w:p>
        </w:tc>
      </w:tr>
      <w:tr>
        <w:tc>
          <w:tcPr>
            <w:tcW w:type="dxa" w:w="8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2020</w:t>
            </w:r>
          </w:p>
        </w:tc>
        <w:tc>
          <w:tcPr>
            <w:tcW w:type="dxa" w:w="135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84</w:t>
            </w:r>
          </w:p>
        </w:tc>
        <w:tc>
          <w:tcPr>
            <w:tcW w:type="dxa" w:w="135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10,571</w:t>
            </w:r>
          </w:p>
        </w:tc>
        <w:tc>
          <w:tcPr>
            <w:tcW w:type="dxa" w:w="135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0.8</w:t>
            </w:r>
          </w:p>
        </w:tc>
        <w:tc>
          <w:tcPr>
            <w:tcW w:type="dxa" w:w="523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2021 earnings release (Form 8-K, Ex. 99) (prior-year column)</w:t>
            </w:r>
          </w:p>
        </w:tc>
      </w:tr>
      <w:tr>
        <w:tc>
          <w:tcPr>
            <w:tcW w:type="dxa" w:w="80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2021</w:t>
            </w:r>
          </w:p>
        </w:tc>
        <w:tc>
          <w:tcPr>
            <w:tcW w:type="dxa" w:w="135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1,750</w:t>
            </w:r>
          </w:p>
        </w:tc>
        <w:tc>
          <w:tcPr>
            <w:tcW w:type="dxa" w:w="135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13,857</w:t>
            </w:r>
          </w:p>
        </w:tc>
        <w:tc>
          <w:tcPr>
            <w:tcW w:type="dxa" w:w="135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12.6</w:t>
            </w:r>
          </w:p>
        </w:tc>
        <w:tc>
          <w:tcPr>
            <w:tcW w:type="dxa" w:w="523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2021 earnings release (Form 8-K, Ex. 99)</w:t>
            </w:r>
          </w:p>
        </w:tc>
      </w:tr>
      <w:tr>
        <w:tc>
          <w:tcPr>
            <w:tcW w:type="dxa" w:w="8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2022</w:t>
            </w:r>
          </w:p>
        </w:tc>
        <w:tc>
          <w:tcPr>
            <w:tcW w:type="dxa" w:w="135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3,462</w:t>
            </w:r>
          </w:p>
        </w:tc>
        <w:tc>
          <w:tcPr>
            <w:tcW w:type="dxa" w:w="135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20,773</w:t>
            </w:r>
          </w:p>
        </w:tc>
        <w:tc>
          <w:tcPr>
            <w:tcW w:type="dxa" w:w="135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16.7</w:t>
            </w:r>
          </w:p>
        </w:tc>
        <w:tc>
          <w:tcPr>
            <w:tcW w:type="dxa" w:w="523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2022 earnings release (Form 8-K, Ex. 99)</w:t>
            </w:r>
          </w:p>
        </w:tc>
      </w:tr>
      <w:tr>
        <w:tc>
          <w:tcPr>
            <w:tcW w:type="dxa" w:w="80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2023</w:t>
            </w:r>
          </w:p>
        </w:tc>
        <w:tc>
          <w:tcPr>
            <w:tcW w:type="dxa" w:w="135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3,864</w:t>
            </w:r>
          </w:p>
        </w:tc>
        <w:tc>
          <w:tcPr>
            <w:tcW w:type="dxa" w:w="135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23,713</w:t>
            </w:r>
          </w:p>
        </w:tc>
        <w:tc>
          <w:tcPr>
            <w:tcW w:type="dxa" w:w="135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16.3</w:t>
            </w:r>
          </w:p>
        </w:tc>
        <w:tc>
          <w:tcPr>
            <w:tcW w:type="dxa" w:w="523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2023 earnings release (Form 8-K, Ex. 99)</w:t>
            </w:r>
          </w:p>
        </w:tc>
      </w:tr>
      <w:tr>
        <w:tc>
          <w:tcPr>
            <w:tcW w:type="dxa" w:w="80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2024</w:t>
            </w:r>
          </w:p>
        </w:tc>
        <w:tc>
          <w:tcPr>
            <w:tcW w:type="dxa" w:w="135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3,767</w:t>
            </w:r>
          </w:p>
        </w:tc>
        <w:tc>
          <w:tcPr>
            <w:tcW w:type="dxa" w:w="135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25,100</w:t>
            </w:r>
          </w:p>
        </w:tc>
        <w:tc>
          <w:tcPr>
            <w:tcW w:type="dxa" w:w="135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center"/>
            </w:pPr>
            <w:r>
              <w:rPr>
                <w:rFonts w:ascii="Arial" w:cs="Arial" w:eastAsia="Arial" w:hAnsi="Arial"/>
                <w:sz w:val="18"/>
                <w:szCs w:val="18"/>
              </w:rPr>
              <w:t xml:space="preserve">15.0</w:t>
            </w:r>
          </w:p>
        </w:tc>
        <w:tc>
          <w:tcPr>
            <w:tcW w:type="dxa" w:w="5230"/>
            <w:tcBorders>
              <w:top w:val="single" w:color="DDD3CC" w:sz="4"/>
              <w:left w:val="single" w:color="DDD3CC" w:sz="4"/>
              <w:bottom w:val="single" w:color="DDD3CC" w:sz="4"/>
              <w:right w:val="single" w:color="DDD3CC" w:sz="4"/>
            </w:tcBorders>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2025 earnings release (Form 8-K, Ex. 99) (prior-year column)</w:t>
            </w:r>
          </w:p>
        </w:tc>
      </w:tr>
      <w:tr>
        <w:tc>
          <w:tcPr>
            <w:tcW w:type="dxa" w:w="80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2025</w:t>
            </w:r>
          </w:p>
        </w:tc>
        <w:tc>
          <w:tcPr>
            <w:tcW w:type="dxa" w:w="135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4,141</w:t>
            </w:r>
          </w:p>
        </w:tc>
        <w:tc>
          <w:tcPr>
            <w:tcW w:type="dxa" w:w="135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26,186</w:t>
            </w:r>
          </w:p>
        </w:tc>
        <w:tc>
          <w:tcPr>
            <w:tcW w:type="dxa" w:w="135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center"/>
            </w:pPr>
            <w:r>
              <w:rPr>
                <w:rFonts w:ascii="Arial" w:cs="Arial" w:eastAsia="Arial" w:hAnsi="Arial"/>
                <w:sz w:val="18"/>
                <w:szCs w:val="18"/>
              </w:rPr>
              <w:t xml:space="preserve">15.8</w:t>
            </w:r>
          </w:p>
        </w:tc>
        <w:tc>
          <w:tcPr>
            <w:tcW w:type="dxa" w:w="5230"/>
            <w:tcBorders>
              <w:top w:val="single" w:color="DDD3CC" w:sz="4"/>
              <w:left w:val="single" w:color="DDD3CC" w:sz="4"/>
              <w:bottom w:val="single" w:color="DDD3CC" w:sz="4"/>
              <w:right w:val="single" w:color="DDD3CC" w:sz="4"/>
            </w:tcBorders>
            <w:shd w:fill="F7F3F0" w:color="auto" w:val="clear"/>
            <w:tcMar>
              <w:top w:type="dxa" w:w="45"/>
              <w:left w:type="dxa" w:w="100"/>
              <w:bottom w:type="dxa" w:w="45"/>
              <w:right w:type="dxa" w:w="100"/>
            </w:tcMar>
            <w:vAlign w:val="center"/>
          </w:tcPr>
          <w:p>
            <w:pPr>
              <w:jc w:val="left"/>
            </w:pPr>
            <w:r>
              <w:rPr>
                <w:rFonts w:ascii="Arial" w:cs="Arial" w:eastAsia="Arial" w:hAnsi="Arial"/>
                <w:sz w:val="18"/>
                <w:szCs w:val="18"/>
              </w:rPr>
              <w:t xml:space="preserve">Marriott Q4 and full year 2025 earnings release (Form 8-K, Ex. 99)</w:t>
            </w:r>
          </w:p>
        </w:tc>
      </w:tr>
    </w:tbl>
    <w:p>
      <w:pPr>
        <w:spacing w:after="140" w:before="80"/>
      </w:pPr>
      <w:r>
        <w:rPr>
          <w:rFonts w:ascii="Arial" w:cs="Arial" w:eastAsia="Arial" w:hAnsi="Arial"/>
          <w:i/>
          <w:iCs/>
          <w:color w:val="5F5A57"/>
          <w:sz w:val="17"/>
          <w:szCs w:val="17"/>
        </w:rPr>
        <w:t xml:space="preserve">Operating income and total revenues are taken from the Consolidated Statements of Income – As Reported in each release; operating margin is calculated. Limitation: most reported revenue is reimbursement from hotel owners for costs Marriott passes through at almost no profit, which makes the reported margin look far lower than the margin on Marriott's fee business. Marriott's adjusted operating margin, which removes these reimbursements, was 62% in 2023 and 63% in 2024.</w:t>
      </w:r>
    </w:p>
    <w:p>
      <w:pPr>
        <w:pStyle w:val="Heading1"/>
        <w:spacing w:after="60" w:before="220"/>
      </w:pPr>
      <w:r>
        <w:rPr>
          <w:rFonts w:ascii="Arial" w:cs="Arial" w:eastAsia="Arial" w:hAnsi="Arial"/>
          <w:b/>
          <w:bCs/>
          <w:color w:val="2B2B2B"/>
          <w:sz w:val="30"/>
          <w:szCs w:val="30"/>
        </w:rPr>
        <w:t xml:space="preserve">Inflection Point: KPIs 5 and 6</w:t>
      </w:r>
    </w:p>
    <w:p>
      <w:pPr>
        <w:pBdr>
          <w:bottom w:val="single" w:color="A6192E" w:sz="6" w:space="6"/>
        </w:pBdr>
        <w:spacing w:after="160"/>
      </w:pPr>
      <w:r>
        <w:rPr>
          <w:rFonts w:ascii="Arial" w:cs="Arial" w:eastAsia="Arial" w:hAnsi="Arial"/>
          <w:i/>
          <w:iCs/>
          <w:color w:val="5F5A57"/>
          <w:sz w:val="21"/>
          <w:szCs w:val="21"/>
        </w:rPr>
        <w:t xml:space="preserve">Shared inflection point: ecosystem growth peaked as reported efficiency fell</w:t>
      </w:r>
    </w:p>
    <w:p>
      <w:pPr>
        <w:pStyle w:val="ListParagraph"/>
        <w:numPr>
          <w:ilvl w:val="0"/>
          <w:numId w:val="2"/>
        </w:numPr>
        <w:spacing w:after="70" w:line="264"/>
      </w:pPr>
      <w:r>
        <w:rPr>
          <w:rFonts w:ascii="Arial" w:cs="Arial" w:eastAsia="Arial" w:hAnsi="Arial"/>
          <w:b/>
          <w:bCs/>
          <w:color w:val="A6192E"/>
          <w:sz w:val="20"/>
          <w:szCs w:val="20"/>
        </w:rPr>
        <w:t xml:space="preserve">Time Period: </w:t>
      </w:r>
      <w:r>
        <w:rPr>
          <w:rFonts w:ascii="Arial" w:cs="Arial" w:eastAsia="Arial" w:hAnsi="Arial"/>
          <w:sz w:val="20"/>
          <w:szCs w:val="20"/>
        </w:rPr>
        <w:t xml:space="preserve">2023 to 2024.</w:t>
      </w:r>
    </w:p>
    <w:p>
      <w:pPr>
        <w:pStyle w:val="ListParagraph"/>
        <w:numPr>
          <w:ilvl w:val="0"/>
          <w:numId w:val="2"/>
        </w:numPr>
        <w:spacing w:after="70" w:line="264"/>
      </w:pPr>
      <w:r>
        <w:rPr>
          <w:rFonts w:ascii="Arial" w:cs="Arial" w:eastAsia="Arial" w:hAnsi="Arial"/>
          <w:b/>
          <w:bCs/>
          <w:color w:val="A6192E"/>
          <w:sz w:val="20"/>
          <w:szCs w:val="20"/>
        </w:rPr>
        <w:t xml:space="preserve">What Changed: </w:t>
      </w:r>
      <w:r>
        <w:rPr>
          <w:rFonts w:ascii="Arial" w:cs="Arial" w:eastAsia="Arial" w:hAnsi="Arial"/>
          <w:sz w:val="20"/>
          <w:szCs w:val="20"/>
        </w:rPr>
        <w:t xml:space="preserve">The two KPIs moved in opposite directions. Worldwide Room Growth accelerated from 4.7% in 2023 to 6.8% in 2024, adding roughly 109,000 net rooms, the fastest expansion in the period. In the same year, Operating Margin fell from 16.3% to 15.0%, its lowest level since 2021: reported operating income declined 3% to $3,767 million even though total revenues rose about 6%. In 2025 both reverted, with room growth slowing to just over 4.3% and margin recovering to 15.8%.</w:t>
      </w:r>
    </w:p>
    <w:p>
      <w:pPr>
        <w:pStyle w:val="ListParagraph"/>
        <w:numPr>
          <w:ilvl w:val="0"/>
          <w:numId w:val="2"/>
        </w:numPr>
        <w:spacing w:after="70" w:line="264"/>
      </w:pPr>
      <w:r>
        <w:rPr>
          <w:rFonts w:ascii="Arial" w:cs="Arial" w:eastAsia="Arial" w:hAnsi="Arial"/>
          <w:b/>
          <w:bCs/>
          <w:color w:val="A6192E"/>
          <w:sz w:val="20"/>
          <w:szCs w:val="20"/>
        </w:rPr>
        <w:t xml:space="preserve">Cause: </w:t>
      </w:r>
      <w:r>
        <w:rPr>
          <w:rFonts w:ascii="Arial" w:cs="Arial" w:eastAsia="Arial" w:hAnsi="Arial"/>
          <w:sz w:val="20"/>
          <w:szCs w:val="20"/>
        </w:rPr>
        <w:t xml:space="preserve">On the ecosystem side, Marriott reported record gross room additions of over 123,000, with conversions of existing hotels making up more than half; new offerings such as Four Points Flex and City Express by Marriott, and the MGM Collection with Marriott Bonvoy (12 properties, 26,210 rooms in the 2024 lodging table), widened the funnel, though Marriott does not break out each deal's contribution. On the efficiency side, costs that do not scale with fees rose faster than revenue: general, administrative, and other expenses grew to $1,074 million from $1,011 million, and restructuring and merger-related charges rose to $77 million from $60 million.</w:t>
      </w:r>
    </w:p>
    <w:p>
      <w:pPr>
        <w:pStyle w:val="ListParagraph"/>
        <w:numPr>
          <w:ilvl w:val="0"/>
          <w:numId w:val="2"/>
        </w:numPr>
        <w:spacing w:after="70" w:line="264"/>
      </w:pPr>
      <w:r>
        <w:rPr>
          <w:rFonts w:ascii="Arial" w:cs="Arial" w:eastAsia="Arial" w:hAnsi="Arial"/>
          <w:b/>
          <w:bCs/>
          <w:color w:val="A6192E"/>
          <w:sz w:val="20"/>
          <w:szCs w:val="20"/>
        </w:rPr>
        <w:t xml:space="preserve">What It Means: </w:t>
      </w:r>
      <w:r>
        <w:rPr>
          <w:rFonts w:ascii="Arial" w:cs="Arial" w:eastAsia="Arial" w:hAnsi="Arial"/>
          <w:sz w:val="20"/>
          <w:szCs w:val="20"/>
        </w:rPr>
        <w:t xml:space="preserve">Platform / Ecosystem Leverage was strong, since more hotel owners than ever joined Marriott's network, but Operational Leverage did not show up on a reported basis. The underlying fee business still gained efficiency: adjusted operating income grew 6% to $4,161 million and adjusted operating margin rose from 62% to 63%. The reported dip reflects overhead and one-time charges that grew alongside the expansion, not weaker hotel economics.</w:t>
      </w:r>
    </w:p>
    <w:p>
      <w:pPr>
        <w:pStyle w:val="Heading2"/>
        <w:spacing w:after="80" w:before="160"/>
      </w:pPr>
      <w:r>
        <w:rPr>
          <w:rFonts w:ascii="Arial" w:cs="Arial" w:eastAsia="Arial" w:hAnsi="Arial"/>
          <w:b/>
          <w:bCs/>
          <w:color w:val="A6192E"/>
          <w:sz w:val="24"/>
          <w:szCs w:val="24"/>
        </w:rPr>
        <w:t xml:space="preserve">Source Documents</w:t>
      </w:r>
    </w:p>
    <w:p>
      <w:pPr>
        <w:pStyle w:val="ListParagraph"/>
        <w:numPr>
          <w:ilvl w:val="0"/>
          <w:numId w:val="2"/>
        </w:numPr>
        <w:spacing w:after="30"/>
      </w:pPr>
      <w:hyperlink w:history="1" r:id="rIdur751v3xn6cih1vvzgqbm">
        <w:r>
          <w:rPr>
            <w:rFonts w:ascii="Arial" w:cs="Arial" w:eastAsia="Arial" w:hAnsi="Arial"/>
            <w:color w:val="A6192E"/>
            <w:sz w:val="19"/>
            <w:szCs w:val="19"/>
            <w:u w:val="single"/>
          </w:rPr>
          <w:t xml:space="preserve">Q4 and full year 2025 earnings release (SEC)</w:t>
        </w:r>
      </w:hyperlink>
    </w:p>
    <w:p>
      <w:pPr>
        <w:pStyle w:val="ListParagraph"/>
        <w:numPr>
          <w:ilvl w:val="0"/>
          <w:numId w:val="2"/>
        </w:numPr>
        <w:spacing w:after="30"/>
      </w:pPr>
      <w:hyperlink w:history="1" r:id="rId1idzqmvjff5kb8fwiq1l4">
        <w:r>
          <w:rPr>
            <w:rFonts w:ascii="Arial" w:cs="Arial" w:eastAsia="Arial" w:hAnsi="Arial"/>
            <w:color w:val="A6192E"/>
            <w:sz w:val="19"/>
            <w:szCs w:val="19"/>
            <w:u w:val="single"/>
          </w:rPr>
          <w:t xml:space="preserve">Q4 and full year 2024 earnings release (Marriott Investor Relations)</w:t>
        </w:r>
      </w:hyperlink>
    </w:p>
    <w:p>
      <w:pPr>
        <w:pStyle w:val="ListParagraph"/>
        <w:numPr>
          <w:ilvl w:val="0"/>
          <w:numId w:val="2"/>
        </w:numPr>
        <w:spacing w:after="30"/>
      </w:pPr>
      <w:hyperlink w:history="1" r:id="rId2utrdpqjda17pu6mwdmi2">
        <w:r>
          <w:rPr>
            <w:rFonts w:ascii="Arial" w:cs="Arial" w:eastAsia="Arial" w:hAnsi="Arial"/>
            <w:color w:val="A6192E"/>
            <w:sz w:val="19"/>
            <w:szCs w:val="19"/>
            <w:u w:val="single"/>
          </w:rPr>
          <w:t xml:space="preserve">Q4 and full year 2023 earnings release (SEC)</w:t>
        </w:r>
      </w:hyperlink>
    </w:p>
    <w:p>
      <w:pPr>
        <w:pStyle w:val="ListParagraph"/>
        <w:numPr>
          <w:ilvl w:val="0"/>
          <w:numId w:val="2"/>
        </w:numPr>
        <w:spacing w:after="30"/>
      </w:pPr>
      <w:hyperlink w:history="1" r:id="rIdy6uavnzy2tazhp5hkpvry">
        <w:r>
          <w:rPr>
            <w:rFonts w:ascii="Arial" w:cs="Arial" w:eastAsia="Arial" w:hAnsi="Arial"/>
            <w:color w:val="A6192E"/>
            <w:sz w:val="19"/>
            <w:szCs w:val="19"/>
            <w:u w:val="single"/>
          </w:rPr>
          <w:t xml:space="preserve">Q4 and full year 2022 earnings release (SEC)</w:t>
        </w:r>
      </w:hyperlink>
    </w:p>
    <w:p>
      <w:pPr>
        <w:pStyle w:val="ListParagraph"/>
        <w:numPr>
          <w:ilvl w:val="0"/>
          <w:numId w:val="2"/>
        </w:numPr>
        <w:spacing w:after="30"/>
      </w:pPr>
      <w:hyperlink w:history="1" r:id="rIdc3u5mnldhkkoq4h3d8pag">
        <w:r>
          <w:rPr>
            <w:rFonts w:ascii="Arial" w:cs="Arial" w:eastAsia="Arial" w:hAnsi="Arial"/>
            <w:color w:val="A6192E"/>
            <w:sz w:val="19"/>
            <w:szCs w:val="19"/>
            <w:u w:val="single"/>
          </w:rPr>
          <w:t xml:space="preserve">Q4 and full year 2021 earnings release (SEC)</w:t>
        </w:r>
      </w:hyperlink>
    </w:p>
    <w:p>
      <w:pPr>
        <w:pStyle w:val="ListParagraph"/>
        <w:numPr>
          <w:ilvl w:val="0"/>
          <w:numId w:val="2"/>
        </w:numPr>
        <w:spacing w:after="30"/>
      </w:pPr>
      <w:hyperlink w:history="1" r:id="rId0bcsbcnlo5f3hlpdnfzfg">
        <w:r>
          <w:rPr>
            <w:rFonts w:ascii="Arial" w:cs="Arial" w:eastAsia="Arial" w:hAnsi="Arial"/>
            <w:color w:val="A6192E"/>
            <w:sz w:val="19"/>
            <w:szCs w:val="19"/>
            <w:u w:val="single"/>
          </w:rPr>
          <w:t xml:space="preserve">Marriott Annual Reports and Form 10-K filings</w:t>
        </w:r>
      </w:hyperlink>
    </w:p>
    <w:sectPr>
      <w:footerReference w:type="default" r:id="rId7"/>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A57"/>
        <w:sz w:val="16"/>
        <w:szCs w:val="16"/>
      </w:rPr>
      <w:t xml:space="preserve">Marriott International — KPI Analysis   |   Page </w:t>
    </w:r>
    <w:r>
      <w:rPr>
        <w:rFonts w:ascii="Arial" w:cs="Arial" w:eastAsia="Arial" w:hAnsi="Arial"/>
        <w:color w:val="5F5A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B2B2B"/>
      <w:sz w:val="30"/>
      <w:szCs w:val="30"/>
    </w:rPr>
  </w:style>
  <w:style w:type="paragraph" w:styleId="Heading2">
    <w:name w:val="Heading 2"/>
    <w:basedOn w:val="Normal"/>
    <w:next w:val="Normal"/>
    <w:qFormat/>
    <w:pPr>
      <w:outlineLvl w:val="1"/>
    </w:pPr>
    <w:rPr>
      <w:rFonts w:ascii="Arial" w:cs="Arial" w:eastAsia="Arial" w:hAnsi="Arial"/>
      <w:b/>
      <w:bCs/>
      <w:color w:val="A619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r751v3xn6cih1vvzgqbm" Type="http://schemas.openxmlformats.org/officeDocument/2006/relationships/hyperlink" Target="https://www.sec.gov/Archives/edgar/data/1048286/000104828626000005/mar-2025q4xex99earningsrel.htm" TargetMode="External"/><Relationship Id="rId1idzqmvjff5kb8fwiq1l4" Type="http://schemas.openxmlformats.org/officeDocument/2006/relationships/hyperlink" Target="https://marriott.gcs-web.com/node/35736/pdf" TargetMode="External"/><Relationship Id="rId2utrdpqjda17pu6mwdmi2" Type="http://schemas.openxmlformats.org/officeDocument/2006/relationships/hyperlink" Target="https://www.sec.gov/Archives/edgar/data/1048286/000162828024004335/mar-2023q4xearningsrelease.htm" TargetMode="External"/><Relationship Id="rIdy6uavnzy2tazhp5hkpvry" Type="http://schemas.openxmlformats.org/officeDocument/2006/relationships/hyperlink" Target="https://www.sec.gov/Archives/edgar/data/1048286/000162828023003441/mar-2022q4earningsreleasee.htm" TargetMode="External"/><Relationship Id="rIdc3u5mnldhkkoq4h3d8pag" Type="http://schemas.openxmlformats.org/officeDocument/2006/relationships/hyperlink" Target="https://www.sec.gov/Archives/edgar/data/1048286/000162828022002652/mar-2021q4earningsreleasee.htm" TargetMode="External"/><Relationship Id="rId0bcsbcnlo5f3hlpdnfzfg" Type="http://schemas.openxmlformats.org/officeDocument/2006/relationships/hyperlink" Target="https://marriott.gcs-web.com/annua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2026-10-08T22:44:23.296Z</dcterms:created>
  <dcterms:modified xsi:type="dcterms:W3CDTF">2026-10-08T22:44:23.297Z</dcterms:modified>
</cp:coreProperties>
</file>

<file path=docProps/custom.xml><?xml version="1.0" encoding="utf-8"?>
<Properties xmlns="http://schemas.openxmlformats.org/officeDocument/2006/custom-properties" xmlns:vt="http://schemas.openxmlformats.org/officeDocument/2006/docPropsVTypes"/>
</file>