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Marriott International</w:t>
      </w:r>
    </w:p>
    <w:p>
      <w:pPr>
        <w:spacing w:after="60"/>
      </w:pPr>
      <w:r>
        <w:rPr>
          <w:rFonts w:ascii="Arial" w:cs="Arial" w:eastAsia="Arial" w:hAnsi="Arial"/>
          <w:color w:val="1F3864"/>
          <w:sz w:val="28"/>
          <w:szCs w:val="28"/>
        </w:rPr>
        <w:t xml:space="preserve">Digital Transformation KPI Analysis</w:t>
      </w:r>
    </w:p>
    <w:p>
      <w:pPr>
        <w:pBdr>
          <w:bottom w:val="single" w:color="1F3864" w:sz="12" w:space="8"/>
        </w:pBdr>
        <w:spacing w:after="240"/>
      </w:pPr>
      <w:r>
        <w:rPr>
          <w:rFonts w:ascii="Arial" w:cs="Arial" w:eastAsia="Arial" w:hAnsi="Arial"/>
          <w:color w:val="595959"/>
          <w:sz w:val="19"/>
          <w:szCs w:val="19"/>
        </w:rPr>
        <w:t xml:space="preserve">KPI 1: Marriott Bonvoy Membership   |   KPI 2: Direct Booking Percentage (proxy: Bonvoy member penetration of room nights)</w:t>
      </w:r>
    </w:p>
    <w:p>
      <w:pPr>
        <w:pStyle w:val="Heading1"/>
        <w:spacing w:after="80" w:before="120"/>
      </w:pPr>
      <w:r>
        <w:rPr>
          <w:rFonts w:ascii="Arial" w:cs="Arial" w:eastAsia="Arial" w:hAnsi="Arial"/>
          <w:b/>
          <w:bCs/>
          <w:color w:val="1F3864"/>
          <w:sz w:val="30"/>
          <w:szCs w:val="30"/>
        </w:rPr>
        <w:t xml:space="preserve">KPI 1: Marriott Bonvoy Membership</w:t>
      </w:r>
    </w:p>
    <w:p>
      <w:pPr>
        <w:pBdr>
          <w:bottom w:val="single" w:color="1F3864" w:sz="6" w:space="6"/>
        </w:pBdr>
        <w:spacing w:after="160"/>
      </w:pPr>
      <w:r>
        <w:rPr>
          <w:rFonts w:ascii="Arial" w:cs="Arial" w:eastAsia="Arial" w:hAnsi="Arial"/>
          <w:i/>
          <w:iCs/>
          <w:color w:val="595959"/>
          <w:sz w:val="21"/>
          <w:szCs w:val="21"/>
        </w:rPr>
        <w:t xml:space="preserve">Type: Leading Indicator (Platform / Ecosystem Leverage)</w:t>
      </w:r>
    </w:p>
    <w:p>
      <w:pPr>
        <w:pStyle w:val="Heading2"/>
        <w:spacing w:after="100" w:before="220"/>
      </w:pPr>
      <w:r>
        <w:rPr>
          <w:rFonts w:ascii="Arial" w:cs="Arial" w:eastAsia="Arial" w:hAnsi="Arial"/>
          <w:b/>
          <w:bCs/>
          <w:color w:val="1F3864"/>
          <w:sz w:val="24"/>
          <w:szCs w:val="24"/>
        </w:rPr>
        <w:t xml:space="preserve">KPI Rationale</w:t>
      </w:r>
      <w:r>
        <w:rPr>
          <w:rFonts w:ascii="Arial" w:cs="Arial" w:eastAsia="Arial" w:hAnsi="Arial"/>
          <w:color w:val="595959"/>
          <w:sz w:val="18"/>
          <w:szCs w:val="18"/>
        </w:rPr>
        <w:t xml:space="preserve">   Member A</w:t>
      </w:r>
    </w:p>
    <w:p>
      <w:pPr>
        <w:spacing w:after="140" w:line="288"/>
      </w:pPr>
      <w:r>
        <w:rPr>
          <w:rFonts w:ascii="Arial" w:cs="Arial" w:eastAsia="Arial" w:hAnsi="Arial"/>
          <w:sz w:val="21"/>
          <w:szCs w:val="21"/>
        </w:rPr>
        <w:t xml:space="preserve">Bonvoy membership is a leading indicator of Marriott’s platform and ecosystem leverage. Members are the demand side of the platform: each is a known customer reachable through the app, and partnerships such as MGM Resorts and co-branded credit cards extend the ecosystem and monetize it beyond room fees. Because the base is built before members book, it signals future demand. It measures reach, not conversion, which KPI 2 captures, and it complements Worldwide Room Growth (KPI 5), which tracks the supply side.</w:t>
      </w:r>
    </w:p>
    <w:p>
      <w:pPr>
        <w:pStyle w:val="Heading2"/>
        <w:spacing w:after="100" w:before="220"/>
      </w:pPr>
      <w:r>
        <w:rPr>
          <w:rFonts w:ascii="Arial" w:cs="Arial" w:eastAsia="Arial" w:hAnsi="Arial"/>
          <w:b/>
          <w:bCs/>
          <w:color w:val="1F3864"/>
          <w:sz w:val="24"/>
          <w:szCs w:val="24"/>
        </w:rPr>
        <w:t xml:space="preserve">Data Sourcing</w:t>
      </w:r>
      <w:r>
        <w:rPr>
          <w:rFonts w:ascii="Arial" w:cs="Arial" w:eastAsia="Arial" w:hAnsi="Arial"/>
          <w:color w:val="595959"/>
          <w:sz w:val="18"/>
          <w:szCs w:val="18"/>
        </w:rPr>
        <w:t xml:space="preserve">   Member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4560"/>
      </w:tblGrid>
      <w:tr>
        <w:trPr>
          <w:tblHeader/>
        </w:trPr>
        <w:tc>
          <w:tcPr>
            <w:tcW w:type="dxa" w:w="15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9"/>
                <w:szCs w:val="19"/>
              </w:rPr>
              <w:t xml:space="preserve">Period</w:t>
            </w:r>
          </w:p>
        </w:tc>
        <w:tc>
          <w:tcPr>
            <w:tcW w:type="dxa" w:w="16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Members (millions)</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Net adds (millions)</w:t>
            </w:r>
          </w:p>
        </w:tc>
        <w:tc>
          <w:tcPr>
            <w:tcW w:type="dxa" w:w="456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9"/>
                <w:szCs w:val="19"/>
              </w:rPr>
              <w:t xml:space="preserve">Source</w:t>
            </w:r>
          </w:p>
        </w:tc>
      </w:tr>
      <w:tr>
        <w:trPr>
          <w:cantSplit/>
        </w:trPr>
        <w:tc>
          <w:tcPr>
            <w:tcW w:type="dxa" w:w="15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YE 2020</w:t>
            </w:r>
          </w:p>
        </w:tc>
        <w:tc>
          <w:tcPr>
            <w:tcW w:type="dxa" w:w="16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147</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w:t>
            </w:r>
          </w:p>
        </w:tc>
        <w:tc>
          <w:tcPr>
            <w:tcW w:type="dxa" w:w="456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Marriott Q4 2020 earnings call (Feb 18, 2021)</w:t>
            </w:r>
          </w:p>
        </w:tc>
      </w:tr>
      <w:tr>
        <w:trPr>
          <w:cantSplit/>
        </w:trPr>
        <w:tc>
          <w:tcPr>
            <w:tcW w:type="dxa" w:w="15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YE 2021</w:t>
            </w:r>
          </w:p>
        </w:tc>
        <w:tc>
          <w:tcPr>
            <w:tcW w:type="dxa" w:w="16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160</w:t>
            </w:r>
          </w:p>
        </w:tc>
        <w:tc>
          <w:tcPr>
            <w:tcW w:type="dxa" w:w="17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+13</w:t>
            </w:r>
          </w:p>
        </w:tc>
        <w:tc>
          <w:tcPr>
            <w:tcW w:type="dxa" w:w="456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Marriott Q4 2021 earnings call (Feb 2022): “over 160 million”</w:t>
            </w:r>
          </w:p>
        </w:tc>
      </w:tr>
      <w:tr>
        <w:trPr>
          <w:cantSplit/>
        </w:trPr>
        <w:tc>
          <w:tcPr>
            <w:tcW w:type="dxa" w:w="15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YE 2022</w:t>
            </w:r>
          </w:p>
        </w:tc>
        <w:tc>
          <w:tcPr>
            <w:tcW w:type="dxa" w:w="16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177</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+17</w:t>
            </w:r>
          </w:p>
        </w:tc>
        <w:tc>
          <w:tcPr>
            <w:tcW w:type="dxa" w:w="456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Marriott 2022 Annual Report</w:t>
            </w:r>
          </w:p>
        </w:tc>
      </w:tr>
      <w:tr>
        <w:trPr>
          <w:cantSplit/>
        </w:trPr>
        <w:tc>
          <w:tcPr>
            <w:tcW w:type="dxa" w:w="15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YE 2023</w:t>
            </w:r>
          </w:p>
        </w:tc>
        <w:tc>
          <w:tcPr>
            <w:tcW w:type="dxa" w:w="16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196</w:t>
            </w:r>
          </w:p>
        </w:tc>
        <w:tc>
          <w:tcPr>
            <w:tcW w:type="dxa" w:w="17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+19</w:t>
            </w:r>
          </w:p>
        </w:tc>
        <w:tc>
          <w:tcPr>
            <w:tcW w:type="dxa" w:w="456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Marriott 2023 Annual Report; Q4 2023 earnings call (Feb 13, 2024)</w:t>
            </w:r>
          </w:p>
        </w:tc>
      </w:tr>
      <w:tr>
        <w:trPr>
          <w:cantSplit/>
        </w:trPr>
        <w:tc>
          <w:tcPr>
            <w:tcW w:type="dxa" w:w="15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YE 2024</w:t>
            </w:r>
          </w:p>
        </w:tc>
        <w:tc>
          <w:tcPr>
            <w:tcW w:type="dxa" w:w="16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228</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+32</w:t>
            </w:r>
          </w:p>
        </w:tc>
        <w:tc>
          <w:tcPr>
            <w:tcW w:type="dxa" w:w="456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Marriott Q4 2024 earnings call (Feb 11, 2025)</w:t>
            </w:r>
          </w:p>
        </w:tc>
      </w:tr>
      <w:tr>
        <w:trPr>
          <w:cantSplit/>
        </w:trPr>
        <w:tc>
          <w:tcPr>
            <w:tcW w:type="dxa" w:w="15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YE 2025</w:t>
            </w:r>
          </w:p>
        </w:tc>
        <w:tc>
          <w:tcPr>
            <w:tcW w:type="dxa" w:w="16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271</w:t>
            </w:r>
          </w:p>
        </w:tc>
        <w:tc>
          <w:tcPr>
            <w:tcW w:type="dxa" w:w="17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+43</w:t>
            </w:r>
          </w:p>
        </w:tc>
        <w:tc>
          <w:tcPr>
            <w:tcW w:type="dxa" w:w="456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Marriott Q4 2025 earnings release and call (Feb 2026)</w:t>
            </w:r>
          </w:p>
        </w:tc>
      </w:tr>
      <w:tr>
        <w:trPr>
          <w:cantSplit/>
        </w:trPr>
        <w:tc>
          <w:tcPr>
            <w:tcW w:type="dxa" w:w="15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Q2 2026 (latest)</w:t>
            </w:r>
          </w:p>
        </w:tc>
        <w:tc>
          <w:tcPr>
            <w:tcW w:type="dxa" w:w="16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295+</w:t>
            </w:r>
          </w:p>
        </w:tc>
        <w:tc>
          <w:tcPr>
            <w:tcW w:type="dxa" w:w="17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+24 vs. YE 2025</w:t>
            </w:r>
          </w:p>
        </w:tc>
        <w:tc>
          <w:tcPr>
            <w:tcW w:type="dxa" w:w="456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Marriott Q2 2026 earnings call (Aug 3, 2026): “more than 295 million”</w:t>
            </w:r>
          </w:p>
        </w:tc>
      </w:tr>
    </w:tbl>
    <w:p>
      <w:pPr>
        <w:spacing w:after="160" w:before="80"/>
      </w:pPr>
      <w:r>
        <w:rPr>
          <w:rFonts w:ascii="Arial" w:cs="Arial" w:eastAsia="Arial" w:hAnsi="Arial"/>
          <w:i/>
          <w:iCs/>
          <w:color w:val="595959"/>
          <w:sz w:val="18"/>
          <w:szCs w:val="18"/>
        </w:rPr>
        <w:t xml:space="preserve">Year-end figures are shown on a consistent basis, with the latest disclosed quarter added separately. Marriott reports “over 31 million” added in 2024 and about 43 million in 2025; the 32 million shown for 2024 and the 2021–2022 net adds are differences between rounded year-end totals.</w:t>
      </w:r>
    </w:p>
    <w:p>
      <w:pPr>
        <w:pStyle w:val="Heading2"/>
        <w:spacing w:after="100" w:before="220"/>
      </w:pPr>
      <w:r>
        <w:rPr>
          <w:rFonts w:ascii="Arial" w:cs="Arial" w:eastAsia="Arial" w:hAnsi="Arial"/>
          <w:b/>
          <w:bCs/>
          <w:color w:val="1F3864"/>
          <w:sz w:val="24"/>
          <w:szCs w:val="24"/>
        </w:rPr>
        <w:t xml:space="preserve">Inflection Point</w:t>
      </w:r>
      <w:r>
        <w:rPr>
          <w:rFonts w:ascii="Arial" w:cs="Arial" w:eastAsia="Arial" w:hAnsi="Arial"/>
          <w:color w:val="595959"/>
          <w:sz w:val="18"/>
          <w:szCs w:val="18"/>
        </w:rPr>
        <w:t xml:space="preserve">   Member B</w:t>
      </w:r>
    </w:p>
    <w:p>
      <w:pPr>
        <w:pStyle w:val="ListParagraph"/>
        <w:numPr>
          <w:ilvl w:val="0"/>
          <w:numId w:val="2"/>
        </w:numPr>
        <w:spacing w:after="100" w:line="288"/>
      </w:pPr>
      <w:r>
        <w:rPr>
          <w:rFonts w:ascii="Arial" w:cs="Arial" w:eastAsia="Arial" w:hAnsi="Arial"/>
          <w:b/>
          <w:bCs/>
          <w:color w:val="1F3864"/>
          <w:sz w:val="21"/>
          <w:szCs w:val="21"/>
        </w:rPr>
        <w:t xml:space="preserve">Time Period: </w:t>
      </w:r>
      <w:r>
        <w:rPr>
          <w:rFonts w:ascii="Arial" w:cs="Arial" w:eastAsia="Arial" w:hAnsi="Arial"/>
          <w:sz w:val="21"/>
          <w:szCs w:val="21"/>
        </w:rPr>
        <w:t xml:space="preserve">2023 to 2024, sustained through 2025.</w:t>
      </w:r>
    </w:p>
    <w:p>
      <w:pPr>
        <w:pStyle w:val="ListParagraph"/>
        <w:numPr>
          <w:ilvl w:val="0"/>
          <w:numId w:val="2"/>
        </w:numPr>
        <w:spacing w:after="100" w:line="288"/>
      </w:pPr>
      <w:r>
        <w:rPr>
          <w:rFonts w:ascii="Arial" w:cs="Arial" w:eastAsia="Arial" w:hAnsi="Arial"/>
          <w:b/>
          <w:bCs/>
          <w:color w:val="1F3864"/>
          <w:sz w:val="21"/>
          <w:szCs w:val="21"/>
        </w:rPr>
        <w:t xml:space="preserve">What Changed: </w:t>
      </w:r>
      <w:r>
        <w:rPr>
          <w:rFonts w:ascii="Arial" w:cs="Arial" w:eastAsia="Arial" w:hAnsi="Arial"/>
          <w:sz w:val="21"/>
          <w:szCs w:val="21"/>
        </w:rPr>
        <w:t xml:space="preserve">After adding roughly 13–19 million members a year in 2021–2023, Bonvoy added more than 31 million in 2024 and 43 million in 2025 (196 million to 271 million), lifting annual growth from about 11% in 2023 to 16% in 2024 and 19% in 2025; the first half of 2026 added about 24 million more.</w:t>
      </w:r>
    </w:p>
    <w:p>
      <w:pPr>
        <w:pStyle w:val="ListParagraph"/>
        <w:numPr>
          <w:ilvl w:val="0"/>
          <w:numId w:val="2"/>
        </w:numPr>
        <w:spacing w:after="100" w:line="288"/>
      </w:pPr>
      <w:r>
        <w:rPr>
          <w:rFonts w:ascii="Arial" w:cs="Arial" w:eastAsia="Arial" w:hAnsi="Arial"/>
          <w:b/>
          <w:bCs/>
          <w:color w:val="1F3864"/>
          <w:sz w:val="21"/>
          <w:szCs w:val="21"/>
        </w:rPr>
        <w:t xml:space="preserve">Cause: </w:t>
      </w:r>
      <w:r>
        <w:rPr>
          <w:rFonts w:ascii="Arial" w:cs="Arial" w:eastAsia="Arial" w:hAnsi="Arial"/>
          <w:sz w:val="21"/>
          <w:szCs w:val="21"/>
        </w:rPr>
        <w:t xml:space="preserve">The 2023 MGM Resorts licensing agreement (17 resorts, 40,000+ rooms, and account linking with MGM Rewards’ 40+ million members) created a major new on-ramp into Bonvoy, and partnerships such as Uber and Starbucks sustained the growth in 2025, though Marriott has not quantified MGM’s contribution.</w:t>
      </w:r>
    </w:p>
    <w:p>
      <w:pPr>
        <w:spacing w:after="120"/>
      </w:pPr>
    </w:p>
    <w:p>
      <w:pPr>
        <w:pStyle w:val="Heading1"/>
        <w:spacing w:after="80" w:before="120"/>
      </w:pPr>
      <w:r>
        <w:rPr>
          <w:rFonts w:ascii="Arial" w:cs="Arial" w:eastAsia="Arial" w:hAnsi="Arial"/>
          <w:b/>
          <w:bCs/>
          <w:color w:val="1F3864"/>
          <w:sz w:val="30"/>
          <w:szCs w:val="30"/>
        </w:rPr>
        <w:t xml:space="preserve">KPI 2: Direct Booking Percentage</w:t>
      </w:r>
    </w:p>
    <w:p>
      <w:pPr>
        <w:pBdr>
          <w:bottom w:val="single" w:color="1F3864" w:sz="6" w:space="6"/>
        </w:pBdr>
        <w:spacing w:after="160"/>
      </w:pPr>
      <w:r>
        <w:rPr>
          <w:rFonts w:ascii="Arial" w:cs="Arial" w:eastAsia="Arial" w:hAnsi="Arial"/>
          <w:i/>
          <w:iCs/>
          <w:color w:val="595959"/>
          <w:sz w:val="21"/>
          <w:szCs w:val="21"/>
        </w:rPr>
        <w:t xml:space="preserve">Type: Lagging Indicator (Revenue Model Shift)   |   Measured via proxy: Bonvoy member penetration of room nights</w:t>
      </w:r>
    </w:p>
    <w:p>
      <w:pPr>
        <w:pStyle w:val="Heading2"/>
        <w:spacing w:after="100" w:before="220"/>
      </w:pPr>
      <w:r>
        <w:rPr>
          <w:rFonts w:ascii="Arial" w:cs="Arial" w:eastAsia="Arial" w:hAnsi="Arial"/>
          <w:b/>
          <w:bCs/>
          <w:color w:val="1F3864"/>
          <w:sz w:val="24"/>
          <w:szCs w:val="24"/>
        </w:rPr>
        <w:t xml:space="preserve">KPI Rationale</w:t>
      </w:r>
      <w:r>
        <w:rPr>
          <w:rFonts w:ascii="Arial" w:cs="Arial" w:eastAsia="Arial" w:hAnsi="Arial"/>
          <w:color w:val="595959"/>
          <w:sz w:val="18"/>
          <w:szCs w:val="18"/>
        </w:rPr>
        <w:t xml:space="preserve">   Member A</w:t>
      </w:r>
    </w:p>
    <w:p>
      <w:pPr>
        <w:spacing w:after="140" w:line="288"/>
      </w:pPr>
      <w:r>
        <w:rPr>
          <w:rFonts w:ascii="Arial" w:cs="Arial" w:eastAsia="Arial" w:hAnsi="Arial"/>
          <w:sz w:val="21"/>
          <w:szCs w:val="21"/>
        </w:rPr>
        <w:t xml:space="preserve">Direct Booking Percentage is a lagging indicator of Marriott’s revenue model shift from intermediated to direct channels. Marriott does not report one consistent direct-versus-OTA share, so we use Bonvoy member penetration of room nights as a proxy: member rates are tied to Marriott’s own channels, so a rising share of member room nights indicates revenue moving away from OTAs. Where KPI 1 counts members, this KPI shows whether they are actually shifting demand to Marriott.</w:t>
      </w:r>
    </w:p>
    <w:p>
      <w:pPr>
        <w:pStyle w:val="Heading2"/>
        <w:spacing w:after="100" w:before="220"/>
      </w:pPr>
      <w:r>
        <w:rPr>
          <w:rFonts w:ascii="Arial" w:cs="Arial" w:eastAsia="Arial" w:hAnsi="Arial"/>
          <w:b/>
          <w:bCs/>
          <w:color w:val="1F3864"/>
          <w:sz w:val="24"/>
          <w:szCs w:val="24"/>
        </w:rPr>
        <w:t xml:space="preserve">Data Sourcing &amp; Estimation Protocol</w:t>
      </w:r>
      <w:r>
        <w:rPr>
          <w:rFonts w:ascii="Arial" w:cs="Arial" w:eastAsia="Arial" w:hAnsi="Arial"/>
          <w:color w:val="595959"/>
          <w:sz w:val="18"/>
          <w:szCs w:val="18"/>
        </w:rPr>
        <w:t xml:space="preserve">   Member B</w:t>
      </w:r>
    </w:p>
    <w:p>
      <w:pPr>
        <w:spacing w:after="140" w:line="288"/>
      </w:pPr>
      <w:r>
        <w:rPr>
          <w:rFonts w:ascii="Arial" w:cs="Arial" w:eastAsia="Arial" w:hAnsi="Arial"/>
          <w:b/>
          <w:bCs/>
          <w:color w:val="1F3864"/>
          <w:sz w:val="21"/>
          <w:szCs w:val="21"/>
        </w:rPr>
        <w:t xml:space="preserve">Estimation Protocol: </w:t>
      </w:r>
      <w:r>
        <w:rPr>
          <w:rFonts w:ascii="Arial" w:cs="Arial" w:eastAsia="Arial" w:hAnsi="Arial"/>
          <w:sz w:val="21"/>
          <w:szCs w:val="21"/>
        </w:rPr>
        <w:t xml:space="preserve">Marriott does not report a single, consistent direct-versus-OTA share in its SEC filings, so Bonvoy member penetration of room nights (the share of global room nights booked by members) serves as the primary, publicly disclosed proxy and should be labeled as a proxy on the dashboard. Member rates and benefits are tied to Marriott’s own channels, so rising penetration is consistent with growing direct engagement. Limitation: it counts member bookings through any channel (including group, reservation centers and corporate bookings), so it indicates direct-channel success rather than measuring it exactly. The series uses full-year figures throughout for a consistent window; Table 2 cross-checks it against the direct-digital and OTA shares Marriott has disclosed.</w:t>
      </w:r>
    </w:p>
    <w:p>
      <w:pPr>
        <w:keepNext/>
        <w:spacing w:after="80" w:before="120"/>
      </w:pPr>
      <w:r>
        <w:rPr>
          <w:rFonts w:ascii="Arial" w:cs="Arial" w:eastAsia="Arial" w:hAnsi="Arial"/>
          <w:b/>
          <w:bCs/>
          <w:sz w:val="19"/>
          <w:szCs w:val="19"/>
        </w:rPr>
        <w:t xml:space="preserve">Table 1: Bonvoy member penetration of room nights (full-year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800"/>
        <w:gridCol w:w="5260"/>
      </w:tblGrid>
      <w:tr>
        <w:trPr>
          <w:tblHeader/>
        </w:trPr>
        <w:tc>
          <w:tcPr>
            <w:tcW w:type="dxa" w:w="11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Year</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Global</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U.S. &amp; Canada</w:t>
            </w:r>
          </w:p>
        </w:tc>
        <w:tc>
          <w:tcPr>
            <w:tcW w:type="dxa" w:w="526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9"/>
                <w:szCs w:val="19"/>
              </w:rPr>
              <w:t xml:space="preserve">Source</w:t>
            </w:r>
          </w:p>
        </w:tc>
      </w:tr>
      <w:tr>
        <w:trPr>
          <w:cantSplit/>
        </w:trPr>
        <w:tc>
          <w:tcPr>
            <w:tcW w:type="dxa" w:w="11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2019</w:t>
            </w:r>
          </w:p>
        </w:tc>
        <w:tc>
          <w:tcPr>
            <w:tcW w:type="dxa" w:w="12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52%</w:t>
            </w:r>
          </w:p>
        </w:tc>
        <w:tc>
          <w:tcPr>
            <w:tcW w:type="dxa" w:w="1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58% (North America)</w:t>
            </w:r>
          </w:p>
        </w:tc>
        <w:tc>
          <w:tcPr>
            <w:tcW w:type="dxa" w:w="526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Marriott Q4 2019 earnings call (Feb 27, 2020); 2019 Form 10-K: “over 50 percent”</w:t>
            </w:r>
          </w:p>
        </w:tc>
      </w:tr>
      <w:tr>
        <w:trPr>
          <w:cantSplit/>
        </w:trPr>
        <w:tc>
          <w:tcPr>
            <w:tcW w:type="dxa" w:w="11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2023</w:t>
            </w:r>
          </w:p>
        </w:tc>
        <w:tc>
          <w:tcPr>
            <w:tcW w:type="dxa" w:w="12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61%</w:t>
            </w:r>
          </w:p>
        </w:tc>
        <w:tc>
          <w:tcPr>
            <w:tcW w:type="dxa" w:w="18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68%</w:t>
            </w:r>
          </w:p>
        </w:tc>
        <w:tc>
          <w:tcPr>
            <w:tcW w:type="dxa" w:w="526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Marriott 2023 Annual Report</w:t>
            </w:r>
          </w:p>
        </w:tc>
      </w:tr>
      <w:tr>
        <w:trPr>
          <w:cantSplit/>
        </w:trPr>
        <w:tc>
          <w:tcPr>
            <w:tcW w:type="dxa" w:w="11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2024</w:t>
            </w:r>
          </w:p>
        </w:tc>
        <w:tc>
          <w:tcPr>
            <w:tcW w:type="dxa" w:w="12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65%</w:t>
            </w:r>
          </w:p>
        </w:tc>
        <w:tc>
          <w:tcPr>
            <w:tcW w:type="dxa" w:w="18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w:t>
            </w:r>
          </w:p>
        </w:tc>
        <w:tc>
          <w:tcPr>
            <w:tcW w:type="dxa" w:w="526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Marriott 2024 Form 10-K (filed Feb 2025)</w:t>
            </w:r>
          </w:p>
        </w:tc>
      </w:tr>
      <w:tr>
        <w:trPr>
          <w:cantSplit/>
        </w:trPr>
        <w:tc>
          <w:tcPr>
            <w:tcW w:type="dxa" w:w="11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2025</w:t>
            </w:r>
          </w:p>
        </w:tc>
        <w:tc>
          <w:tcPr>
            <w:tcW w:type="dxa" w:w="12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68%</w:t>
            </w:r>
          </w:p>
        </w:tc>
        <w:tc>
          <w:tcPr>
            <w:tcW w:type="dxa" w:w="18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75%</w:t>
            </w:r>
          </w:p>
        </w:tc>
        <w:tc>
          <w:tcPr>
            <w:tcW w:type="dxa" w:w="526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Marriott Q4 2025 earnings release and 2025 Form 10-K (Feb 2026)</w:t>
            </w:r>
          </w:p>
        </w:tc>
      </w:tr>
    </w:tbl>
    <w:p>
      <w:pPr>
        <w:spacing w:after="160" w:before="80"/>
      </w:pPr>
      <w:r>
        <w:rPr>
          <w:rFonts w:ascii="Arial" w:cs="Arial" w:eastAsia="Arial" w:hAnsi="Arial"/>
          <w:i/>
          <w:iCs/>
          <w:color w:val="595959"/>
          <w:sz w:val="18"/>
          <w:szCs w:val="18"/>
        </w:rPr>
        <w:t xml:space="preserve">2020–2022 are not shown because Marriott disclosed full-year penetration only as thresholds (about 50% in 2020, over half in 2022). U.S. &amp; Canada penetration reached a record 73% in Q4 2024; the full-year 2024 figure for that region was not found in the sources reviewed.</w:t>
      </w:r>
    </w:p>
    <w:p>
      <w:pPr>
        <w:keepNext/>
        <w:spacing w:after="80" w:before="240"/>
      </w:pPr>
      <w:r>
        <w:rPr>
          <w:rFonts w:ascii="Arial" w:cs="Arial" w:eastAsia="Arial" w:hAnsi="Arial"/>
          <w:b/>
          <w:bCs/>
          <w:sz w:val="19"/>
          <w:szCs w:val="19"/>
        </w:rPr>
        <w:t xml:space="preserve">Table 2: Cross-check, direct-channel shares disclosed by Marriott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900"/>
        <w:gridCol w:w="3860"/>
      </w:tblGrid>
      <w:tr>
        <w:trPr>
          <w:tblHeader/>
        </w:trPr>
        <w:tc>
          <w:tcPr>
            <w:tcW w:type="dxa" w:w="15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9"/>
                <w:szCs w:val="19"/>
              </w:rPr>
              <w:t xml:space="preserve">Period</w:t>
            </w:r>
          </w:p>
        </w:tc>
        <w:tc>
          <w:tcPr>
            <w:tcW w:type="dxa" w:w="21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Direct digital share</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OTA share</w:t>
            </w:r>
          </w:p>
        </w:tc>
        <w:tc>
          <w:tcPr>
            <w:tcW w:type="dxa" w:w="3860"/>
            <w:tcBorders>
              <w:top w:val="single" w:color="BFC7D5" w:sz="4"/>
              <w:left w:val="single" w:color="BFC7D5" w:sz="4"/>
              <w:bottom w:val="single" w:color="BFC7D5" w:sz="4"/>
              <w:right w:val="single" w:color="BFC7D5" w:sz="4"/>
            </w:tcBorders>
            <w:shd w:fill="1F3864" w:color="auto" w:val="clear"/>
            <w:tcMar>
              <w:top w:type="dxa" w:w="70"/>
              <w:left w:type="dxa" w:w="110"/>
              <w:bottom w:type="dxa" w:w="70"/>
              <w:right w:type="dxa" w:w="110"/>
            </w:tcMar>
            <w:vAlign w:val="center"/>
          </w:tcPr>
          <w:p>
            <w:pPr>
              <w:jc w:val="left"/>
            </w:pPr>
            <w:r>
              <w:rPr>
                <w:rFonts w:ascii="Arial" w:cs="Arial" w:eastAsia="Arial" w:hAnsi="Arial"/>
                <w:b/>
                <w:bCs/>
                <w:color w:val="FFFFFF"/>
                <w:sz w:val="19"/>
                <w:szCs w:val="19"/>
              </w:rPr>
              <w:t xml:space="preserve">Source</w:t>
            </w:r>
          </w:p>
        </w:tc>
      </w:tr>
      <w:tr>
        <w:trPr>
          <w:cantSplit/>
        </w:trPr>
        <w:tc>
          <w:tcPr>
            <w:tcW w:type="dxa" w:w="15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2018</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28% of room nights</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Flat year over year</w:t>
            </w:r>
          </w:p>
        </w:tc>
        <w:tc>
          <w:tcPr>
            <w:tcW w:type="dxa" w:w="386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Marriott Q4 2018 earnings call</w:t>
            </w:r>
          </w:p>
        </w:tc>
      </w:tr>
      <w:tr>
        <w:trPr>
          <w:cantSplit/>
        </w:trPr>
        <w:tc>
          <w:tcPr>
            <w:tcW w:type="dxa" w:w="15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2019</w:t>
            </w:r>
          </w:p>
        </w:tc>
        <w:tc>
          <w:tcPr>
            <w:tcW w:type="dxa" w:w="21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About one-third</w:t>
            </w:r>
          </w:p>
        </w:tc>
        <w:tc>
          <w:tcPr>
            <w:tcW w:type="dxa" w:w="190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center"/>
            </w:pPr>
            <w:r>
              <w:rPr>
                <w:rFonts w:ascii="Arial" w:cs="Arial" w:eastAsia="Arial" w:hAnsi="Arial"/>
                <w:sz w:val="19"/>
                <w:szCs w:val="19"/>
              </w:rPr>
              <w:t xml:space="preserve">Declined year over year</w:t>
            </w:r>
          </w:p>
        </w:tc>
        <w:tc>
          <w:tcPr>
            <w:tcW w:type="dxa" w:w="3860"/>
            <w:tcBorders>
              <w:top w:val="single" w:color="BFC7D5" w:sz="4"/>
              <w:left w:val="single" w:color="BFC7D5" w:sz="4"/>
              <w:bottom w:val="single" w:color="BFC7D5" w:sz="4"/>
              <w:right w:val="single" w:color="BFC7D5" w:sz="4"/>
            </w:tcBorders>
            <w:shd w:fill="F2F5FA" w:color="auto" w:val="clear"/>
            <w:tcMar>
              <w:top w:type="dxa" w:w="70"/>
              <w:left w:type="dxa" w:w="110"/>
              <w:bottom w:type="dxa" w:w="70"/>
              <w:right w:type="dxa" w:w="110"/>
            </w:tcMar>
            <w:vAlign w:val="center"/>
          </w:tcPr>
          <w:p>
            <w:pPr>
              <w:jc w:val="left"/>
            </w:pPr>
            <w:r>
              <w:rPr>
                <w:rFonts w:ascii="Arial" w:cs="Arial" w:eastAsia="Arial" w:hAnsi="Arial"/>
                <w:sz w:val="19"/>
                <w:szCs w:val="19"/>
              </w:rPr>
              <w:t xml:space="preserve">Marriott Q4 2019 earnings call</w:t>
            </w:r>
          </w:p>
        </w:tc>
      </w:tr>
      <w:tr>
        <w:trPr>
          <w:cantSplit/>
        </w:trPr>
        <w:tc>
          <w:tcPr>
            <w:tcW w:type="dxa" w:w="15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Q3 2022</w:t>
            </w:r>
          </w:p>
        </w:tc>
        <w:tc>
          <w:tcPr>
            <w:tcW w:type="dxa" w:w="21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38%</w:t>
            </w:r>
          </w:p>
        </w:tc>
        <w:tc>
          <w:tcPr>
            <w:tcW w:type="dxa" w:w="190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center"/>
            </w:pPr>
            <w:r>
              <w:rPr>
                <w:rFonts w:ascii="Arial" w:cs="Arial" w:eastAsia="Arial" w:hAnsi="Arial"/>
                <w:sz w:val="19"/>
                <w:szCs w:val="19"/>
              </w:rPr>
              <w:t xml:space="preserve">12%</w:t>
            </w:r>
          </w:p>
        </w:tc>
        <w:tc>
          <w:tcPr>
            <w:tcW w:type="dxa" w:w="3860"/>
            <w:tcBorders>
              <w:top w:val="single" w:color="BFC7D5" w:sz="4"/>
              <w:left w:val="single" w:color="BFC7D5" w:sz="4"/>
              <w:bottom w:val="single" w:color="BFC7D5" w:sz="4"/>
              <w:right w:val="single" w:color="BFC7D5" w:sz="4"/>
            </w:tcBorders>
            <w:tcMar>
              <w:top w:type="dxa" w:w="70"/>
              <w:left w:type="dxa" w:w="110"/>
              <w:bottom w:type="dxa" w:w="70"/>
              <w:right w:type="dxa" w:w="110"/>
            </w:tcMar>
            <w:vAlign w:val="center"/>
          </w:tcPr>
          <w:p>
            <w:pPr>
              <w:jc w:val="left"/>
            </w:pPr>
            <w:r>
              <w:rPr>
                <w:rFonts w:ascii="Arial" w:cs="Arial" w:eastAsia="Arial" w:hAnsi="Arial"/>
                <w:sz w:val="19"/>
                <w:szCs w:val="19"/>
              </w:rPr>
              <w:t xml:space="preserve">Marriott Q3 2022 earnings call</w:t>
            </w:r>
          </w:p>
        </w:tc>
      </w:tr>
    </w:tbl>
    <w:p>
      <w:pPr>
        <w:spacing w:after="160" w:before="80"/>
      </w:pPr>
      <w:r>
        <w:rPr>
          <w:rFonts w:ascii="Arial" w:cs="Arial" w:eastAsia="Arial" w:hAnsi="Arial"/>
          <w:i/>
          <w:iCs/>
          <w:color w:val="595959"/>
          <w:sz w:val="18"/>
          <w:szCs w:val="18"/>
        </w:rPr>
        <w:t xml:space="preserve">Marriott has not published a direct-digital or OTA share in the 2023–2026 disclosures reviewed (through the Q2 2026 call), which is why member penetration is the primary proxy for the inflection period. Digital channel adoption is tracked separately as KPI 3 (Digital Booking Adoption); these figures appear here only as a cross-check.</w:t>
      </w:r>
    </w:p>
    <w:p>
      <w:pPr>
        <w:pStyle w:val="Heading2"/>
        <w:spacing w:after="100" w:before="220"/>
      </w:pPr>
      <w:r>
        <w:rPr>
          <w:rFonts w:ascii="Arial" w:cs="Arial" w:eastAsia="Arial" w:hAnsi="Arial"/>
          <w:b/>
          <w:bCs/>
          <w:color w:val="1F3864"/>
          <w:sz w:val="24"/>
          <w:szCs w:val="24"/>
        </w:rPr>
        <w:t xml:space="preserve">Inflection Point</w:t>
      </w:r>
      <w:r>
        <w:rPr>
          <w:rFonts w:ascii="Arial" w:cs="Arial" w:eastAsia="Arial" w:hAnsi="Arial"/>
          <w:color w:val="595959"/>
          <w:sz w:val="18"/>
          <w:szCs w:val="18"/>
        </w:rPr>
        <w:t xml:space="preserve">   Member B</w:t>
      </w:r>
    </w:p>
    <w:p>
      <w:pPr>
        <w:pStyle w:val="ListParagraph"/>
        <w:numPr>
          <w:ilvl w:val="0"/>
          <w:numId w:val="2"/>
        </w:numPr>
        <w:spacing w:after="100" w:line="288"/>
      </w:pPr>
      <w:r>
        <w:rPr>
          <w:rFonts w:ascii="Arial" w:cs="Arial" w:eastAsia="Arial" w:hAnsi="Arial"/>
          <w:b/>
          <w:bCs/>
          <w:color w:val="1F3864"/>
          <w:sz w:val="21"/>
          <w:szCs w:val="21"/>
        </w:rPr>
        <w:t xml:space="preserve">Time Period: </w:t>
      </w:r>
      <w:r>
        <w:rPr>
          <w:rFonts w:ascii="Arial" w:cs="Arial" w:eastAsia="Arial" w:hAnsi="Arial"/>
          <w:sz w:val="21"/>
          <w:szCs w:val="21"/>
        </w:rPr>
        <w:t xml:space="preserve">2023 to 2025, with the largest step in 2024.</w:t>
      </w:r>
    </w:p>
    <w:p>
      <w:pPr>
        <w:pStyle w:val="ListParagraph"/>
        <w:numPr>
          <w:ilvl w:val="0"/>
          <w:numId w:val="2"/>
        </w:numPr>
        <w:spacing w:after="100" w:line="288"/>
      </w:pPr>
      <w:r>
        <w:rPr>
          <w:rFonts w:ascii="Arial" w:cs="Arial" w:eastAsia="Arial" w:hAnsi="Arial"/>
          <w:b/>
          <w:bCs/>
          <w:color w:val="1F3864"/>
          <w:sz w:val="21"/>
          <w:szCs w:val="21"/>
        </w:rPr>
        <w:t xml:space="preserve">What Changed: </w:t>
      </w:r>
      <w:r>
        <w:rPr>
          <w:rFonts w:ascii="Arial" w:cs="Arial" w:eastAsia="Arial" w:hAnsi="Arial"/>
          <w:sz w:val="21"/>
          <w:szCs w:val="21"/>
        </w:rPr>
        <w:t xml:space="preserve">Global penetration rose from 61% in 2023 to 65% in 2024 (+400 basis points) and 68% in 2025, versus roughly +2 points a year from 2019 (52%) to 2023; U.S. &amp; Canada reached 75% in 2025, up from 68% in 2023.</w:t>
      </w:r>
    </w:p>
    <w:p>
      <w:pPr>
        <w:pStyle w:val="ListParagraph"/>
        <w:numPr>
          <w:ilvl w:val="0"/>
          <w:numId w:val="2"/>
        </w:numPr>
        <w:spacing w:after="100" w:line="288"/>
      </w:pPr>
      <w:r>
        <w:rPr>
          <w:rFonts w:ascii="Arial" w:cs="Arial" w:eastAsia="Arial" w:hAnsi="Arial"/>
          <w:b/>
          <w:bCs/>
          <w:color w:val="1F3864"/>
          <w:sz w:val="21"/>
          <w:szCs w:val="21"/>
        </w:rPr>
        <w:t xml:space="preserve">Cause: </w:t>
      </w:r>
      <w:r>
        <w:rPr>
          <w:rFonts w:ascii="Arial" w:cs="Arial" w:eastAsia="Arial" w:hAnsi="Arial"/>
          <w:sz w:val="21"/>
          <w:szCs w:val="21"/>
        </w:rPr>
        <w:t xml:space="preserve">Membership growth (196 million to 271 million), deeper app adoption (app room nights up 22% in 2023, downloads up nearly 30% in 2024) and a larger co-branded card program (31 cards at year-end 2023, 34 at year-end 2025, both in 11 countries) lifted the share of demand coming from members, although Marriott does not attribute the gain to any single factor.</w:t>
      </w:r>
    </w:p>
    <w:p>
      <w:pPr>
        <w:spacing w:after="120"/>
      </w:pP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Marriott International — KPI Analysis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Marriott International Digital Transformation KPI Analysis</dc:title>
  <dc:creator>Claude</dc:creator>
  <cp:lastModifiedBy>Un-named</cp:lastModifiedBy>
  <cp:revision>1</cp:revision>
  <dcterms:created xsi:type="dcterms:W3CDTF">2026-10-08T22:50:47.132Z</dcterms:created>
  <dcterms:modified xsi:type="dcterms:W3CDTF">2026-10-08T22:50:47.133Z</dcterms:modified>
</cp:coreProperties>
</file>

<file path=docProps/custom.xml><?xml version="1.0" encoding="utf-8"?>
<Properties xmlns="http://schemas.openxmlformats.org/officeDocument/2006/custom-properties" xmlns:vt="http://schemas.openxmlformats.org/officeDocument/2006/docPropsVTypes"/>
</file>