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Poppins" w:cs="Poppins" w:eastAsia="Poppins" w:hAnsi="Poppins"/>
          <w:color w:val="434343"/>
          <w:sz w:val="2"/>
          <w:szCs w:val="2"/>
        </w:rPr>
      </w:pPr>
      <w:r w:rsidDel="00000000" w:rsidR="00000000" w:rsidRPr="00000000">
        <w:rPr>
          <w:rtl w:val="0"/>
        </w:rPr>
      </w:r>
    </w:p>
    <w:tbl>
      <w:tblPr>
        <w:tblStyle w:val="Table1"/>
        <w:tblW w:w="1154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5420"/>
        <w:tblGridChange w:id="0">
          <w:tblGrid>
            <w:gridCol w:w="6120"/>
            <w:gridCol w:w="5420"/>
          </w:tblGrid>
        </w:tblGridChange>
      </w:tblGrid>
      <w:tr>
        <w:trPr>
          <w:cantSplit w:val="0"/>
          <w:tblHeader w:val="0"/>
        </w:trPr>
        <w:tc>
          <w:tcPr>
            <w:tcBorders>
              <w:top w:color="db3c07" w:space="0" w:sz="8" w:val="single"/>
              <w:left w:color="db3c07" w:space="0" w:sz="8" w:val="single"/>
              <w:bottom w:color="db3c07" w:space="0" w:sz="8" w:val="single"/>
              <w:right w:color="db3c07" w:space="0" w:sz="8" w:val="single"/>
            </w:tcBorders>
            <w:shd w:fill="db3c07" w:val="clear"/>
            <w:tcMar>
              <w:top w:w="0.0" w:type="dxa"/>
              <w:left w:w="0.0" w:type="dxa"/>
              <w:bottom w:w="0.0" w:type="dxa"/>
              <w:right w:w="0.0" w:type="dxa"/>
            </w:tcMar>
            <w:vAlign w:val="top"/>
          </w:tcPr>
          <w:p w:rsidR="00000000" w:rsidDel="00000000" w:rsidP="00000000" w:rsidRDefault="00000000" w:rsidRPr="00000000" w14:paraId="00000002">
            <w:pPr>
              <w:spacing w:line="240" w:lineRule="auto"/>
              <w:rPr>
                <w:rFonts w:ascii="Poppins" w:cs="Poppins" w:eastAsia="Poppins" w:hAnsi="Poppins"/>
                <w:color w:val="434343"/>
                <w:sz w:val="18"/>
                <w:szCs w:val="18"/>
              </w:rPr>
            </w:pPr>
            <w:r w:rsidDel="00000000" w:rsidR="00000000" w:rsidRPr="00000000">
              <w:rPr>
                <w:rFonts w:ascii="Poppins" w:cs="Poppins" w:eastAsia="Poppins" w:hAnsi="Poppins"/>
                <w:color w:val="434343"/>
                <w:sz w:val="6"/>
                <w:szCs w:val="6"/>
                <w:rtl w:val="0"/>
              </w:rPr>
              <w:t xml:space="preserve">                            </w:t>
            </w:r>
            <w:r w:rsidDel="00000000" w:rsidR="00000000" w:rsidRPr="00000000">
              <w:rPr>
                <w:rFonts w:ascii="Poppins" w:cs="Poppins" w:eastAsia="Poppins" w:hAnsi="Poppins"/>
                <w:color w:val="434343"/>
                <w:sz w:val="6"/>
                <w:szCs w:val="6"/>
              </w:rPr>
              <w:drawing>
                <wp:inline distB="114300" distT="114300" distL="114300" distR="114300">
                  <wp:extent cx="1938338" cy="8062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8338" cy="806283"/>
                          </a:xfrm>
                          <a:prstGeom prst="rect"/>
                          <a:ln/>
                        </pic:spPr>
                      </pic:pic>
                    </a:graphicData>
                  </a:graphic>
                </wp:inline>
              </w:drawing>
            </w:r>
            <w:r w:rsidDel="00000000" w:rsidR="00000000" w:rsidRPr="00000000">
              <w:rPr>
                <w:rtl w:val="0"/>
              </w:rPr>
            </w:r>
          </w:p>
        </w:tc>
        <w:tc>
          <w:tcPr>
            <w:tcBorders>
              <w:top w:color="db3c07" w:space="0" w:sz="8" w:val="single"/>
              <w:left w:color="db3c07" w:space="0" w:sz="8" w:val="single"/>
              <w:bottom w:color="db3c07" w:space="0" w:sz="8" w:val="single"/>
              <w:right w:color="db3c07" w:space="0" w:sz="8" w:val="single"/>
            </w:tcBorders>
            <w:shd w:fill="db3c07" w:val="clear"/>
            <w:tcMar>
              <w:top w:w="0.0" w:type="dxa"/>
              <w:left w:w="0.0" w:type="dxa"/>
              <w:bottom w:w="0.0" w:type="dxa"/>
              <w:right w:w="0.0" w:type="dxa"/>
            </w:tcMar>
            <w:vAlign w:val="center"/>
          </w:tcPr>
          <w:p w:rsidR="00000000" w:rsidDel="00000000" w:rsidP="00000000" w:rsidRDefault="00000000" w:rsidRPr="00000000" w14:paraId="00000003">
            <w:pPr>
              <w:widowControl w:val="0"/>
              <w:spacing w:line="240" w:lineRule="auto"/>
              <w:rPr>
                <w:rFonts w:ascii="Poppins" w:cs="Poppins" w:eastAsia="Poppins" w:hAnsi="Poppins"/>
                <w:b w:val="1"/>
                <w:color w:val="ffffff"/>
                <w:sz w:val="18"/>
                <w:szCs w:val="18"/>
              </w:rPr>
            </w:pPr>
            <w:r w:rsidDel="00000000" w:rsidR="00000000" w:rsidRPr="00000000">
              <w:rPr>
                <w:rFonts w:ascii="Poppins" w:cs="Poppins" w:eastAsia="Poppins" w:hAnsi="Poppins"/>
                <w:b w:val="1"/>
                <w:color w:val="ffffff"/>
                <w:sz w:val="18"/>
                <w:szCs w:val="18"/>
                <w:rtl w:val="0"/>
              </w:rPr>
              <w:t xml:space="preserve">P&amp;E Product Operations</w:t>
            </w:r>
          </w:p>
          <w:p w:rsidR="00000000" w:rsidDel="00000000" w:rsidP="00000000" w:rsidRDefault="00000000" w:rsidRPr="00000000" w14:paraId="00000004">
            <w:pPr>
              <w:widowControl w:val="0"/>
              <w:spacing w:line="240" w:lineRule="auto"/>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Owners: jesumorales@ and ayanes@</w:t>
            </w:r>
          </w:p>
          <w:p w:rsidR="00000000" w:rsidDel="00000000" w:rsidP="00000000" w:rsidRDefault="00000000" w:rsidRPr="00000000" w14:paraId="00000005">
            <w:pPr>
              <w:spacing w:line="240" w:lineRule="auto"/>
              <w:rPr>
                <w:rFonts w:ascii="Poppins" w:cs="Poppins" w:eastAsia="Poppins" w:hAnsi="Poppins"/>
                <w:color w:val="ffffff"/>
                <w:sz w:val="18"/>
                <w:szCs w:val="18"/>
              </w:rPr>
            </w:pPr>
            <w:r w:rsidDel="00000000" w:rsidR="00000000" w:rsidRPr="00000000">
              <w:rPr>
                <w:rFonts w:ascii="Poppins" w:cs="Poppins" w:eastAsia="Poppins" w:hAnsi="Poppins"/>
                <w:color w:val="ffffff"/>
                <w:sz w:val="18"/>
                <w:szCs w:val="18"/>
                <w:rtl w:val="0"/>
              </w:rPr>
              <w:t xml:space="preserve">Last updated: Jan 2022</w:t>
            </w:r>
          </w:p>
        </w:tc>
      </w:tr>
    </w:tbl>
    <w:p w:rsidR="00000000" w:rsidDel="00000000" w:rsidP="00000000" w:rsidRDefault="00000000" w:rsidRPr="00000000" w14:paraId="00000006">
      <w:pPr>
        <w:rPr>
          <w:rFonts w:ascii="Poppins" w:cs="Poppins" w:eastAsia="Poppins" w:hAnsi="Poppins"/>
          <w:b w:val="1"/>
          <w:color w:val="1155cc"/>
          <w:sz w:val="26"/>
          <w:szCs w:val="26"/>
        </w:rPr>
      </w:pPr>
      <w:r w:rsidDel="00000000" w:rsidR="00000000" w:rsidRPr="00000000">
        <w:rPr>
          <w:rtl w:val="0"/>
        </w:rPr>
      </w:r>
    </w:p>
    <w:p w:rsidR="00000000" w:rsidDel="00000000" w:rsidP="00000000" w:rsidRDefault="00000000" w:rsidRPr="00000000" w14:paraId="00000007">
      <w:pPr>
        <w:pStyle w:val="Title"/>
        <w:spacing w:after="0" w:lineRule="auto"/>
        <w:rPr>
          <w:rFonts w:ascii="Poppins" w:cs="Poppins" w:eastAsia="Poppins" w:hAnsi="Poppins"/>
          <w:b w:val="1"/>
          <w:color w:val="db3c07"/>
          <w:sz w:val="26"/>
          <w:szCs w:val="26"/>
        </w:rPr>
      </w:pPr>
      <w:bookmarkStart w:colFirst="0" w:colLast="0" w:name="_srgnjcvrmxs3" w:id="0"/>
      <w:bookmarkEnd w:id="0"/>
      <w:r w:rsidDel="00000000" w:rsidR="00000000" w:rsidRPr="00000000">
        <w:rPr>
          <w:rFonts w:ascii="Poppins" w:cs="Poppins" w:eastAsia="Poppins" w:hAnsi="Poppins"/>
          <w:b w:val="1"/>
          <w:color w:val="db3c07"/>
          <w:sz w:val="26"/>
          <w:szCs w:val="26"/>
          <w:rtl w:val="0"/>
        </w:rPr>
        <w:t xml:space="preserve">Offshore AWFs</w:t>
      </w:r>
    </w:p>
    <w:p w:rsidR="00000000" w:rsidDel="00000000" w:rsidP="00000000" w:rsidRDefault="00000000" w:rsidRPr="00000000" w14:paraId="00000008">
      <w:pPr>
        <w:rPr>
          <w:rFonts w:ascii="Poppins" w:cs="Poppins" w:eastAsia="Poppins" w:hAnsi="Poppins"/>
          <w:color w:val="434343"/>
          <w:sz w:val="8"/>
          <w:szCs w:val="8"/>
        </w:rPr>
      </w:pPr>
      <w:r w:rsidDel="00000000" w:rsidR="00000000" w:rsidRPr="00000000">
        <w:rPr>
          <w:rtl w:val="0"/>
        </w:rPr>
      </w:r>
    </w:p>
    <w:p w:rsidR="00000000" w:rsidDel="00000000" w:rsidP="00000000" w:rsidRDefault="00000000" w:rsidRPr="00000000" w14:paraId="00000009">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This document is meant as a basic overview so please be sure to reach out to your AWF Coordinator for current information.</w:t>
      </w:r>
    </w:p>
    <w:p w:rsidR="00000000" w:rsidDel="00000000" w:rsidP="00000000" w:rsidRDefault="00000000" w:rsidRPr="00000000" w14:paraId="0000000A">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0B">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Offshore AWFs are provided by vendors with resources outside the typical regions and usually at a lower rate. Each vendor has their own processing and business model setup, so having an understanding of your business goals is helpful in determining the best fits. This document will provide a few vendors and rates to give you a better understanding if an offshore AWF may be a good fit. </w:t>
      </w:r>
    </w:p>
    <w:p w:rsidR="00000000" w:rsidDel="00000000" w:rsidP="00000000" w:rsidRDefault="00000000" w:rsidRPr="00000000" w14:paraId="0000000C">
      <w:pPr>
        <w:rPr>
          <w:rFonts w:ascii="Poppins" w:cs="Poppins" w:eastAsia="Poppins" w:hAnsi="Poppins"/>
          <w:color w:val="434343"/>
          <w:sz w:val="20"/>
          <w:szCs w:val="20"/>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6060"/>
        <w:tblGridChange w:id="0">
          <w:tblGrid>
            <w:gridCol w:w="4740"/>
            <w:gridCol w:w="6060"/>
          </w:tblGrid>
        </w:tblGridChange>
      </w:tblGrid>
      <w:tr>
        <w:trPr>
          <w:cantSplit w:val="0"/>
          <w:tblHeader w:val="0"/>
        </w:trPr>
        <w:tc>
          <w:tcPr>
            <w:tcBorders>
              <w:top w:color="fce5cd" w:space="0" w:sz="8" w:val="single"/>
              <w:left w:color="fce5cd" w:space="0" w:sz="8" w:val="single"/>
              <w:bottom w:color="fce5cd" w:space="0" w:sz="8" w:val="single"/>
              <w:right w:color="fce5cd"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D">
            <w:pPr>
              <w:rPr>
                <w:rFonts w:ascii="Poppins" w:cs="Poppins" w:eastAsia="Poppins" w:hAnsi="Poppins"/>
                <w:color w:val="434343"/>
                <w:sz w:val="20"/>
                <w:szCs w:val="20"/>
              </w:rPr>
            </w:pPr>
            <w:r w:rsidDel="00000000" w:rsidR="00000000" w:rsidRPr="00000000">
              <w:rPr>
                <w:rFonts w:ascii="Poppins" w:cs="Poppins" w:eastAsia="Poppins" w:hAnsi="Poppins"/>
                <w:b w:val="1"/>
                <w:color w:val="ff8559"/>
                <w:rtl w:val="0"/>
              </w:rPr>
              <w:t xml:space="preserve">Table of Contents</w:t>
            </w:r>
            <w:r w:rsidDel="00000000" w:rsidR="00000000" w:rsidRPr="00000000">
              <w:rPr>
                <w:rtl w:val="0"/>
              </w:rPr>
            </w:r>
          </w:p>
          <w:sdt>
            <w:sdtPr>
              <w:id w:val="1383200764"/>
              <w:docPartObj>
                <w:docPartGallery w:val="Table of Contents"/>
                <w:docPartUnique w:val="1"/>
              </w:docPartObj>
            </w:sdtPr>
            <w:sdtContent>
              <w:p w:rsidR="00000000" w:rsidDel="00000000" w:rsidP="00000000" w:rsidRDefault="00000000" w:rsidRPr="00000000" w14:paraId="0000000E">
                <w:pPr>
                  <w:spacing w:line="240" w:lineRule="auto"/>
                  <w:rPr>
                    <w:rFonts w:ascii="Poppins" w:cs="Poppins" w:eastAsia="Poppins" w:hAnsi="Poppins"/>
                    <w:color w:val="1155cc"/>
                    <w:sz w:val="20"/>
                    <w:szCs w:val="20"/>
                    <w:u w:val="single"/>
                  </w:rPr>
                </w:pPr>
                <w:r w:rsidDel="00000000" w:rsidR="00000000" w:rsidRPr="00000000">
                  <w:fldChar w:fldCharType="begin"/>
                  <w:instrText xml:space="preserve"> TOC \h \u \z \n \t "Heading 1,1,Heading 2,2,Heading 3,3,Heading 4,4,Heading 5,5,Heading 6,6,"</w:instrText>
                  <w:fldChar w:fldCharType="separate"/>
                </w:r>
                <w:hyperlink w:anchor="_lnt4itacugu">
                  <w:r w:rsidDel="00000000" w:rsidR="00000000" w:rsidRPr="00000000">
                    <w:rPr>
                      <w:rFonts w:ascii="Poppins" w:cs="Poppins" w:eastAsia="Poppins" w:hAnsi="Poppins"/>
                      <w:color w:val="1155cc"/>
                      <w:sz w:val="20"/>
                      <w:szCs w:val="20"/>
                      <w:u w:val="single"/>
                      <w:rtl w:val="0"/>
                    </w:rPr>
                    <w:t xml:space="preserve">Offshore breakdown</w:t>
                  </w:r>
                </w:hyperlink>
                <w:r w:rsidDel="00000000" w:rsidR="00000000" w:rsidRPr="00000000">
                  <w:rPr>
                    <w:rtl w:val="0"/>
                  </w:rPr>
                </w:r>
              </w:p>
              <w:p w:rsidR="00000000" w:rsidDel="00000000" w:rsidP="00000000" w:rsidRDefault="00000000" w:rsidRPr="00000000" w14:paraId="0000000F">
                <w:pPr>
                  <w:spacing w:line="240" w:lineRule="auto"/>
                  <w:rPr>
                    <w:rFonts w:ascii="Poppins" w:cs="Poppins" w:eastAsia="Poppins" w:hAnsi="Poppins"/>
                    <w:color w:val="1155cc"/>
                    <w:sz w:val="20"/>
                    <w:szCs w:val="20"/>
                    <w:u w:val="single"/>
                  </w:rPr>
                </w:pPr>
                <w:hyperlink w:anchor="_7ad9x9xvptcu">
                  <w:r w:rsidDel="00000000" w:rsidR="00000000" w:rsidRPr="00000000">
                    <w:rPr>
                      <w:rFonts w:ascii="Poppins" w:cs="Poppins" w:eastAsia="Poppins" w:hAnsi="Poppins"/>
                      <w:color w:val="1155cc"/>
                      <w:sz w:val="20"/>
                      <w:szCs w:val="20"/>
                      <w:u w:val="single"/>
                      <w:rtl w:val="0"/>
                    </w:rPr>
                    <w:t xml:space="preserve">Vendors</w:t>
                  </w:r>
                </w:hyperlink>
                <w:r w:rsidDel="00000000" w:rsidR="00000000" w:rsidRPr="00000000">
                  <w:rPr>
                    <w:rtl w:val="0"/>
                  </w:rPr>
                </w:r>
              </w:p>
              <w:p w:rsidR="00000000" w:rsidDel="00000000" w:rsidP="00000000" w:rsidRDefault="00000000" w:rsidRPr="00000000" w14:paraId="00000010">
                <w:pPr>
                  <w:spacing w:line="240" w:lineRule="auto"/>
                  <w:rPr>
                    <w:rFonts w:ascii="Poppins" w:cs="Poppins" w:eastAsia="Poppins" w:hAnsi="Poppins"/>
                    <w:color w:val="1155cc"/>
                    <w:sz w:val="20"/>
                    <w:szCs w:val="20"/>
                    <w:u w:val="single"/>
                  </w:rPr>
                </w:pPr>
                <w:hyperlink w:anchor="_gw2mweb78uvi">
                  <w:r w:rsidDel="00000000" w:rsidR="00000000" w:rsidRPr="00000000">
                    <w:rPr>
                      <w:rFonts w:ascii="Poppins" w:cs="Poppins" w:eastAsia="Poppins" w:hAnsi="Poppins"/>
                      <w:color w:val="1155cc"/>
                      <w:sz w:val="20"/>
                      <w:szCs w:val="20"/>
                      <w:u w:val="single"/>
                      <w:rtl w:val="0"/>
                    </w:rPr>
                    <w:t xml:space="preserve">Onboarding a vendor</w:t>
                  </w:r>
                </w:hyperlink>
                <w:r w:rsidDel="00000000" w:rsidR="00000000" w:rsidRPr="00000000">
                  <w:rPr>
                    <w:rtl w:val="0"/>
                  </w:rPr>
                </w:r>
              </w:p>
              <w:p w:rsidR="00000000" w:rsidDel="00000000" w:rsidP="00000000" w:rsidRDefault="00000000" w:rsidRPr="00000000" w14:paraId="00000011">
                <w:pPr>
                  <w:spacing w:line="240" w:lineRule="auto"/>
                  <w:rPr>
                    <w:rFonts w:ascii="Poppins" w:cs="Poppins" w:eastAsia="Poppins" w:hAnsi="Poppins"/>
                    <w:color w:val="1155cc"/>
                    <w:sz w:val="20"/>
                    <w:szCs w:val="20"/>
                    <w:u w:val="single"/>
                  </w:rPr>
                </w:pPr>
                <w:r w:rsidDel="00000000" w:rsidR="00000000" w:rsidRPr="00000000">
                  <w:rPr>
                    <w:rFonts w:ascii="Poppins" w:cs="Poppins" w:eastAsia="Poppins" w:hAnsi="Poppins"/>
                    <w:color w:val="1155cc"/>
                    <w:sz w:val="20"/>
                    <w:szCs w:val="20"/>
                    <w:u w:val="single"/>
                    <w:rtl w:val="0"/>
                  </w:rPr>
                  <w:t xml:space="preserve">Shipping laptops to Offshores</w:t>
                </w:r>
              </w:p>
              <w:p w:rsidR="00000000" w:rsidDel="00000000" w:rsidP="00000000" w:rsidRDefault="00000000" w:rsidRPr="00000000" w14:paraId="00000012">
                <w:pPr>
                  <w:spacing w:line="240" w:lineRule="auto"/>
                  <w:rPr>
                    <w:rFonts w:ascii="Poppins" w:cs="Poppins" w:eastAsia="Poppins" w:hAnsi="Poppins"/>
                    <w:color w:val="1155cc"/>
                    <w:sz w:val="20"/>
                    <w:szCs w:val="20"/>
                    <w:u w:val="single"/>
                  </w:rPr>
                </w:pPr>
                <w:hyperlink r:id="rId7">
                  <w:r w:rsidDel="00000000" w:rsidR="00000000" w:rsidRPr="00000000">
                    <w:rPr>
                      <w:rFonts w:ascii="Poppins" w:cs="Poppins" w:eastAsia="Poppins" w:hAnsi="Poppins"/>
                      <w:color w:val="1155cc"/>
                      <w:sz w:val="20"/>
                      <w:szCs w:val="20"/>
                      <w:u w:val="single"/>
                      <w:rtl w:val="0"/>
                    </w:rPr>
                    <w:t xml:space="preserve">Appendix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Poppins" w:cs="Poppins" w:eastAsia="Poppins" w:hAnsi="Poppins"/>
                <w:b w:val="1"/>
                <w:color w:val="ff8559"/>
                <w:sz w:val="2"/>
                <w:szCs w:val="2"/>
              </w:rPr>
            </w:pPr>
            <w:r w:rsidDel="00000000" w:rsidR="00000000" w:rsidRPr="00000000">
              <w:rPr>
                <w:rtl w:val="0"/>
              </w:rPr>
            </w:r>
          </w:p>
        </w:tc>
        <w:tc>
          <w:tcPr>
            <w:tcBorders>
              <w:top w:color="fce5cd" w:space="0" w:sz="8" w:val="single"/>
              <w:left w:color="fce5cd" w:space="0" w:sz="8" w:val="single"/>
              <w:bottom w:color="fce5cd" w:space="0" w:sz="8" w:val="single"/>
              <w:right w:color="fce5cd"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14">
            <w:pPr>
              <w:pStyle w:val="Heading1"/>
              <w:spacing w:after="0" w:before="0" w:lineRule="auto"/>
              <w:rPr>
                <w:rFonts w:ascii="Poppins" w:cs="Poppins" w:eastAsia="Poppins" w:hAnsi="Poppins"/>
                <w:b w:val="1"/>
                <w:color w:val="ff8559"/>
                <w:sz w:val="22"/>
                <w:szCs w:val="22"/>
              </w:rPr>
            </w:pPr>
            <w:bookmarkStart w:colFirst="0" w:colLast="0" w:name="_1u8p2pummlyy" w:id="1"/>
            <w:bookmarkEnd w:id="1"/>
            <w:r w:rsidDel="00000000" w:rsidR="00000000" w:rsidRPr="00000000">
              <w:rPr>
                <w:rFonts w:ascii="Poppins" w:cs="Poppins" w:eastAsia="Poppins" w:hAnsi="Poppins"/>
                <w:b w:val="1"/>
                <w:color w:val="ff8559"/>
                <w:sz w:val="22"/>
                <w:szCs w:val="22"/>
                <w:rtl w:val="0"/>
              </w:rPr>
              <w:t xml:space="preserve">Contacts</w:t>
            </w:r>
          </w:p>
          <w:p w:rsidR="00000000" w:rsidDel="00000000" w:rsidP="00000000" w:rsidRDefault="00000000" w:rsidRPr="00000000" w14:paraId="00000015">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P&amp;E AWF Coordinator: Jess Morales (</w:t>
            </w:r>
            <w:hyperlink r:id="rId8">
              <w:r w:rsidDel="00000000" w:rsidR="00000000" w:rsidRPr="00000000">
                <w:rPr>
                  <w:rFonts w:ascii="Poppins" w:cs="Poppins" w:eastAsia="Poppins" w:hAnsi="Poppins"/>
                  <w:color w:val="1155cc"/>
                  <w:sz w:val="20"/>
                  <w:szCs w:val="20"/>
                  <w:u w:val="single"/>
                  <w:rtl w:val="0"/>
                </w:rPr>
                <w:t xml:space="preserve">jesumorales@</w:t>
              </w:r>
            </w:hyperlink>
            <w:r w:rsidDel="00000000" w:rsidR="00000000" w:rsidRPr="00000000">
              <w:rPr>
                <w:rFonts w:ascii="Poppins" w:cs="Poppins" w:eastAsia="Poppins" w:hAnsi="Poppins"/>
                <w:color w:val="434343"/>
                <w:sz w:val="20"/>
                <w:szCs w:val="20"/>
                <w:rtl w:val="0"/>
              </w:rPr>
              <w:t xml:space="preserve">)</w:t>
            </w:r>
          </w:p>
          <w:p w:rsidR="00000000" w:rsidDel="00000000" w:rsidP="00000000" w:rsidRDefault="00000000" w:rsidRPr="00000000" w14:paraId="00000016">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Head of Product Ops: Angela Yanes (</w:t>
            </w:r>
            <w:hyperlink r:id="rId9">
              <w:r w:rsidDel="00000000" w:rsidR="00000000" w:rsidRPr="00000000">
                <w:rPr>
                  <w:rFonts w:ascii="Poppins" w:cs="Poppins" w:eastAsia="Poppins" w:hAnsi="Poppins"/>
                  <w:color w:val="1155cc"/>
                  <w:sz w:val="20"/>
                  <w:szCs w:val="20"/>
                  <w:u w:val="single"/>
                  <w:rtl w:val="0"/>
                </w:rPr>
                <w:t xml:space="preserve">ayanes@</w:t>
              </w:r>
            </w:hyperlink>
            <w:r w:rsidDel="00000000" w:rsidR="00000000" w:rsidRPr="00000000">
              <w:rPr>
                <w:rFonts w:ascii="Poppins" w:cs="Poppins" w:eastAsia="Poppins" w:hAnsi="Poppins"/>
                <w:color w:val="434343"/>
                <w:sz w:val="20"/>
                <w:szCs w:val="20"/>
                <w:rtl w:val="0"/>
              </w:rPr>
              <w:t xml:space="preserve">)</w:t>
            </w:r>
          </w:p>
        </w:tc>
      </w:tr>
    </w:tbl>
    <w:p w:rsidR="00000000" w:rsidDel="00000000" w:rsidP="00000000" w:rsidRDefault="00000000" w:rsidRPr="00000000" w14:paraId="00000017">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18">
      <w:pPr>
        <w:pStyle w:val="Heading1"/>
        <w:spacing w:after="0" w:before="0" w:lineRule="auto"/>
        <w:rPr>
          <w:rFonts w:ascii="Poppins" w:cs="Poppins" w:eastAsia="Poppins" w:hAnsi="Poppins"/>
          <w:b w:val="1"/>
          <w:color w:val="ff8559"/>
          <w:sz w:val="22"/>
          <w:szCs w:val="22"/>
        </w:rPr>
      </w:pPr>
      <w:bookmarkStart w:colFirst="0" w:colLast="0" w:name="_lnt4itacugu" w:id="2"/>
      <w:bookmarkEnd w:id="2"/>
      <w:r w:rsidDel="00000000" w:rsidR="00000000" w:rsidRPr="00000000">
        <w:rPr>
          <w:rFonts w:ascii="Poppins" w:cs="Poppins" w:eastAsia="Poppins" w:hAnsi="Poppins"/>
          <w:b w:val="1"/>
          <w:color w:val="ff8559"/>
          <w:sz w:val="22"/>
          <w:szCs w:val="22"/>
          <w:rtl w:val="0"/>
        </w:rPr>
        <w:t xml:space="preserve">Offshore breakdown</w:t>
      </w:r>
    </w:p>
    <w:p w:rsidR="00000000" w:rsidDel="00000000" w:rsidP="00000000" w:rsidRDefault="00000000" w:rsidRPr="00000000" w14:paraId="00000019">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Depending on the vendor, different regional locations may be available. Some of these regions include a set infrastructure such as China and India. These allow for a two-week AWF onboarding timeline. Other locations such as Pakistan, Argentina, Brazil, and Eastern Europe will need to clear customs, so AWF onboarding timelines will vary. Please account for this when choosing the offshore option. </w:t>
      </w:r>
    </w:p>
    <w:p w:rsidR="00000000" w:rsidDel="00000000" w:rsidP="00000000" w:rsidRDefault="00000000" w:rsidRPr="00000000" w14:paraId="0000001A">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1B">
      <w:pPr>
        <w:pStyle w:val="Heading1"/>
        <w:spacing w:after="0" w:before="0" w:lineRule="auto"/>
        <w:rPr>
          <w:rFonts w:ascii="Poppins" w:cs="Poppins" w:eastAsia="Poppins" w:hAnsi="Poppins"/>
          <w:b w:val="1"/>
          <w:color w:val="ff8559"/>
          <w:sz w:val="22"/>
          <w:szCs w:val="22"/>
        </w:rPr>
      </w:pPr>
      <w:bookmarkStart w:colFirst="0" w:colLast="0" w:name="_7ad9x9xvptcu" w:id="3"/>
      <w:bookmarkEnd w:id="3"/>
      <w:r w:rsidDel="00000000" w:rsidR="00000000" w:rsidRPr="00000000">
        <w:rPr>
          <w:rFonts w:ascii="Poppins" w:cs="Poppins" w:eastAsia="Poppins" w:hAnsi="Poppins"/>
          <w:b w:val="1"/>
          <w:color w:val="ff8559"/>
          <w:sz w:val="22"/>
          <w:szCs w:val="22"/>
          <w:rtl w:val="0"/>
        </w:rPr>
        <w:t xml:space="preserve">Vendors</w:t>
      </w:r>
    </w:p>
    <w:p w:rsidR="00000000" w:rsidDel="00000000" w:rsidP="00000000" w:rsidRDefault="00000000" w:rsidRPr="00000000" w14:paraId="0000001C">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Below is a list of the current offshore suppliers. This is not an exhaustive list of the regions they serve. Additional regions can be requested of most but pricing can fluctuate. Additionally, all rates are current estimates and job titles with years of experience will factor into the cost. Please provide the Job Description and your AWF coordinator will work with these vendors to find candidates.</w:t>
      </w:r>
    </w:p>
    <w:p w:rsidR="00000000" w:rsidDel="00000000" w:rsidP="00000000" w:rsidRDefault="00000000" w:rsidRPr="00000000" w14:paraId="0000001D">
      <w:pPr>
        <w:rPr>
          <w:rFonts w:ascii="Poppins" w:cs="Poppins" w:eastAsia="Poppins" w:hAnsi="Poppins"/>
          <w:b w:val="1"/>
          <w:i w:val="1"/>
          <w:color w:val="434343"/>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E">
      <w:pPr>
        <w:rPr>
          <w:rFonts w:ascii="Poppins" w:cs="Poppins" w:eastAsia="Poppins" w:hAnsi="Poppins"/>
          <w:color w:val="434343"/>
          <w:sz w:val="20"/>
          <w:szCs w:val="20"/>
        </w:rPr>
      </w:pPr>
      <w:r w:rsidDel="00000000" w:rsidR="00000000" w:rsidRPr="00000000">
        <w:rPr>
          <w:rFonts w:ascii="Poppins" w:cs="Poppins" w:eastAsia="Poppins" w:hAnsi="Poppins"/>
          <w:b w:val="1"/>
          <w:i w:val="1"/>
          <w:color w:val="434343"/>
          <w:sz w:val="20"/>
          <w:szCs w:val="20"/>
          <w:rtl w:val="0"/>
        </w:rPr>
        <w:t xml:space="preserve">All rates in USD</w:t>
      </w: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045"/>
        <w:gridCol w:w="5400"/>
        <w:tblGridChange w:id="0">
          <w:tblGrid>
            <w:gridCol w:w="2355"/>
            <w:gridCol w:w="3045"/>
            <w:gridCol w:w="54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ff855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Vendor</w:t>
            </w:r>
          </w:p>
        </w:tc>
        <w:tc>
          <w:tcPr>
            <w:tcBorders>
              <w:top w:color="cccccc" w:space="0" w:sz="8" w:val="single"/>
              <w:left w:color="cccccc" w:space="0" w:sz="8" w:val="single"/>
              <w:bottom w:color="cccccc" w:space="0" w:sz="8" w:val="single"/>
              <w:right w:color="cccccc" w:space="0" w:sz="8" w:val="single"/>
            </w:tcBorders>
            <w:shd w:fill="ff855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Regions</w:t>
            </w:r>
          </w:p>
        </w:tc>
        <w:tc>
          <w:tcPr>
            <w:tcBorders>
              <w:top w:color="cccccc" w:space="0" w:sz="8" w:val="single"/>
              <w:left w:color="cccccc" w:space="0" w:sz="8" w:val="single"/>
              <w:bottom w:color="cccccc" w:space="0" w:sz="8" w:val="single"/>
              <w:right w:color="cccccc" w:space="0" w:sz="8" w:val="single"/>
            </w:tcBorders>
            <w:shd w:fill="ff855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Rates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Accenture/ CoreCompete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TBD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TBD</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Andela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Africa</w:t>
            </w:r>
          </w:p>
          <w:p w:rsidR="00000000" w:rsidDel="00000000" w:rsidP="00000000" w:rsidRDefault="00000000" w:rsidRPr="00000000" w14:paraId="00000027">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Latin America</w:t>
            </w:r>
          </w:p>
          <w:p w:rsidR="00000000" w:rsidDel="00000000" w:rsidP="00000000" w:rsidRDefault="00000000" w:rsidRPr="00000000" w14:paraId="00000028">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Eastern Europe</w:t>
            </w:r>
          </w:p>
          <w:p w:rsidR="00000000" w:rsidDel="00000000" w:rsidP="00000000" w:rsidRDefault="00000000" w:rsidRPr="00000000" w14:paraId="00000029">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Some Asian territories. e.g. Pakistan and UAE.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3-6 year experience: $30-$50/hour.</w:t>
            </w:r>
          </w:p>
          <w:p w:rsidR="00000000" w:rsidDel="00000000" w:rsidP="00000000" w:rsidRDefault="00000000" w:rsidRPr="00000000" w14:paraId="0000002B">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7+ years experience: $50-$85/hour.</w:t>
            </w:r>
          </w:p>
          <w:p w:rsidR="00000000" w:rsidDel="00000000" w:rsidP="00000000" w:rsidRDefault="00000000" w:rsidRPr="00000000" w14:paraId="0000002C">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Developer and Administrator roles cost more. </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AtosZdata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India</w:t>
            </w:r>
          </w:p>
          <w:p w:rsidR="00000000" w:rsidDel="00000000" w:rsidP="00000000" w:rsidRDefault="00000000" w:rsidRPr="00000000" w14:paraId="0000002F">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Mexico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Rates range from $45- $97/hour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Avenue Code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Brazil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Costs for junior roles approx. $60-$65/hour.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Brillio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India</w:t>
            </w:r>
          </w:p>
          <w:p w:rsidR="00000000" w:rsidDel="00000000" w:rsidP="00000000" w:rsidRDefault="00000000" w:rsidRPr="00000000" w14:paraId="00000036">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Mexico</w:t>
            </w:r>
          </w:p>
          <w:p w:rsidR="00000000" w:rsidDel="00000000" w:rsidP="00000000" w:rsidRDefault="00000000" w:rsidRPr="00000000" w14:paraId="00000037">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Romania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Rates range from $27-$74/hour.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Persistent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India</w:t>
            </w:r>
          </w:p>
          <w:p w:rsidR="00000000" w:rsidDel="00000000" w:rsidP="00000000" w:rsidRDefault="00000000" w:rsidRPr="00000000" w14:paraId="0000003B">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Sri Lanka</w:t>
            </w:r>
          </w:p>
          <w:p w:rsidR="00000000" w:rsidDel="00000000" w:rsidP="00000000" w:rsidRDefault="00000000" w:rsidRPr="00000000" w14:paraId="0000003C">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Canada</w:t>
            </w:r>
          </w:p>
          <w:p w:rsidR="00000000" w:rsidDel="00000000" w:rsidP="00000000" w:rsidRDefault="00000000" w:rsidRPr="00000000" w14:paraId="0000003D">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Mexico</w:t>
            </w:r>
          </w:p>
          <w:p w:rsidR="00000000" w:rsidDel="00000000" w:rsidP="00000000" w:rsidRDefault="00000000" w:rsidRPr="00000000" w14:paraId="0000003E">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UK</w:t>
            </w:r>
          </w:p>
          <w:p w:rsidR="00000000" w:rsidDel="00000000" w:rsidP="00000000" w:rsidRDefault="00000000" w:rsidRPr="00000000" w14:paraId="0000003F">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Europe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Different rates depending on region. They require one onsite AWF to unlock offshores.</w:t>
            </w:r>
          </w:p>
          <w:p w:rsidR="00000000" w:rsidDel="00000000" w:rsidP="00000000" w:rsidRDefault="00000000" w:rsidRPr="00000000" w14:paraId="00000041">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Example:</w:t>
            </w:r>
          </w:p>
          <w:p w:rsidR="00000000" w:rsidDel="00000000" w:rsidP="00000000" w:rsidRDefault="00000000" w:rsidRPr="00000000" w14:paraId="00000042">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 US Core Python developer (4-7 years experience) at $95/hour. Additional offshores (4-6 years experience) at $29/hour.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Quantiphi</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India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Junior roles: $45-$55/hour.</w:t>
            </w:r>
          </w:p>
          <w:p w:rsidR="00000000" w:rsidDel="00000000" w:rsidP="00000000" w:rsidRDefault="00000000" w:rsidRPr="00000000" w14:paraId="00000046">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Senior &amp; more experienced candidates: $60-$90/hour.</w:t>
            </w:r>
          </w:p>
          <w:p w:rsidR="00000000" w:rsidDel="00000000" w:rsidP="00000000" w:rsidRDefault="00000000" w:rsidRPr="00000000" w14:paraId="00000047">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Example: GPC roles $39/hour for 5-8 years of experience &amp; $45/hour for 1-12 years experience.</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Southern Science (Lamansys)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Argentina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Junior Engineers: $20-$25/hour</w:t>
            </w:r>
          </w:p>
          <w:p w:rsidR="00000000" w:rsidDel="00000000" w:rsidP="00000000" w:rsidRDefault="00000000" w:rsidRPr="00000000" w14:paraId="0000004B">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Senior Engineers: $25-$45/hour</w:t>
            </w:r>
          </w:p>
          <w:p w:rsidR="00000000" w:rsidDel="00000000" w:rsidP="00000000" w:rsidRDefault="00000000" w:rsidRPr="00000000" w14:paraId="0000004C">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Senior Phd Speciality: 40+/Hour</w:t>
            </w:r>
          </w:p>
        </w:tc>
      </w:tr>
    </w:tbl>
    <w:p w:rsidR="00000000" w:rsidDel="00000000" w:rsidP="00000000" w:rsidRDefault="00000000" w:rsidRPr="00000000" w14:paraId="0000004D">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4E">
      <w:pPr>
        <w:pStyle w:val="Heading1"/>
        <w:spacing w:after="0" w:before="0" w:lineRule="auto"/>
        <w:rPr>
          <w:rFonts w:ascii="Poppins" w:cs="Poppins" w:eastAsia="Poppins" w:hAnsi="Poppins"/>
          <w:b w:val="1"/>
          <w:color w:val="ff8559"/>
          <w:sz w:val="22"/>
          <w:szCs w:val="22"/>
        </w:rPr>
      </w:pPr>
      <w:bookmarkStart w:colFirst="0" w:colLast="0" w:name="_gw2mweb78uvi" w:id="4"/>
      <w:bookmarkEnd w:id="4"/>
      <w:r w:rsidDel="00000000" w:rsidR="00000000" w:rsidRPr="00000000">
        <w:rPr>
          <w:rFonts w:ascii="Poppins" w:cs="Poppins" w:eastAsia="Poppins" w:hAnsi="Poppins"/>
          <w:b w:val="1"/>
          <w:color w:val="ff8559"/>
          <w:sz w:val="22"/>
          <w:szCs w:val="22"/>
          <w:rtl w:val="0"/>
        </w:rPr>
        <w:t xml:space="preserve">Onboarding a vendor</w:t>
      </w:r>
    </w:p>
    <w:p w:rsidR="00000000" w:rsidDel="00000000" w:rsidP="00000000" w:rsidRDefault="00000000" w:rsidRPr="00000000" w14:paraId="0000004F">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If you encounter a vendor that you think should be onboarded, please contact your AWF Coordinator. Onboarding an AWF vendor is a time-consuming process, so having the AWF coordinator take over the work helps managers focus on other priorities. Here is a brief overview of the process. </w:t>
      </w:r>
    </w:p>
    <w:p w:rsidR="00000000" w:rsidDel="00000000" w:rsidP="00000000" w:rsidRDefault="00000000" w:rsidRPr="00000000" w14:paraId="00000050">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You will initiate a new supplier request in SpendSmart where a link to Aravo, the Vendor Management Compliance (VMC) risk evaluation tool, will be provided.</w:t>
      </w:r>
    </w:p>
    <w:p w:rsidR="00000000" w:rsidDel="00000000" w:rsidP="00000000" w:rsidRDefault="00000000" w:rsidRPr="00000000" w14:paraId="00000052">
      <w:pPr>
        <w:numPr>
          <w:ilvl w:val="0"/>
          <w:numId w:val="1"/>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Aravo will collect supplier details from the requester and/or supplier to determine the level of risk for each engagement.</w:t>
      </w:r>
    </w:p>
    <w:p w:rsidR="00000000" w:rsidDel="00000000" w:rsidP="00000000" w:rsidRDefault="00000000" w:rsidRPr="00000000" w14:paraId="00000053">
      <w:pPr>
        <w:numPr>
          <w:ilvl w:val="0"/>
          <w:numId w:val="1"/>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After completing the Vendor Management Compliance risk evaluation, the supplier completes the Ariba Network registration process (ANID).</w:t>
      </w:r>
    </w:p>
    <w:p w:rsidR="00000000" w:rsidDel="00000000" w:rsidP="00000000" w:rsidRDefault="00000000" w:rsidRPr="00000000" w14:paraId="00000054">
      <w:pPr>
        <w:numPr>
          <w:ilvl w:val="0"/>
          <w:numId w:val="1"/>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supplier then completes the Supplier Registration form (onboarding questionnaire) and submits the required documentation via Ariba SLP.</w:t>
      </w:r>
    </w:p>
    <w:p w:rsidR="00000000" w:rsidDel="00000000" w:rsidP="00000000" w:rsidRDefault="00000000" w:rsidRPr="00000000" w14:paraId="00000055">
      <w:pPr>
        <w:numPr>
          <w:ilvl w:val="0"/>
          <w:numId w:val="1"/>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Supplier Support reviews the supplier information and documentation submitted for approval.</w:t>
      </w:r>
    </w:p>
    <w:p w:rsidR="00000000" w:rsidDel="00000000" w:rsidP="00000000" w:rsidRDefault="00000000" w:rsidRPr="00000000" w14:paraId="00000056">
      <w:pPr>
        <w:numPr>
          <w:ilvl w:val="0"/>
          <w:numId w:val="1"/>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Supplier Support works with the supplier directly in most instances to resolve issues.</w:t>
      </w:r>
    </w:p>
    <w:p w:rsidR="00000000" w:rsidDel="00000000" w:rsidP="00000000" w:rsidRDefault="00000000" w:rsidRPr="00000000" w14:paraId="00000057">
      <w:pPr>
        <w:numPr>
          <w:ilvl w:val="0"/>
          <w:numId w:val="1"/>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Supplier is issued a Vendor ID.</w:t>
      </w:r>
    </w:p>
    <w:p w:rsidR="00000000" w:rsidDel="00000000" w:rsidP="00000000" w:rsidRDefault="00000000" w:rsidRPr="00000000" w14:paraId="00000058">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59">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Depending on the level of access a vendor is given, the process can take 3 to 6 months to complete.</w:t>
      </w:r>
    </w:p>
    <w:p w:rsidR="00000000" w:rsidDel="00000000" w:rsidP="00000000" w:rsidRDefault="00000000" w:rsidRPr="00000000" w14:paraId="0000005A">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5B">
      <w:pPr>
        <w:pStyle w:val="Heading1"/>
        <w:spacing w:after="0" w:before="0" w:lineRule="auto"/>
        <w:rPr>
          <w:rFonts w:ascii="Poppins" w:cs="Poppins" w:eastAsia="Poppins" w:hAnsi="Poppins"/>
          <w:b w:val="1"/>
          <w:color w:val="ff8559"/>
          <w:sz w:val="22"/>
          <w:szCs w:val="22"/>
        </w:rPr>
      </w:pPr>
      <w:bookmarkStart w:colFirst="0" w:colLast="0" w:name="_v693tggj3n1c" w:id="5"/>
      <w:bookmarkEnd w:id="5"/>
      <w:r w:rsidDel="00000000" w:rsidR="00000000" w:rsidRPr="00000000">
        <w:rPr>
          <w:rFonts w:ascii="Poppins" w:cs="Poppins" w:eastAsia="Poppins" w:hAnsi="Poppins"/>
          <w:b w:val="1"/>
          <w:color w:val="ff8559"/>
          <w:sz w:val="22"/>
          <w:szCs w:val="22"/>
          <w:rtl w:val="0"/>
        </w:rPr>
        <w:t xml:space="preserve">Shipping Laptops to Offshores (WIP) </w:t>
      </w:r>
    </w:p>
    <w:p w:rsidR="00000000" w:rsidDel="00000000" w:rsidP="00000000" w:rsidRDefault="00000000" w:rsidRPr="00000000" w14:paraId="0000005C">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Shipping laptops to offshore AWFs has several different layers and can be complex. This section will attempt to demystify some of the processes involved. </w:t>
      </w:r>
    </w:p>
    <w:p w:rsidR="00000000" w:rsidDel="00000000" w:rsidP="00000000" w:rsidRDefault="00000000" w:rsidRPr="00000000" w14:paraId="0000005D">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5E">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Vendors are classified into two categories, Fieldglass vendors and Ariba vendors. Both have different processes and each process can have multiple steps. </w:t>
      </w:r>
    </w:p>
    <w:p w:rsidR="00000000" w:rsidDel="00000000" w:rsidP="00000000" w:rsidRDefault="00000000" w:rsidRPr="00000000" w14:paraId="0000005F">
      <w:pPr>
        <w:rPr>
          <w:rFonts w:ascii="Poppins" w:cs="Poppins" w:eastAsia="Poppins" w:hAnsi="Poppins"/>
          <w:color w:val="434343"/>
          <w:sz w:val="20"/>
          <w:szCs w:val="20"/>
          <w:u w:val="single"/>
        </w:rPr>
      </w:pPr>
      <w:r w:rsidDel="00000000" w:rsidR="00000000" w:rsidRPr="00000000">
        <w:rPr>
          <w:rtl w:val="0"/>
        </w:rPr>
      </w:r>
    </w:p>
    <w:p w:rsidR="00000000" w:rsidDel="00000000" w:rsidP="00000000" w:rsidRDefault="00000000" w:rsidRPr="00000000" w14:paraId="00000060">
      <w:pPr>
        <w:rPr>
          <w:rFonts w:ascii="Poppins" w:cs="Poppins" w:eastAsia="Poppins" w:hAnsi="Poppins"/>
          <w:color w:val="434343"/>
          <w:sz w:val="20"/>
          <w:szCs w:val="20"/>
          <w:u w:val="single"/>
        </w:rPr>
      </w:pPr>
      <w:r w:rsidDel="00000000" w:rsidR="00000000" w:rsidRPr="00000000">
        <w:rPr>
          <w:rFonts w:ascii="Poppins" w:cs="Poppins" w:eastAsia="Poppins" w:hAnsi="Poppins"/>
          <w:color w:val="434343"/>
          <w:sz w:val="20"/>
          <w:szCs w:val="20"/>
          <w:u w:val="single"/>
          <w:rtl w:val="0"/>
        </w:rPr>
        <w:t xml:space="preserve">Fieldglass Vendors:</w:t>
      </w:r>
    </w:p>
    <w:p w:rsidR="00000000" w:rsidDel="00000000" w:rsidP="00000000" w:rsidRDefault="00000000" w:rsidRPr="00000000" w14:paraId="00000061">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If the vendor is in the Fieldglass system, after they complete the background check, they will attach the new AWF to the Requ. This will allow the Procurement team to create a profile in Fieldglass which will automatically prompt PeopleX to create the employee profile. When the PeopleX profile is created, the Procurement team does a data dump of new AWF onboarding that is distributed to several teams including IT laptop delivery team, and the IT systems onboarding team. The latter is the team that provides passwords, onboarding set up, etc. </w:t>
      </w:r>
    </w:p>
    <w:p w:rsidR="00000000" w:rsidDel="00000000" w:rsidP="00000000" w:rsidRDefault="00000000" w:rsidRPr="00000000" w14:paraId="00000062">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63">
      <w:pPr>
        <w:rPr>
          <w:rFonts w:ascii="Poppins" w:cs="Poppins" w:eastAsia="Poppins" w:hAnsi="Poppins"/>
          <w:color w:val="434343"/>
          <w:sz w:val="20"/>
          <w:szCs w:val="20"/>
          <w:u w:val="single"/>
        </w:rPr>
      </w:pPr>
      <w:r w:rsidDel="00000000" w:rsidR="00000000" w:rsidRPr="00000000">
        <w:rPr>
          <w:rFonts w:ascii="Poppins" w:cs="Poppins" w:eastAsia="Poppins" w:hAnsi="Poppins"/>
          <w:color w:val="434343"/>
          <w:sz w:val="20"/>
          <w:szCs w:val="20"/>
          <w:u w:val="single"/>
          <w:rtl w:val="0"/>
        </w:rPr>
        <w:t xml:space="preserve">Araba Vendors</w:t>
      </w:r>
    </w:p>
    <w:p w:rsidR="00000000" w:rsidDel="00000000" w:rsidP="00000000" w:rsidRDefault="00000000" w:rsidRPr="00000000" w14:paraId="00000064">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These vendors </w:t>
      </w:r>
    </w:p>
    <w:p w:rsidR="00000000" w:rsidDel="00000000" w:rsidP="00000000" w:rsidRDefault="00000000" w:rsidRPr="00000000" w14:paraId="00000065">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66">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u w:val="single"/>
          <w:rtl w:val="0"/>
        </w:rPr>
        <w:t xml:space="preserve">Vendor relationships</w:t>
      </w:r>
      <w:r w:rsidDel="00000000" w:rsidR="00000000" w:rsidRPr="00000000">
        <w:rPr>
          <w:rFonts w:ascii="Poppins" w:cs="Poppins" w:eastAsia="Poppins" w:hAnsi="Poppins"/>
          <w:color w:val="434343"/>
          <w:sz w:val="20"/>
          <w:szCs w:val="20"/>
          <w:rtl w:val="0"/>
        </w:rPr>
        <w:br w:type="textWrapping"/>
        <w:t xml:space="preserve">We have special arrangements with several of our vending partners. </w:t>
      </w:r>
    </w:p>
    <w:p w:rsidR="00000000" w:rsidDel="00000000" w:rsidP="00000000" w:rsidRDefault="00000000" w:rsidRPr="00000000" w14:paraId="00000067">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68">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Important Contacts</w:t>
      </w:r>
    </w:p>
    <w:p w:rsidR="00000000" w:rsidDel="00000000" w:rsidP="00000000" w:rsidRDefault="00000000" w:rsidRPr="00000000" w14:paraId="00000069">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6A">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6B">
      <w:pPr>
        <w:rPr>
          <w:rFonts w:ascii="Poppins" w:cs="Poppins" w:eastAsia="Poppins" w:hAnsi="Poppins"/>
          <w:color w:val="434343"/>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after="0" w:before="0" w:lineRule="auto"/>
        <w:rPr>
          <w:rFonts w:ascii="Poppins" w:cs="Poppins" w:eastAsia="Poppins" w:hAnsi="Poppins"/>
          <w:b w:val="1"/>
          <w:color w:val="ff8559"/>
          <w:sz w:val="22"/>
          <w:szCs w:val="22"/>
        </w:rPr>
      </w:pPr>
      <w:bookmarkStart w:colFirst="0" w:colLast="0" w:name="_1mb6jz8xcyin" w:id="6"/>
      <w:bookmarkEnd w:id="6"/>
      <w:r w:rsidDel="00000000" w:rsidR="00000000" w:rsidRPr="00000000">
        <w:rPr>
          <w:rFonts w:ascii="Poppins" w:cs="Poppins" w:eastAsia="Poppins" w:hAnsi="Poppins"/>
          <w:b w:val="1"/>
          <w:color w:val="ff8559"/>
          <w:sz w:val="22"/>
          <w:szCs w:val="22"/>
          <w:rtl w:val="0"/>
        </w:rPr>
        <w:t xml:space="preserve">Appendix </w:t>
      </w:r>
    </w:p>
    <w:p w:rsidR="00000000" w:rsidDel="00000000" w:rsidP="00000000" w:rsidRDefault="00000000" w:rsidRPr="00000000" w14:paraId="0000006D">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6E">
      <w:pPr>
        <w:rPr>
          <w:rFonts w:ascii="Poppins" w:cs="Poppins" w:eastAsia="Poppins" w:hAnsi="Poppins"/>
          <w:color w:val="434343"/>
          <w:sz w:val="20"/>
          <w:szCs w:val="20"/>
        </w:rPr>
      </w:pPr>
      <w:r w:rsidDel="00000000" w:rsidR="00000000" w:rsidRPr="00000000">
        <w:rPr>
          <w:rFonts w:ascii="Poppins" w:cs="Poppins" w:eastAsia="Poppins" w:hAnsi="Poppins"/>
          <w:b w:val="1"/>
          <w:color w:val="434343"/>
          <w:sz w:val="20"/>
          <w:szCs w:val="20"/>
          <w:rtl w:val="0"/>
        </w:rPr>
        <w:t xml:space="preserve">Accenture/CoreCompete:</w:t>
      </w:r>
      <w:r w:rsidDel="00000000" w:rsidR="00000000" w:rsidRPr="00000000">
        <w:rPr>
          <w:rtl w:val="0"/>
        </w:rPr>
      </w:r>
    </w:p>
    <w:p w:rsidR="00000000" w:rsidDel="00000000" w:rsidP="00000000" w:rsidRDefault="00000000" w:rsidRPr="00000000" w14:paraId="0000006F">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TBA</w:t>
      </w:r>
    </w:p>
    <w:p w:rsidR="00000000" w:rsidDel="00000000" w:rsidP="00000000" w:rsidRDefault="00000000" w:rsidRPr="00000000" w14:paraId="00000070">
      <w:pPr>
        <w:rPr>
          <w:rFonts w:ascii="Poppins" w:cs="Poppins" w:eastAsia="Poppins" w:hAnsi="Poppins"/>
          <w:color w:val="434343"/>
          <w:sz w:val="20"/>
          <w:szCs w:val="20"/>
          <w:u w:val="single"/>
        </w:rPr>
      </w:pPr>
      <w:r w:rsidDel="00000000" w:rsidR="00000000" w:rsidRPr="00000000">
        <w:rPr>
          <w:rtl w:val="0"/>
        </w:rPr>
      </w:r>
    </w:p>
    <w:p w:rsidR="00000000" w:rsidDel="00000000" w:rsidP="00000000" w:rsidRDefault="00000000" w:rsidRPr="00000000" w14:paraId="00000071">
      <w:pPr>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Andela: </w:t>
      </w:r>
    </w:p>
    <w:tbl>
      <w:tblPr>
        <w:tblStyle w:val="Table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2370"/>
        <w:gridCol w:w="2025"/>
        <w:tblGridChange w:id="0">
          <w:tblGrid>
            <w:gridCol w:w="4755"/>
            <w:gridCol w:w="2370"/>
            <w:gridCol w:w="20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72">
            <w:pPr>
              <w:widowControl w:val="0"/>
              <w:rPr>
                <w:rFonts w:ascii="Poppins" w:cs="Poppins" w:eastAsia="Poppins" w:hAnsi="Poppins"/>
                <w:color w:val="ffffff"/>
                <w:sz w:val="20"/>
                <w:szCs w:val="20"/>
              </w:rPr>
            </w:pPr>
            <w:r w:rsidDel="00000000" w:rsidR="00000000" w:rsidRPr="00000000">
              <w:rPr>
                <w:rFonts w:ascii="Poppins" w:cs="Poppins" w:eastAsia="Poppins" w:hAnsi="Poppins"/>
                <w:color w:val="ffffff"/>
                <w:sz w:val="20"/>
                <w:szCs w:val="20"/>
                <w:rtl w:val="0"/>
              </w:rPr>
              <w:t xml:space="preserve">Type</w:t>
            </w:r>
          </w:p>
        </w:tc>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73">
            <w:pPr>
              <w:widowControl w:val="0"/>
              <w:rPr>
                <w:rFonts w:ascii="Poppins" w:cs="Poppins" w:eastAsia="Poppins" w:hAnsi="Poppins"/>
                <w:color w:val="ffffff"/>
                <w:sz w:val="20"/>
                <w:szCs w:val="20"/>
              </w:rPr>
            </w:pPr>
            <w:r w:rsidDel="00000000" w:rsidR="00000000" w:rsidRPr="00000000">
              <w:rPr>
                <w:rFonts w:ascii="Poppins" w:cs="Poppins" w:eastAsia="Poppins" w:hAnsi="Poppins"/>
                <w:color w:val="ffffff"/>
                <w:sz w:val="20"/>
                <w:szCs w:val="20"/>
                <w:rtl w:val="0"/>
              </w:rPr>
              <w:t xml:space="preserve">3-6 Years Exp ($/hr)</w:t>
            </w:r>
          </w:p>
        </w:tc>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74">
            <w:pPr>
              <w:widowControl w:val="0"/>
              <w:rPr>
                <w:rFonts w:ascii="Poppins" w:cs="Poppins" w:eastAsia="Poppins" w:hAnsi="Poppins"/>
                <w:color w:val="ffffff"/>
                <w:sz w:val="20"/>
                <w:szCs w:val="20"/>
              </w:rPr>
            </w:pPr>
            <w:r w:rsidDel="00000000" w:rsidR="00000000" w:rsidRPr="00000000">
              <w:rPr>
                <w:rFonts w:ascii="Poppins" w:cs="Poppins" w:eastAsia="Poppins" w:hAnsi="Poppins"/>
                <w:color w:val="ffffff"/>
                <w:sz w:val="20"/>
                <w:szCs w:val="20"/>
                <w:rtl w:val="0"/>
              </w:rPr>
              <w:t xml:space="preserve">7+ Years Exp ($/hr)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Design (UX, Product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30-50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50-85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Engineers (Fullstack, mobile, data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30-50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50-90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Data (architects, scientists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35-50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50-100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Devops/QE/Security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30-50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50-85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SalesForce (administrator, developer)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40-65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65-100</w:t>
            </w:r>
          </w:p>
        </w:tc>
      </w:tr>
    </w:tbl>
    <w:p w:rsidR="00000000" w:rsidDel="00000000" w:rsidP="00000000" w:rsidRDefault="00000000" w:rsidRPr="00000000" w14:paraId="00000084">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85">
      <w:pPr>
        <w:rPr>
          <w:rFonts w:ascii="Poppins" w:cs="Poppins" w:eastAsia="Poppins" w:hAnsi="Poppins"/>
          <w:color w:val="434343"/>
          <w:sz w:val="20"/>
          <w:szCs w:val="20"/>
          <w:u w:val="single"/>
        </w:rPr>
      </w:pPr>
      <w:r w:rsidDel="00000000" w:rsidR="00000000" w:rsidRPr="00000000">
        <w:rPr>
          <w:rFonts w:ascii="Poppins" w:cs="Poppins" w:eastAsia="Poppins" w:hAnsi="Poppins"/>
          <w:b w:val="1"/>
          <w:color w:val="434343"/>
          <w:sz w:val="20"/>
          <w:szCs w:val="20"/>
          <w:rtl w:val="0"/>
        </w:rPr>
        <w:t xml:space="preserve">AtosZdata:</w:t>
      </w:r>
      <w:r w:rsidDel="00000000" w:rsidR="00000000" w:rsidRPr="00000000">
        <w:rPr>
          <w:rtl w:val="0"/>
        </w:rPr>
      </w:r>
    </w:p>
    <w:tbl>
      <w:tblPr>
        <w:tblStyle w:val="Table5"/>
        <w:tblW w:w="5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1500"/>
        <w:gridCol w:w="1500"/>
        <w:tblGridChange w:id="0">
          <w:tblGrid>
            <w:gridCol w:w="2655"/>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86">
            <w:pPr>
              <w:widowControl w:val="0"/>
              <w:rPr>
                <w:rFonts w:ascii="Poppins" w:cs="Poppins" w:eastAsia="Poppins" w:hAnsi="Poppins"/>
                <w:color w:val="ffffff"/>
                <w:sz w:val="20"/>
                <w:szCs w:val="20"/>
              </w:rPr>
            </w:pPr>
            <w:r w:rsidDel="00000000" w:rsidR="00000000" w:rsidRPr="00000000">
              <w:rPr>
                <w:rFonts w:ascii="Poppins" w:cs="Poppins" w:eastAsia="Poppins" w:hAnsi="Poppins"/>
                <w:b w:val="1"/>
                <w:color w:val="ffffff"/>
                <w:sz w:val="20"/>
                <w:szCs w:val="20"/>
                <w:rtl w:val="0"/>
              </w:rPr>
              <w:t xml:space="preserve">Location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Poppins" w:cs="Poppins" w:eastAsia="Poppins" w:hAnsi="Poppins"/>
                <w:color w:val="ffffff"/>
                <w:sz w:val="20"/>
                <w:szCs w:val="20"/>
              </w:rPr>
            </w:pPr>
            <w:r w:rsidDel="00000000" w:rsidR="00000000" w:rsidRPr="00000000">
              <w:rPr>
                <w:rFonts w:ascii="Poppins" w:cs="Poppins" w:eastAsia="Poppins" w:hAnsi="Poppins"/>
                <w:b w:val="1"/>
                <w:color w:val="ffffff"/>
                <w:sz w:val="20"/>
                <w:szCs w:val="20"/>
                <w:rtl w:val="0"/>
              </w:rPr>
              <w:t xml:space="preserve">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88">
            <w:pPr>
              <w:widowControl w:val="0"/>
              <w:rPr>
                <w:rFonts w:ascii="Poppins" w:cs="Poppins" w:eastAsia="Poppins" w:hAnsi="Poppins"/>
                <w:color w:val="ffffff"/>
                <w:sz w:val="20"/>
                <w:szCs w:val="20"/>
              </w:rPr>
            </w:pPr>
            <w:r w:rsidDel="00000000" w:rsidR="00000000" w:rsidRPr="00000000">
              <w:rPr>
                <w:rFonts w:ascii="Poppins" w:cs="Poppins" w:eastAsia="Poppins" w:hAnsi="Poppins"/>
                <w:b w:val="1"/>
                <w:color w:val="ffffff"/>
                <w:sz w:val="20"/>
                <w:szCs w:val="20"/>
                <w:rtl w:val="0"/>
              </w:rPr>
              <w:t xml:space="preserve">Rate/hr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Mexico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ML /Data 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125-145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ML 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200-350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Cloud 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45-65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ML/AI 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68-98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IT Architect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63-97</w:t>
            </w:r>
          </w:p>
        </w:tc>
      </w:tr>
    </w:tbl>
    <w:p w:rsidR="00000000" w:rsidDel="00000000" w:rsidP="00000000" w:rsidRDefault="00000000" w:rsidRPr="00000000" w14:paraId="00000098">
      <w:pPr>
        <w:rPr>
          <w:rFonts w:ascii="Poppins" w:cs="Poppins" w:eastAsia="Poppins" w:hAnsi="Poppins"/>
          <w:color w:val="434343"/>
          <w:sz w:val="20"/>
          <w:szCs w:val="20"/>
          <w:u w:val="single"/>
        </w:rPr>
      </w:pPr>
      <w:r w:rsidDel="00000000" w:rsidR="00000000" w:rsidRPr="00000000">
        <w:rPr>
          <w:rtl w:val="0"/>
        </w:rPr>
      </w:r>
    </w:p>
    <w:p w:rsidR="00000000" w:rsidDel="00000000" w:rsidP="00000000" w:rsidRDefault="00000000" w:rsidRPr="00000000" w14:paraId="00000099">
      <w:pPr>
        <w:rPr>
          <w:rFonts w:ascii="Poppins" w:cs="Poppins" w:eastAsia="Poppins" w:hAnsi="Poppins"/>
          <w:color w:val="434343"/>
          <w:sz w:val="20"/>
          <w:szCs w:val="20"/>
        </w:rPr>
      </w:pPr>
      <w:r w:rsidDel="00000000" w:rsidR="00000000" w:rsidRPr="00000000">
        <w:rPr>
          <w:rFonts w:ascii="Poppins" w:cs="Poppins" w:eastAsia="Poppins" w:hAnsi="Poppins"/>
          <w:b w:val="1"/>
          <w:color w:val="434343"/>
          <w:sz w:val="20"/>
          <w:szCs w:val="20"/>
          <w:rtl w:val="0"/>
        </w:rPr>
        <w:t xml:space="preserve">Brillio:</w:t>
      </w:r>
      <w:r w:rsidDel="00000000" w:rsidR="00000000" w:rsidRPr="00000000">
        <w:rPr>
          <w:rFonts w:ascii="Poppins" w:cs="Poppins" w:eastAsia="Poppins" w:hAnsi="Poppins"/>
          <w:color w:val="434343"/>
          <w:sz w:val="20"/>
          <w:szCs w:val="20"/>
          <w:u w:val="single"/>
          <w:rtl w:val="0"/>
        </w:rPr>
        <w:br w:type="textWrapping"/>
      </w:r>
      <w:r w:rsidDel="00000000" w:rsidR="00000000" w:rsidRPr="00000000">
        <w:rPr>
          <w:rFonts w:ascii="Poppins" w:cs="Poppins" w:eastAsia="Poppins" w:hAnsi="Poppins"/>
          <w:color w:val="434343"/>
          <w:sz w:val="20"/>
          <w:szCs w:val="20"/>
        </w:rPr>
        <w:drawing>
          <wp:inline distB="114300" distT="114300" distL="114300" distR="114300">
            <wp:extent cx="6282451" cy="124853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82451" cy="12485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9B">
      <w:pPr>
        <w:rPr>
          <w:rFonts w:ascii="Poppins" w:cs="Poppins" w:eastAsia="Poppins" w:hAnsi="Poppins"/>
          <w:color w:val="434343"/>
          <w:sz w:val="20"/>
          <w:szCs w:val="20"/>
        </w:rPr>
      </w:pPr>
      <w:r w:rsidDel="00000000" w:rsidR="00000000" w:rsidRPr="00000000">
        <w:rPr>
          <w:rFonts w:ascii="Poppins" w:cs="Poppins" w:eastAsia="Poppins" w:hAnsi="Poppins"/>
          <w:b w:val="1"/>
          <w:color w:val="434343"/>
          <w:sz w:val="20"/>
          <w:szCs w:val="20"/>
          <w:rtl w:val="0"/>
        </w:rPr>
        <w:t xml:space="preserve">Quantiphi:</w:t>
      </w:r>
      <w:r w:rsidDel="00000000" w:rsidR="00000000" w:rsidRPr="00000000">
        <w:rPr>
          <w:rtl w:val="0"/>
        </w:rPr>
      </w:r>
    </w:p>
    <w:tbl>
      <w:tblPr>
        <w:tblStyle w:val="Table6"/>
        <w:tblW w:w="8850.0"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2175"/>
        <w:gridCol w:w="2730"/>
        <w:gridCol w:w="1230"/>
        <w:gridCol w:w="1455"/>
        <w:gridCol w:w="1260"/>
        <w:tblGridChange w:id="0">
          <w:tblGrid>
            <w:gridCol w:w="2175"/>
            <w:gridCol w:w="2730"/>
            <w:gridCol w:w="1230"/>
            <w:gridCol w:w="1455"/>
            <w:gridCol w:w="1260"/>
          </w:tblGrid>
        </w:tblGridChange>
      </w:tblGrid>
      <w:tr>
        <w:trPr>
          <w:cantSplit w:val="0"/>
          <w:trHeight w:val="630" w:hRule="atLeast"/>
          <w:tblHeader w:val="0"/>
        </w:trPr>
        <w:tc>
          <w:tcPr>
            <w:tcBorders>
              <w:top w:color="cccccc" w:space="0" w:sz="8" w:val="single"/>
              <w:left w:color="cccccc" w:space="0" w:sz="8" w:val="single"/>
              <w:bottom w:color="cccccc" w:space="0" w:sz="8" w:val="single"/>
              <w:right w:color="cccccc" w:space="0" w:sz="8" w:val="single"/>
            </w:tcBorders>
            <w:shd w:fill="ff8559" w:val="clear"/>
            <w:tcMar>
              <w:top w:w="80.0" w:type="dxa"/>
              <w:left w:w="80.0" w:type="dxa"/>
              <w:bottom w:w="80.0" w:type="dxa"/>
              <w:right w:w="80.0" w:type="dxa"/>
            </w:tcMar>
            <w:vAlign w:val="top"/>
          </w:tcPr>
          <w:p w:rsidR="00000000" w:rsidDel="00000000" w:rsidP="00000000" w:rsidRDefault="00000000" w:rsidRPr="00000000" w14:paraId="0000009C">
            <w:pPr>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Domain</w:t>
            </w:r>
          </w:p>
        </w:tc>
        <w:tc>
          <w:tcPr>
            <w:tcBorders>
              <w:top w:color="cccccc" w:space="0" w:sz="8" w:val="single"/>
              <w:left w:color="cccccc" w:space="0" w:sz="8" w:val="single"/>
              <w:bottom w:color="cccccc" w:space="0" w:sz="8" w:val="single"/>
              <w:right w:color="cccccc" w:space="0" w:sz="8" w:val="single"/>
            </w:tcBorders>
            <w:shd w:fill="ff8559" w:val="clear"/>
            <w:tcMar>
              <w:top w:w="80.0" w:type="dxa"/>
              <w:left w:w="80.0" w:type="dxa"/>
              <w:bottom w:w="80.0" w:type="dxa"/>
              <w:right w:w="80.0" w:type="dxa"/>
            </w:tcMar>
            <w:vAlign w:val="top"/>
          </w:tcPr>
          <w:p w:rsidR="00000000" w:rsidDel="00000000" w:rsidP="00000000" w:rsidRDefault="00000000" w:rsidRPr="00000000" w14:paraId="0000009D">
            <w:pPr>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Role</w:t>
            </w:r>
          </w:p>
        </w:tc>
        <w:tc>
          <w:tcPr>
            <w:tcBorders>
              <w:top w:color="cccccc" w:space="0" w:sz="8" w:val="single"/>
              <w:left w:color="cccccc" w:space="0" w:sz="8" w:val="single"/>
              <w:bottom w:color="cccccc" w:space="0" w:sz="8" w:val="single"/>
              <w:right w:color="cccccc" w:space="0" w:sz="8" w:val="single"/>
            </w:tcBorders>
            <w:shd w:fill="ff8559" w:val="clear"/>
            <w:tcMar>
              <w:top w:w="80.0" w:type="dxa"/>
              <w:left w:w="80.0" w:type="dxa"/>
              <w:bottom w:w="80.0" w:type="dxa"/>
              <w:right w:w="80.0" w:type="dxa"/>
            </w:tcMar>
            <w:vAlign w:val="top"/>
          </w:tcPr>
          <w:p w:rsidR="00000000" w:rsidDel="00000000" w:rsidP="00000000" w:rsidRDefault="00000000" w:rsidRPr="00000000" w14:paraId="0000009E">
            <w:pPr>
              <w:jc w:val="center"/>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US (USD/HR)</w:t>
            </w:r>
          </w:p>
        </w:tc>
        <w:tc>
          <w:tcPr>
            <w:tcBorders>
              <w:top w:color="cccccc" w:space="0" w:sz="8" w:val="single"/>
              <w:left w:color="cccccc" w:space="0" w:sz="8" w:val="single"/>
              <w:bottom w:color="cccccc" w:space="0" w:sz="8" w:val="single"/>
              <w:right w:color="cccccc" w:space="0" w:sz="8" w:val="single"/>
            </w:tcBorders>
            <w:shd w:fill="ff8559" w:val="clear"/>
            <w:tcMar>
              <w:top w:w="80.0" w:type="dxa"/>
              <w:left w:w="80.0" w:type="dxa"/>
              <w:bottom w:w="80.0" w:type="dxa"/>
              <w:right w:w="80.0" w:type="dxa"/>
            </w:tcMar>
            <w:vAlign w:val="top"/>
          </w:tcPr>
          <w:p w:rsidR="00000000" w:rsidDel="00000000" w:rsidP="00000000" w:rsidRDefault="00000000" w:rsidRPr="00000000" w14:paraId="0000009F">
            <w:pPr>
              <w:jc w:val="center"/>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Canada (CAD/HR)</w:t>
            </w:r>
          </w:p>
        </w:tc>
        <w:tc>
          <w:tcPr>
            <w:tcBorders>
              <w:top w:color="cccccc" w:space="0" w:sz="8" w:val="single"/>
              <w:left w:color="cccccc" w:space="0" w:sz="8" w:val="single"/>
              <w:bottom w:color="cccccc" w:space="0" w:sz="8" w:val="single"/>
              <w:right w:color="cccccc" w:space="0" w:sz="8" w:val="single"/>
            </w:tcBorders>
            <w:shd w:fill="ff8559" w:val="clear"/>
            <w:tcMar>
              <w:top w:w="80.0" w:type="dxa"/>
              <w:left w:w="80.0" w:type="dxa"/>
              <w:bottom w:w="80.0" w:type="dxa"/>
              <w:right w:w="80.0" w:type="dxa"/>
            </w:tcMar>
            <w:vAlign w:val="top"/>
          </w:tcPr>
          <w:p w:rsidR="00000000" w:rsidDel="00000000" w:rsidP="00000000" w:rsidRDefault="00000000" w:rsidRPr="00000000" w14:paraId="000000A0">
            <w:pPr>
              <w:jc w:val="center"/>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India (USD/HR)</w:t>
            </w:r>
          </w:p>
        </w:tc>
      </w:tr>
      <w:tr>
        <w:trPr>
          <w:cantSplit w:val="0"/>
          <w:trHeight w:val="63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1">
            <w:pPr>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Application Dev, Modernization</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2">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Principal - Application Development</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3">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4">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$265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5">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$80</w:t>
            </w:r>
          </w:p>
        </w:tc>
      </w:tr>
      <w:tr>
        <w:trPr>
          <w:cantSplit w:val="0"/>
          <w:trHeight w:val="45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6">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7">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 App Dev Consultant/ Architect</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8">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9">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$235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A">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$60</w:t>
            </w:r>
          </w:p>
        </w:tc>
      </w:tr>
      <w:tr>
        <w:trPr>
          <w:cantSplit w:val="0"/>
          <w:trHeight w:val="45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B">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C">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App Dev Consultant/ Engineer</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D">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$150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E">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AF">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$50</w:t>
            </w:r>
          </w:p>
        </w:tc>
      </w:tr>
      <w:tr>
        <w:trPr>
          <w:cantSplit w:val="0"/>
          <w:trHeight w:val="405"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0">
            <w:pPr>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DW Modernization</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1">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Principal - Solution Data Architect</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2">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3">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$265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4">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$75</w:t>
            </w:r>
          </w:p>
        </w:tc>
      </w:tr>
      <w:tr>
        <w:trPr>
          <w:cantSplit w:val="0"/>
          <w:trHeight w:val="45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5">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6">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 Data Engineer</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7">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$150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8">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9">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$55</w:t>
            </w:r>
          </w:p>
        </w:tc>
      </w:tr>
      <w:tr>
        <w:trPr>
          <w:cantSplit w:val="0"/>
          <w:trHeight w:val="63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A">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B">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Data Analyst/ Junior. Data Engineer/ BI Engineer</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C">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$135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D">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$180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E">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$45</w:t>
            </w:r>
          </w:p>
        </w:tc>
      </w:tr>
      <w:tr>
        <w:trPr>
          <w:cantSplit w:val="0"/>
          <w:trHeight w:val="405"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BF">
            <w:pPr>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General</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0">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Project Manager</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1">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$180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2">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$240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3">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$75</w:t>
            </w:r>
          </w:p>
        </w:tc>
      </w:tr>
      <w:tr>
        <w:trPr>
          <w:cantSplit w:val="0"/>
          <w:trHeight w:val="63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4">
            <w:pPr>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Infrastructure, Cloud Migration</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5">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Principal - Infra and Cloud Migration</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6">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7">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$265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8">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$80</w:t>
            </w:r>
          </w:p>
        </w:tc>
      </w:tr>
      <w:tr>
        <w:trPr>
          <w:cantSplit w:val="0"/>
          <w:trHeight w:val="63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9">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A">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 Infrastructure Consultant /Architect</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B">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C">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$235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D">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$60</w:t>
            </w:r>
          </w:p>
        </w:tc>
      </w:tr>
      <w:tr>
        <w:trPr>
          <w:cantSplit w:val="0"/>
          <w:trHeight w:val="45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E">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CF">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Infrastructure Consultant/ Engineer</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0">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$150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1">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2">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$50</w:t>
            </w:r>
          </w:p>
        </w:tc>
      </w:tr>
      <w:tr>
        <w:trPr>
          <w:cantSplit w:val="0"/>
          <w:trHeight w:val="405"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3">
            <w:pPr>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ML, AI</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4">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 ML Consultant/ Architect</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5">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$220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6">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$295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7">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w:t>
            </w:r>
          </w:p>
        </w:tc>
      </w:tr>
      <w:tr>
        <w:trPr>
          <w:cantSplit w:val="0"/>
          <w:trHeight w:val="45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8">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9">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 ML Engineer</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A">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B">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$235</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C">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$60</w:t>
            </w:r>
          </w:p>
        </w:tc>
      </w:tr>
      <w:tr>
        <w:trPr>
          <w:cantSplit w:val="0"/>
          <w:trHeight w:val="450" w:hRule="atLeast"/>
          <w:tblHeader w:val="0"/>
        </w:trPr>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D">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 </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E">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ML Engineer</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DF">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$150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E0">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$200</w:t>
            </w:r>
          </w:p>
        </w:tc>
        <w:tc>
          <w:tcPr>
            <w:tcBorders>
              <w:top w:color="cccccc" w:space="0" w:sz="8" w:val="single"/>
              <w:left w:color="cccccc" w:space="0" w:sz="8" w:val="single"/>
              <w:bottom w:color="cccccc" w:space="0" w:sz="8" w:val="single"/>
              <w:right w:color="cccccc" w:space="0" w:sz="8" w:val="single"/>
            </w:tcBorders>
            <w:tcMar>
              <w:top w:w="80.0" w:type="dxa"/>
              <w:left w:w="80.0" w:type="dxa"/>
              <w:bottom w:w="80.0" w:type="dxa"/>
              <w:right w:w="80.0" w:type="dxa"/>
            </w:tcMar>
            <w:vAlign w:val="top"/>
          </w:tcPr>
          <w:p w:rsidR="00000000" w:rsidDel="00000000" w:rsidP="00000000" w:rsidRDefault="00000000" w:rsidRPr="00000000" w14:paraId="000000E1">
            <w:pPr>
              <w:jc w:val="cente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$55</w:t>
            </w:r>
          </w:p>
        </w:tc>
      </w:tr>
    </w:tbl>
    <w:p w:rsidR="00000000" w:rsidDel="00000000" w:rsidP="00000000" w:rsidRDefault="00000000" w:rsidRPr="00000000" w14:paraId="000000E2">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E3">
      <w:pPr>
        <w:rPr>
          <w:rFonts w:ascii="Poppins" w:cs="Poppins" w:eastAsia="Poppins" w:hAnsi="Poppins"/>
          <w:color w:val="434343"/>
          <w:sz w:val="20"/>
          <w:szCs w:val="20"/>
        </w:rPr>
      </w:pPr>
      <w:r w:rsidDel="00000000" w:rsidR="00000000" w:rsidRPr="00000000">
        <w:rPr>
          <w:rFonts w:ascii="Poppins" w:cs="Poppins" w:eastAsia="Poppins" w:hAnsi="Poppins"/>
          <w:b w:val="1"/>
          <w:color w:val="434343"/>
          <w:sz w:val="20"/>
          <w:szCs w:val="20"/>
          <w:rtl w:val="0"/>
        </w:rPr>
        <w:t xml:space="preserve">Southern Science (Lamansys): </w:t>
      </w:r>
      <w:r w:rsidDel="00000000" w:rsidR="00000000" w:rsidRPr="00000000">
        <w:rPr>
          <w:rtl w:val="0"/>
        </w:rPr>
      </w:r>
    </w:p>
    <w:tbl>
      <w:tblPr>
        <w:tblStyle w:val="Table7"/>
        <w:tblW w:w="6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45"/>
        <w:gridCol w:w="1500"/>
        <w:gridCol w:w="1500"/>
        <w:tblGridChange w:id="0">
          <w:tblGrid>
            <w:gridCol w:w="1500"/>
            <w:gridCol w:w="1845"/>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E4">
            <w:pPr>
              <w:widowControl w:val="0"/>
              <w:rPr>
                <w:rFonts w:ascii="Poppins" w:cs="Poppins" w:eastAsia="Poppins" w:hAnsi="Poppins"/>
                <w:color w:val="ffffff"/>
                <w:sz w:val="20"/>
                <w:szCs w:val="20"/>
              </w:rPr>
            </w:pPr>
            <w:r w:rsidDel="00000000" w:rsidR="00000000" w:rsidRPr="00000000">
              <w:rPr>
                <w:rFonts w:ascii="Poppins" w:cs="Poppins" w:eastAsia="Poppins" w:hAnsi="Poppins"/>
                <w:b w:val="1"/>
                <w:color w:val="ffffff"/>
                <w:sz w:val="20"/>
                <w:szCs w:val="20"/>
                <w:rtl w:val="0"/>
              </w:rPr>
              <w:t xml:space="preserve">Location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E5">
            <w:pPr>
              <w:widowControl w:val="0"/>
              <w:rPr>
                <w:rFonts w:ascii="Poppins" w:cs="Poppins" w:eastAsia="Poppins" w:hAnsi="Poppins"/>
                <w:color w:val="ffffff"/>
                <w:sz w:val="20"/>
                <w:szCs w:val="20"/>
              </w:rPr>
            </w:pPr>
            <w:r w:rsidDel="00000000" w:rsidR="00000000" w:rsidRPr="00000000">
              <w:rPr>
                <w:rFonts w:ascii="Poppins" w:cs="Poppins" w:eastAsia="Poppins" w:hAnsi="Poppins"/>
                <w:b w:val="1"/>
                <w:color w:val="ffffff"/>
                <w:sz w:val="20"/>
                <w:szCs w:val="20"/>
                <w:rtl w:val="0"/>
              </w:rPr>
              <w:t xml:space="preserve">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E6">
            <w:pPr>
              <w:widowControl w:val="0"/>
              <w:rPr>
                <w:rFonts w:ascii="Poppins" w:cs="Poppins" w:eastAsia="Poppins" w:hAnsi="Poppins"/>
                <w:color w:val="ffffff"/>
                <w:sz w:val="20"/>
                <w:szCs w:val="20"/>
              </w:rPr>
            </w:pPr>
            <w:r w:rsidDel="00000000" w:rsidR="00000000" w:rsidRPr="00000000">
              <w:rPr>
                <w:rFonts w:ascii="Poppins" w:cs="Poppins" w:eastAsia="Poppins" w:hAnsi="Poppins"/>
                <w:b w:val="1"/>
                <w:color w:val="ffffff"/>
                <w:sz w:val="20"/>
                <w:szCs w:val="20"/>
                <w:rtl w:val="0"/>
              </w:rPr>
              <w:t xml:space="preserve">Rate/hr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559" w:val="clear"/>
            <w:tcMar>
              <w:top w:w="40.0" w:type="dxa"/>
              <w:left w:w="40.0" w:type="dxa"/>
              <w:bottom w:w="40.0" w:type="dxa"/>
              <w:right w:w="40.0" w:type="dxa"/>
            </w:tcMar>
            <w:vAlign w:val="bottom"/>
          </w:tcPr>
          <w:p w:rsidR="00000000" w:rsidDel="00000000" w:rsidP="00000000" w:rsidRDefault="00000000" w:rsidRPr="00000000" w14:paraId="000000E7">
            <w:pPr>
              <w:widowControl w:val="0"/>
              <w:rPr>
                <w:rFonts w:ascii="Poppins" w:cs="Poppins" w:eastAsia="Poppins" w:hAnsi="Poppins"/>
                <w:color w:val="ffffff"/>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Argentina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Jr Engineer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1-2 yrs exp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Argentina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 Engineer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3-5 yrs exp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Argentina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 Engineer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33-45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5+ yrs exp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Argentina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Sr/Phd speciality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rFonts w:ascii="Poppins" w:cs="Poppins" w:eastAsia="Poppins" w:hAnsi="Poppins"/>
                <w:color w:val="434343"/>
                <w:sz w:val="20"/>
                <w:szCs w:val="20"/>
              </w:rPr>
            </w:pPr>
            <w:r w:rsidDel="00000000" w:rsidR="00000000" w:rsidRPr="00000000">
              <w:rPr>
                <w:rtl w:val="0"/>
              </w:rPr>
            </w:r>
          </w:p>
        </w:tc>
      </w:tr>
    </w:tbl>
    <w:p w:rsidR="00000000" w:rsidDel="00000000" w:rsidP="00000000" w:rsidRDefault="00000000" w:rsidRPr="00000000" w14:paraId="000000F8">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mailto:ayanes@ebay.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xAbkB6KVfZCltMaJFTZ47gkEynURycoAeAz9ARRLWPU/edit#heading=h.wbvjmf4vcjsd" TargetMode="External"/><Relationship Id="rId8" Type="http://schemas.openxmlformats.org/officeDocument/2006/relationships/hyperlink" Target="mailto:jesumorales@eba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